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35"/>
          <w:szCs w:val="35"/>
          <w:lang w:eastAsia="ru-RU"/>
        </w:rPr>
      </w:pPr>
      <w:r w:rsidRPr="00C1554F">
        <w:rPr>
          <w:rFonts w:ascii="Arial" w:eastAsia="Times New Roman" w:hAnsi="Arial"/>
          <w:color w:val="auto"/>
          <w:sz w:val="35"/>
          <w:szCs w:val="35"/>
          <w:lang w:eastAsia="ru-RU"/>
        </w:rPr>
        <w:t>ГОСУДАРСТВЕННЫЙ СТАНДАРТ СОЮЗА ССР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Cs w:val="28"/>
          <w:lang w:eastAsia="ru-RU"/>
        </w:rPr>
      </w:pPr>
      <w:r w:rsidRPr="00C1554F">
        <w:rPr>
          <w:rFonts w:ascii="Arial" w:eastAsia="Times New Roman" w:hAnsi="Arial"/>
          <w:color w:val="auto"/>
          <w:szCs w:val="28"/>
          <w:lang w:eastAsia="ru-RU"/>
        </w:rPr>
        <w:t>Единая система программной документации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35"/>
          <w:szCs w:val="35"/>
          <w:lang w:eastAsia="ru-RU"/>
        </w:rPr>
      </w:pPr>
      <w:r w:rsidRPr="00C1554F">
        <w:rPr>
          <w:rFonts w:ascii="Arial" w:eastAsia="Times New Roman" w:hAnsi="Arial"/>
          <w:color w:val="auto"/>
          <w:sz w:val="35"/>
          <w:szCs w:val="35"/>
          <w:lang w:eastAsia="ru-RU"/>
        </w:rPr>
        <w:t xml:space="preserve">ТЕХНИЧЕСКОЕ ЗАДАНИЕ, ТРЕБОВАНИЯ К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35"/>
          <w:szCs w:val="35"/>
          <w:lang w:eastAsia="ru-RU"/>
        </w:rPr>
      </w:pPr>
      <w:r w:rsidRPr="00C1554F">
        <w:rPr>
          <w:rFonts w:ascii="Arial" w:eastAsia="Times New Roman" w:hAnsi="Arial"/>
          <w:color w:val="auto"/>
          <w:sz w:val="35"/>
          <w:szCs w:val="35"/>
          <w:lang w:eastAsia="ru-RU"/>
        </w:rPr>
        <w:t>СОДЕРЖАНИЮ И ОФОРМЛЕНИЮ.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Cs w:val="28"/>
          <w:lang w:eastAsia="ru-RU"/>
        </w:rPr>
      </w:pPr>
      <w:r w:rsidRPr="00C1554F">
        <w:rPr>
          <w:rFonts w:ascii="Arial" w:eastAsia="Times New Roman" w:hAnsi="Arial"/>
          <w:color w:val="auto"/>
          <w:szCs w:val="28"/>
          <w:lang w:eastAsia="ru-RU"/>
        </w:rPr>
        <w:t>ГОСТ 19.201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Cs w:val="28"/>
          <w:lang w:eastAsia="ru-RU"/>
        </w:rPr>
      </w:pPr>
      <w:r w:rsidRPr="00C1554F">
        <w:rPr>
          <w:rFonts w:ascii="Arial" w:eastAsia="Times New Roman" w:hAnsi="Arial"/>
          <w:color w:val="auto"/>
          <w:szCs w:val="28"/>
          <w:lang w:eastAsia="ru-RU"/>
        </w:rPr>
        <w:t>-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Cs w:val="28"/>
          <w:lang w:eastAsia="ru-RU"/>
        </w:rPr>
      </w:pPr>
      <w:r w:rsidRPr="00C1554F">
        <w:rPr>
          <w:rFonts w:ascii="Arial" w:eastAsia="Times New Roman" w:hAnsi="Arial"/>
          <w:color w:val="auto"/>
          <w:szCs w:val="28"/>
          <w:lang w:eastAsia="ru-RU"/>
        </w:rPr>
        <w:t>78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Настоящий стандарт устанавливает порядок построения и оформления технического задания на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разработку </w:t>
      </w: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програм</w:t>
      </w:r>
      <w:proofErr w:type="spellEnd"/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мы или программного изделия для вычислительных машин, комплексов и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систем независимо от их назначения и области применения.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1. Общие положения.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1.1. Техническое задание оформляют в соответствии с ГОСТ 19.106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-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78 на листах формата А4 и А3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по ГОСТ 2.301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-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68, к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ак</w:t>
      </w:r>
      <w:proofErr w:type="spellEnd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 правило, без заполнения полей листа. Номера листов (страниц)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проставляют в верхней части листа над текстом.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1.2. Лист утверждения и титульный лист оформляют в соответствии с ГОСТ 19.104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-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78.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Информационную часть (аннотацию и содержание), лист регистрации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изменений допускается в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документ не включать.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1.3. Для внесения изменений и дополнений в техническое задние на последующих стадиях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разработки программы или программного изделия выпускают дополнение к нему. Согласование и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утверждение дополнения к </w:t>
      </w: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техническ</w:t>
      </w:r>
      <w:proofErr w:type="spellEnd"/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ому заданию проводят в том же порядке, который установлен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для технического задания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1.4. Техническое задание должно содержать следующие разделы: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наименование и область применения;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основание для разработки;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назначение разработки;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технические требования к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программе или программному изделию;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технико</w:t>
      </w:r>
      <w:proofErr w:type="spellEnd"/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-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экономические показатели;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стадии и этапы разработки;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порядок контроля и приёмки;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lastRenderedPageBreak/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приложения.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В зависимости от особенностей программы или программного изделия допускается уточнять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содержание разделов, вводит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ь новые разделы или объединять отдельные из них.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2. Содержание разделов.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2.1. В разделе "Наименование и область применения" указывают наименование, краткую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характеристику области применения программы или программного изделия и объекта, в котором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используют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программу или программное изделие.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2.2. В разделе "Основание для разработки" должны быть указаны: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документ (документы), на основании которых ведется разработка;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организация, утвердившая этот документ, и дата его утверждения;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наименование и (или) </w:t>
      </w: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условн</w:t>
      </w:r>
      <w:proofErr w:type="spellEnd"/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ое</w:t>
      </w:r>
      <w:proofErr w:type="spellEnd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 обозначение темы разработки.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2.3. В разделе " Назначение разработки" должно быть указано функциональное и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эксплуатационное назначение программы или программного изделия.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2.4. Раздел "Технические требования к программе или программному изделию" должен с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одержать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следующие подразделы: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требования к функциональным характеристикам;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требования к надёжности;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условия эксплуатации;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требования к составу и параметрам технических средств;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требования к информационной и программной совместимости;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требования к </w:t>
      </w: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ма</w:t>
      </w:r>
      <w:proofErr w:type="spellEnd"/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ркировке</w:t>
      </w:r>
      <w:proofErr w:type="spellEnd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 и упаковке;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требования к транспортированию и хранению;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специальные требования.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2.4.1. В подразделе "Требования к фу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нкциональным</w:t>
      </w:r>
      <w:proofErr w:type="spellEnd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 характеристикам" должны быть указаны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требования к составу выполняемых функций, организации входных и выходных данных,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временным характеристикам и т.п.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2.4.2. В подразделе "Требования к надёжности" должны быть указаны требования к обеспечению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н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адёжного</w:t>
      </w:r>
      <w:proofErr w:type="spellEnd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 функционирования (обеспечение устойчивого функционирования, контроль входной и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lastRenderedPageBreak/>
        <w:t>выходной информации, время восстановления после отказа и т.п.)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2.4.3. В подразделе "Условия эксплуатации" должны быть указаны условия эксплуатации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(температура </w:t>
      </w: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окружающ</w:t>
      </w:r>
      <w:proofErr w:type="spellEnd"/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его воздуха, относительная влажность и т.п. для выбранных типов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носителей данных), при которых должны обеспечиваться заданные характеристики, а также вид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обслуживания, необходимое количество и квалификация персонала.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2.4.4. В подразделе " Требования к </w:t>
      </w: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сост</w:t>
      </w:r>
      <w:proofErr w:type="spellEnd"/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аву</w:t>
      </w:r>
      <w:proofErr w:type="spellEnd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 и параметрам технических средств" указывают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необходимый состав технических средств с указанием их технических характеристик.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2.4.5. В подразделе " Требования к информационной и программной совместимости" должны быть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указаны требования к информационным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структурам на входе и выходе и методам решения,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исходным кодам, языкам программирования. При необходимости должна обеспечиваться защита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информации и программ.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2.4.6. В подразделе "Требования к маркировке и упаковке" в общем случае указывают требования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к </w:t>
      </w: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ма</w:t>
      </w:r>
      <w:proofErr w:type="spellEnd"/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ркировке</w:t>
      </w:r>
      <w:proofErr w:type="spellEnd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 программного изделия, варианты и способы упаковки.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2.4.7. В подразделе " требования к транспортированию и хранению" должны быть указаны для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программного изделия условия транспортирования, места хранения, условия хранения, условия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складирования, ср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оки</w:t>
      </w:r>
      <w:proofErr w:type="spellEnd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 хранения в различных условиях.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2.5. В разделе "</w:t>
      </w: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Технико</w:t>
      </w:r>
      <w:proofErr w:type="spellEnd"/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-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экономические показатели" должны быть указаны: ориентировочная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экономическая эффективность, предполагаемая годовая потребность, экономические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преимущества разработки по сравнению </w:t>
      </w:r>
      <w:proofErr w:type="gram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с лучшими отечеств</w:t>
      </w:r>
      <w:proofErr w:type="gramEnd"/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енными</w:t>
      </w:r>
      <w:proofErr w:type="spellEnd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 и зарубежными образцами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или аналогами.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2.6. В разделе "Стадии и этапы разработки" устанавливают необходимые стадии разработки,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этапы и содержание работ (перечень программных документов, которые должны быть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разработаны, согласованы и утверждены), а т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акже</w:t>
      </w:r>
      <w:proofErr w:type="spellEnd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, как правило, сроки разработки и определяют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исполнителей.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2.7. В разделе "Порядок контроля и приёмки" должны быть указаны виды испытаний и общие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требования к приёмке работы.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2.8. В приложениях к техническому заданию, при необходимости, приводят: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пере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proofErr w:type="spellStart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чень</w:t>
      </w:r>
      <w:proofErr w:type="spellEnd"/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 научно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-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исследовательских и других работ, обосновывающих разработку;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схемы алгоритмов, таблицы, описания, обоснования, расчёты и другие документы, которые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 xml:space="preserve">могут быть использованы при разработке; </w:t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lastRenderedPageBreak/>
        <w:sym w:font="Symbol" w:char="F0B7"/>
      </w:r>
    </w:p>
    <w:p w:rsidR="00C1554F" w:rsidRPr="00C1554F" w:rsidRDefault="00C1554F" w:rsidP="00C1554F">
      <w:pPr>
        <w:spacing w:after="0" w:line="240" w:lineRule="auto"/>
        <w:rPr>
          <w:rFonts w:ascii="Arial" w:eastAsia="Times New Roman" w:hAnsi="Arial"/>
          <w:color w:val="auto"/>
          <w:sz w:val="23"/>
          <w:szCs w:val="23"/>
          <w:lang w:eastAsia="ru-RU"/>
        </w:rPr>
      </w:pPr>
      <w:r w:rsidRPr="00C1554F">
        <w:rPr>
          <w:rFonts w:ascii="Arial" w:eastAsia="Times New Roman" w:hAnsi="Arial"/>
          <w:color w:val="auto"/>
          <w:sz w:val="23"/>
          <w:szCs w:val="23"/>
          <w:lang w:eastAsia="ru-RU"/>
        </w:rPr>
        <w:t>другие источники разработки.</w:t>
      </w:r>
    </w:p>
    <w:p w:rsidR="00D01B96" w:rsidRDefault="00D01B96" w:rsidP="00D01B96">
      <w:pPr>
        <w:pStyle w:val="Style1"/>
        <w:widowControl/>
        <w:spacing w:line="240" w:lineRule="auto"/>
        <w:ind w:left="778"/>
        <w:rPr>
          <w:rStyle w:val="FontStyle21"/>
        </w:rPr>
      </w:pPr>
    </w:p>
    <w:p w:rsidR="00D01B96" w:rsidRDefault="00D01B96" w:rsidP="00D01B96">
      <w:pPr>
        <w:pStyle w:val="Style1"/>
        <w:widowControl/>
        <w:spacing w:line="240" w:lineRule="auto"/>
        <w:ind w:left="778"/>
        <w:rPr>
          <w:rStyle w:val="FontStyle21"/>
        </w:rPr>
      </w:pPr>
    </w:p>
    <w:p w:rsidR="00D01B96" w:rsidRPr="00CB7965" w:rsidRDefault="00D01B96" w:rsidP="00D01B96">
      <w:pPr>
        <w:pStyle w:val="Style1"/>
        <w:widowControl/>
        <w:spacing w:line="240" w:lineRule="auto"/>
        <w:ind w:left="778"/>
        <w:rPr>
          <w:rStyle w:val="FontStyle21"/>
          <w:sz w:val="28"/>
          <w:szCs w:val="28"/>
        </w:rPr>
      </w:pPr>
      <w:r w:rsidRPr="00CB7965">
        <w:rPr>
          <w:rStyle w:val="FontStyle21"/>
          <w:sz w:val="28"/>
          <w:szCs w:val="28"/>
        </w:rPr>
        <w:t>Контрольные вопросы</w:t>
      </w:r>
    </w:p>
    <w:p w:rsidR="00D01B96" w:rsidRPr="00CB7965" w:rsidRDefault="00D01B96" w:rsidP="00D01B96">
      <w:pPr>
        <w:pStyle w:val="Style1"/>
        <w:widowControl/>
        <w:numPr>
          <w:ilvl w:val="0"/>
          <w:numId w:val="2"/>
        </w:numPr>
        <w:spacing w:line="240" w:lineRule="auto"/>
        <w:jc w:val="left"/>
        <w:rPr>
          <w:b/>
          <w:bCs/>
          <w:color w:val="000000"/>
          <w:sz w:val="28"/>
          <w:szCs w:val="28"/>
        </w:rPr>
      </w:pPr>
      <w:r w:rsidRPr="00CB7965">
        <w:rPr>
          <w:sz w:val="28"/>
          <w:szCs w:val="28"/>
        </w:rPr>
        <w:t>П</w:t>
      </w:r>
      <w:r w:rsidRPr="00CB7965">
        <w:rPr>
          <w:sz w:val="28"/>
          <w:szCs w:val="28"/>
        </w:rPr>
        <w:t>рограммная документация - совокупность программных документов, содержащих в зависимости от их назначения данные, необходимые для разработки, производства, эксплуатации и сопровождения программы или программного изделия, разработанных в соответствии с требованиями</w:t>
      </w:r>
    </w:p>
    <w:p w:rsidR="00D01B96" w:rsidRPr="00CB7965" w:rsidRDefault="00D01B96" w:rsidP="00D01B96">
      <w:pPr>
        <w:pStyle w:val="Style1"/>
        <w:widowControl/>
        <w:numPr>
          <w:ilvl w:val="0"/>
          <w:numId w:val="2"/>
        </w:numPr>
        <w:spacing w:line="240" w:lineRule="auto"/>
        <w:jc w:val="left"/>
        <w:rPr>
          <w:b/>
          <w:bCs/>
          <w:color w:val="000000"/>
          <w:sz w:val="28"/>
          <w:szCs w:val="28"/>
        </w:rPr>
      </w:pPr>
      <w:r w:rsidRPr="00CB7965">
        <w:rPr>
          <w:sz w:val="28"/>
          <w:szCs w:val="28"/>
        </w:rPr>
        <w:t>Внешняя — всевозможн</w:t>
      </w:r>
      <w:bookmarkStart w:id="0" w:name="_GoBack"/>
      <w:bookmarkEnd w:id="0"/>
      <w:r w:rsidRPr="00CB7965">
        <w:rPr>
          <w:sz w:val="28"/>
          <w:szCs w:val="28"/>
        </w:rPr>
        <w:t>ые руководства для пользователей, техническое задание, справочники; внутренняя документация — та, которая используется в процессе разработки программного обеспечения и недоступна конечному пользователю</w:t>
      </w:r>
    </w:p>
    <w:p w:rsidR="00D01B96" w:rsidRPr="00CB7965" w:rsidRDefault="00D01B96" w:rsidP="00D01B96">
      <w:pPr>
        <w:pStyle w:val="Style6"/>
        <w:widowControl/>
        <w:numPr>
          <w:ilvl w:val="0"/>
          <w:numId w:val="2"/>
        </w:numPr>
        <w:spacing w:line="240" w:lineRule="auto"/>
        <w:jc w:val="both"/>
        <w:rPr>
          <w:rStyle w:val="FontStyle20"/>
          <w:i w:val="0"/>
          <w:sz w:val="28"/>
          <w:szCs w:val="28"/>
        </w:rPr>
      </w:pPr>
      <w:r w:rsidRPr="00CB7965">
        <w:rPr>
          <w:rStyle w:val="FontStyle19"/>
          <w:i w:val="0"/>
          <w:sz w:val="28"/>
          <w:szCs w:val="28"/>
        </w:rPr>
        <w:t>Единая система программной док</w:t>
      </w:r>
      <w:r w:rsidRPr="00CB7965">
        <w:rPr>
          <w:rStyle w:val="FontStyle20"/>
          <w:i w:val="0"/>
          <w:sz w:val="28"/>
          <w:szCs w:val="28"/>
        </w:rPr>
        <w:t>у</w:t>
      </w:r>
      <w:r w:rsidRPr="00CB7965">
        <w:rPr>
          <w:rStyle w:val="FontStyle19"/>
          <w:i w:val="0"/>
          <w:sz w:val="28"/>
          <w:szCs w:val="28"/>
        </w:rPr>
        <w:t xml:space="preserve">ментации - </w:t>
      </w:r>
      <w:r w:rsidRPr="00CB7965">
        <w:rPr>
          <w:rStyle w:val="FontStyle22"/>
          <w:sz w:val="28"/>
          <w:szCs w:val="28"/>
        </w:rPr>
        <w:t xml:space="preserve">это </w:t>
      </w:r>
      <w:r w:rsidRPr="00CB7965">
        <w:rPr>
          <w:rStyle w:val="FontStyle20"/>
          <w:i w:val="0"/>
          <w:sz w:val="28"/>
          <w:szCs w:val="28"/>
        </w:rPr>
        <w:t>комплекс</w:t>
      </w:r>
      <w:r w:rsidRPr="00CB7965">
        <w:rPr>
          <w:rStyle w:val="FontStyle20"/>
          <w:i w:val="0"/>
          <w:sz w:val="28"/>
          <w:szCs w:val="28"/>
        </w:rPr>
        <w:br/>
        <w:t>государственных стандартов, устанавливающих взаимоувязанные правила</w:t>
      </w:r>
      <w:r w:rsidRPr="00CB7965">
        <w:rPr>
          <w:rStyle w:val="FontStyle20"/>
          <w:i w:val="0"/>
          <w:sz w:val="28"/>
          <w:szCs w:val="28"/>
        </w:rPr>
        <w:br/>
        <w:t>разработки, оформления и обращения программ и программной документации.</w:t>
      </w:r>
    </w:p>
    <w:p w:rsidR="00D01B96" w:rsidRPr="00CB7965" w:rsidRDefault="00D01B96" w:rsidP="00D01B96">
      <w:pPr>
        <w:pStyle w:val="Style1"/>
        <w:widowControl/>
        <w:numPr>
          <w:ilvl w:val="0"/>
          <w:numId w:val="2"/>
        </w:numPr>
        <w:spacing w:line="240" w:lineRule="auto"/>
        <w:jc w:val="left"/>
        <w:rPr>
          <w:b/>
          <w:bCs/>
          <w:color w:val="000000"/>
          <w:sz w:val="28"/>
          <w:szCs w:val="28"/>
        </w:rPr>
      </w:pPr>
      <w:r w:rsidRPr="00CB7965">
        <w:rPr>
          <w:sz w:val="28"/>
          <w:szCs w:val="28"/>
        </w:rPr>
        <w:t>С</w:t>
      </w:r>
      <w:r w:rsidRPr="00CB7965">
        <w:rPr>
          <w:sz w:val="28"/>
          <w:szCs w:val="28"/>
        </w:rPr>
        <w:t>обытие, при котором объект утрачивает работоспособность по причине несовершенства программы (несовершенство алгоритма решения задачи, отсутствие программной защиты от сбоев, отсутствие программного контроля состоянием изделия, ошибки в представлении программы на физическом носителе и т. д.). Характерным признаком программного отказа является то, что устраняется он путем исправления программ.</w:t>
      </w:r>
    </w:p>
    <w:p w:rsidR="00D01B96" w:rsidRPr="00CB7965" w:rsidRDefault="00D01B96" w:rsidP="00D01B96">
      <w:pPr>
        <w:pStyle w:val="Style1"/>
        <w:widowControl/>
        <w:numPr>
          <w:ilvl w:val="0"/>
          <w:numId w:val="2"/>
        </w:numPr>
        <w:spacing w:line="240" w:lineRule="auto"/>
        <w:jc w:val="left"/>
        <w:rPr>
          <w:rStyle w:val="FontStyle20"/>
          <w:b/>
          <w:bCs/>
          <w:i w:val="0"/>
          <w:iCs w:val="0"/>
          <w:sz w:val="28"/>
          <w:szCs w:val="28"/>
        </w:rPr>
      </w:pPr>
      <w:r w:rsidRPr="00CB7965">
        <w:rPr>
          <w:rStyle w:val="FontStyle19"/>
          <w:i w:val="0"/>
          <w:sz w:val="28"/>
          <w:szCs w:val="28"/>
        </w:rPr>
        <w:t xml:space="preserve">Техническое задание (ТЗ) содержит </w:t>
      </w:r>
      <w:r w:rsidRPr="00CB7965">
        <w:rPr>
          <w:rStyle w:val="FontStyle20"/>
          <w:i w:val="0"/>
          <w:sz w:val="28"/>
          <w:szCs w:val="28"/>
        </w:rPr>
        <w:t>совокупность требований к</w:t>
      </w:r>
      <w:r w:rsidRPr="00CB7965">
        <w:rPr>
          <w:rStyle w:val="FontStyle20"/>
          <w:i w:val="0"/>
          <w:sz w:val="28"/>
          <w:szCs w:val="28"/>
        </w:rPr>
        <w:br/>
        <w:t>программному средству и может использоваться как критерий проверки и приемки</w:t>
      </w:r>
      <w:r w:rsidRPr="00CB7965">
        <w:rPr>
          <w:rStyle w:val="FontStyle20"/>
          <w:i w:val="0"/>
          <w:sz w:val="28"/>
          <w:szCs w:val="28"/>
        </w:rPr>
        <w:br/>
        <w:t>разработанной программы.</w:t>
      </w:r>
    </w:p>
    <w:p w:rsidR="00D01B96" w:rsidRPr="00CB7965" w:rsidRDefault="00D01B96" w:rsidP="00D01B96">
      <w:pPr>
        <w:pStyle w:val="Style1"/>
        <w:widowControl/>
        <w:numPr>
          <w:ilvl w:val="0"/>
          <w:numId w:val="2"/>
        </w:numPr>
        <w:spacing w:line="240" w:lineRule="auto"/>
        <w:jc w:val="left"/>
        <w:rPr>
          <w:b/>
          <w:bCs/>
          <w:color w:val="000000"/>
          <w:sz w:val="28"/>
          <w:szCs w:val="28"/>
        </w:rPr>
      </w:pPr>
      <w:r w:rsidRPr="00CB7965">
        <w:rPr>
          <w:sz w:val="28"/>
          <w:szCs w:val="28"/>
        </w:rPr>
        <w:t>Документация пользователя (</w:t>
      </w:r>
      <w:proofErr w:type="spellStart"/>
      <w:r w:rsidRPr="00CB7965">
        <w:rPr>
          <w:sz w:val="28"/>
          <w:szCs w:val="28"/>
        </w:rPr>
        <w:t>user</w:t>
      </w:r>
      <w:proofErr w:type="spellEnd"/>
      <w:r w:rsidRPr="00CB7965">
        <w:rPr>
          <w:sz w:val="28"/>
          <w:szCs w:val="28"/>
        </w:rPr>
        <w:t xml:space="preserve"> </w:t>
      </w:r>
      <w:proofErr w:type="spellStart"/>
      <w:r w:rsidRPr="00CB7965">
        <w:rPr>
          <w:sz w:val="28"/>
          <w:szCs w:val="28"/>
        </w:rPr>
        <w:t>documentation</w:t>
      </w:r>
      <w:proofErr w:type="spellEnd"/>
      <w:r w:rsidRPr="00CB7965">
        <w:rPr>
          <w:sz w:val="28"/>
          <w:szCs w:val="28"/>
        </w:rPr>
        <w:t>): полный комплект документов, поставляемых в печатном или другом виде, который обеспечивает применение продукта, а также является его неотъемлемой частью.</w:t>
      </w:r>
    </w:p>
    <w:p w:rsidR="00CB7965" w:rsidRPr="00CB7965" w:rsidRDefault="00CB7965" w:rsidP="00CB7965">
      <w:pPr>
        <w:pStyle w:val="a3"/>
        <w:numPr>
          <w:ilvl w:val="0"/>
          <w:numId w:val="2"/>
        </w:numPr>
        <w:rPr>
          <w:sz w:val="28"/>
          <w:szCs w:val="28"/>
        </w:rPr>
      </w:pPr>
      <w:r w:rsidRPr="00CB7965">
        <w:rPr>
          <w:b/>
          <w:bCs/>
          <w:sz w:val="28"/>
          <w:szCs w:val="28"/>
        </w:rPr>
        <w:t>Основные свойства информации с точки зрения потребителя.</w:t>
      </w:r>
    </w:p>
    <w:p w:rsidR="00CB7965" w:rsidRPr="00CB7965" w:rsidRDefault="00CB7965" w:rsidP="00CB7965">
      <w:pPr>
        <w:pStyle w:val="a3"/>
        <w:ind w:left="1138"/>
        <w:rPr>
          <w:sz w:val="28"/>
          <w:szCs w:val="28"/>
        </w:rPr>
      </w:pPr>
      <w:r w:rsidRPr="00CB7965">
        <w:rPr>
          <w:b/>
          <w:bCs/>
          <w:sz w:val="28"/>
          <w:szCs w:val="28"/>
        </w:rPr>
        <w:t>1. Релевантность</w:t>
      </w:r>
      <w:r w:rsidRPr="00CB7965">
        <w:rPr>
          <w:sz w:val="28"/>
          <w:szCs w:val="28"/>
        </w:rPr>
        <w:t xml:space="preserve"> – способность информации соответствовать нуждам (запросам) пользователя.</w:t>
      </w:r>
    </w:p>
    <w:p w:rsidR="00CB7965" w:rsidRPr="00CB7965" w:rsidRDefault="00CB7965" w:rsidP="00CB7965">
      <w:pPr>
        <w:pStyle w:val="a3"/>
        <w:ind w:left="1138"/>
        <w:rPr>
          <w:sz w:val="28"/>
          <w:szCs w:val="28"/>
        </w:rPr>
      </w:pPr>
      <w:r w:rsidRPr="00CB7965">
        <w:rPr>
          <w:b/>
          <w:bCs/>
          <w:sz w:val="28"/>
          <w:szCs w:val="28"/>
        </w:rPr>
        <w:t>2. Полнота</w:t>
      </w:r>
      <w:r w:rsidRPr="00CB7965">
        <w:rPr>
          <w:sz w:val="28"/>
          <w:szCs w:val="28"/>
        </w:rPr>
        <w:t xml:space="preserve"> – свойство информации исчерпывающе (для данного пользователя) характеризовать отображаемый объект и\или процесс.</w:t>
      </w:r>
    </w:p>
    <w:p w:rsidR="00CB7965" w:rsidRPr="00CB7965" w:rsidRDefault="00CB7965" w:rsidP="00CB7965">
      <w:pPr>
        <w:pStyle w:val="a3"/>
        <w:ind w:left="1138"/>
        <w:rPr>
          <w:sz w:val="28"/>
          <w:szCs w:val="28"/>
        </w:rPr>
      </w:pPr>
      <w:r w:rsidRPr="00CB7965">
        <w:rPr>
          <w:b/>
          <w:bCs/>
          <w:sz w:val="28"/>
          <w:szCs w:val="28"/>
        </w:rPr>
        <w:t>3. Своевременность</w:t>
      </w:r>
      <w:r w:rsidRPr="00CB7965">
        <w:rPr>
          <w:sz w:val="28"/>
          <w:szCs w:val="28"/>
        </w:rPr>
        <w:t xml:space="preserve"> – способность информации соответствовать нуждам потребителя в нужный момент времени.</w:t>
      </w:r>
    </w:p>
    <w:p w:rsidR="00CB7965" w:rsidRPr="00CB7965" w:rsidRDefault="00CB7965" w:rsidP="00CB7965">
      <w:pPr>
        <w:pStyle w:val="a3"/>
        <w:ind w:left="1138"/>
        <w:rPr>
          <w:sz w:val="28"/>
          <w:szCs w:val="28"/>
        </w:rPr>
      </w:pPr>
      <w:r w:rsidRPr="00CB7965">
        <w:rPr>
          <w:b/>
          <w:bCs/>
          <w:sz w:val="28"/>
          <w:szCs w:val="28"/>
        </w:rPr>
        <w:lastRenderedPageBreak/>
        <w:t>4. Достоверность</w:t>
      </w:r>
      <w:r w:rsidRPr="00CB7965">
        <w:rPr>
          <w:sz w:val="28"/>
          <w:szCs w:val="28"/>
        </w:rPr>
        <w:t xml:space="preserve"> – свойство информации не иметь скрытых ошибок.</w:t>
      </w:r>
    </w:p>
    <w:p w:rsidR="00CB7965" w:rsidRPr="00CB7965" w:rsidRDefault="00CB7965" w:rsidP="00CB7965">
      <w:pPr>
        <w:pStyle w:val="a3"/>
        <w:ind w:left="1138"/>
        <w:rPr>
          <w:sz w:val="28"/>
          <w:szCs w:val="28"/>
        </w:rPr>
      </w:pPr>
      <w:r w:rsidRPr="00CB7965">
        <w:rPr>
          <w:b/>
          <w:bCs/>
          <w:sz w:val="28"/>
          <w:szCs w:val="28"/>
        </w:rPr>
        <w:t>5. Доступность</w:t>
      </w:r>
      <w:r w:rsidRPr="00CB7965">
        <w:rPr>
          <w:sz w:val="28"/>
          <w:szCs w:val="28"/>
        </w:rPr>
        <w:t xml:space="preserve"> – свойство информации, характеризующее возможность ее получения данным потребителем.</w:t>
      </w:r>
    </w:p>
    <w:p w:rsidR="00CB7965" w:rsidRPr="00CB7965" w:rsidRDefault="00CB7965" w:rsidP="00CB7965">
      <w:pPr>
        <w:pStyle w:val="a3"/>
        <w:ind w:left="1138"/>
        <w:rPr>
          <w:sz w:val="28"/>
          <w:szCs w:val="28"/>
        </w:rPr>
      </w:pPr>
      <w:r w:rsidRPr="00CB7965">
        <w:rPr>
          <w:b/>
          <w:bCs/>
          <w:sz w:val="28"/>
          <w:szCs w:val="28"/>
        </w:rPr>
        <w:t>6. Защищенность</w:t>
      </w:r>
      <w:r w:rsidRPr="00CB7965">
        <w:rPr>
          <w:sz w:val="28"/>
          <w:szCs w:val="28"/>
        </w:rPr>
        <w:t xml:space="preserve"> – свойство, характеризующее невозможность несанкционированного использования или изменения информации.</w:t>
      </w:r>
    </w:p>
    <w:p w:rsidR="00CB7965" w:rsidRDefault="00CB7965" w:rsidP="00CB7965">
      <w:pPr>
        <w:pStyle w:val="a3"/>
        <w:ind w:left="1138"/>
      </w:pPr>
      <w:r>
        <w:rPr>
          <w:b/>
          <w:bCs/>
        </w:rPr>
        <w:t>7. Эргономичность</w:t>
      </w:r>
      <w:r>
        <w:t xml:space="preserve"> – свойство, характеризующее удобство формы или объема информации с точки зрения данного потребителя.</w:t>
      </w:r>
    </w:p>
    <w:p w:rsidR="00CB7965" w:rsidRDefault="00CB7965" w:rsidP="00CB7965">
      <w:pPr>
        <w:pStyle w:val="a3"/>
        <w:ind w:left="1138"/>
      </w:pPr>
      <w:r>
        <w:rPr>
          <w:b/>
          <w:bCs/>
        </w:rPr>
        <w:t>8. Однозначность</w:t>
      </w:r>
      <w:r>
        <w:t xml:space="preserve"> (адекватность) – свойство, характеризующее невозможность различной (неоднозначной) трактовки информации. Для систем использующих </w:t>
      </w:r>
      <w:proofErr w:type="gramStart"/>
      <w:r>
        <w:t>ЭВМ это</w:t>
      </w:r>
      <w:proofErr w:type="gramEnd"/>
      <w:r>
        <w:t xml:space="preserve"> свойство имеет очень большое значение.</w:t>
      </w:r>
    </w:p>
    <w:p w:rsidR="00D01B96" w:rsidRDefault="00D01B96" w:rsidP="00CB7965">
      <w:pPr>
        <w:pStyle w:val="Style1"/>
        <w:widowControl/>
        <w:spacing w:line="240" w:lineRule="auto"/>
        <w:ind w:left="1498"/>
        <w:jc w:val="left"/>
        <w:rPr>
          <w:rStyle w:val="FontStyle21"/>
        </w:rPr>
      </w:pPr>
    </w:p>
    <w:p w:rsidR="00D01B96" w:rsidRDefault="00D01B96" w:rsidP="00D01B96">
      <w:pPr>
        <w:pStyle w:val="Style1"/>
        <w:widowControl/>
        <w:spacing w:line="240" w:lineRule="auto"/>
        <w:ind w:left="778"/>
        <w:rPr>
          <w:rStyle w:val="FontStyle21"/>
        </w:rPr>
      </w:pPr>
    </w:p>
    <w:p w:rsidR="00D01B96" w:rsidRDefault="00D01B96" w:rsidP="00D01B96">
      <w:pPr>
        <w:pStyle w:val="Style1"/>
        <w:widowControl/>
        <w:spacing w:line="240" w:lineRule="auto"/>
        <w:ind w:left="778"/>
        <w:rPr>
          <w:rStyle w:val="FontStyle21"/>
        </w:rPr>
      </w:pPr>
    </w:p>
    <w:p w:rsidR="00476CF5" w:rsidRDefault="00CB7965" w:rsidP="00D01B96">
      <w:pPr>
        <w:jc w:val="center"/>
      </w:pPr>
    </w:p>
    <w:sectPr w:rsidR="00476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1D8F"/>
    <w:multiLevelType w:val="hybridMultilevel"/>
    <w:tmpl w:val="671CF7AE"/>
    <w:lvl w:ilvl="0" w:tplc="0419000F">
      <w:start w:val="1"/>
      <w:numFmt w:val="decimal"/>
      <w:lvlText w:val="%1."/>
      <w:lvlJc w:val="left"/>
      <w:pPr>
        <w:ind w:left="1498" w:hanging="360"/>
      </w:pPr>
    </w:lvl>
    <w:lvl w:ilvl="1" w:tplc="04190019" w:tentative="1">
      <w:start w:val="1"/>
      <w:numFmt w:val="lowerLetter"/>
      <w:lvlText w:val="%2."/>
      <w:lvlJc w:val="left"/>
      <w:pPr>
        <w:ind w:left="2218" w:hanging="360"/>
      </w:pPr>
    </w:lvl>
    <w:lvl w:ilvl="2" w:tplc="0419001B" w:tentative="1">
      <w:start w:val="1"/>
      <w:numFmt w:val="lowerRoman"/>
      <w:lvlText w:val="%3."/>
      <w:lvlJc w:val="right"/>
      <w:pPr>
        <w:ind w:left="2938" w:hanging="180"/>
      </w:pPr>
    </w:lvl>
    <w:lvl w:ilvl="3" w:tplc="0419000F" w:tentative="1">
      <w:start w:val="1"/>
      <w:numFmt w:val="decimal"/>
      <w:lvlText w:val="%4."/>
      <w:lvlJc w:val="left"/>
      <w:pPr>
        <w:ind w:left="3658" w:hanging="360"/>
      </w:pPr>
    </w:lvl>
    <w:lvl w:ilvl="4" w:tplc="04190019" w:tentative="1">
      <w:start w:val="1"/>
      <w:numFmt w:val="lowerLetter"/>
      <w:lvlText w:val="%5."/>
      <w:lvlJc w:val="left"/>
      <w:pPr>
        <w:ind w:left="4378" w:hanging="360"/>
      </w:pPr>
    </w:lvl>
    <w:lvl w:ilvl="5" w:tplc="0419001B" w:tentative="1">
      <w:start w:val="1"/>
      <w:numFmt w:val="lowerRoman"/>
      <w:lvlText w:val="%6."/>
      <w:lvlJc w:val="right"/>
      <w:pPr>
        <w:ind w:left="5098" w:hanging="180"/>
      </w:pPr>
    </w:lvl>
    <w:lvl w:ilvl="6" w:tplc="0419000F" w:tentative="1">
      <w:start w:val="1"/>
      <w:numFmt w:val="decimal"/>
      <w:lvlText w:val="%7."/>
      <w:lvlJc w:val="left"/>
      <w:pPr>
        <w:ind w:left="5818" w:hanging="360"/>
      </w:pPr>
    </w:lvl>
    <w:lvl w:ilvl="7" w:tplc="04190019" w:tentative="1">
      <w:start w:val="1"/>
      <w:numFmt w:val="lowerLetter"/>
      <w:lvlText w:val="%8."/>
      <w:lvlJc w:val="left"/>
      <w:pPr>
        <w:ind w:left="6538" w:hanging="360"/>
      </w:pPr>
    </w:lvl>
    <w:lvl w:ilvl="8" w:tplc="0419001B" w:tentative="1">
      <w:start w:val="1"/>
      <w:numFmt w:val="lowerRoman"/>
      <w:lvlText w:val="%9."/>
      <w:lvlJc w:val="right"/>
      <w:pPr>
        <w:ind w:left="7258" w:hanging="180"/>
      </w:pPr>
    </w:lvl>
  </w:abstractNum>
  <w:abstractNum w:abstractNumId="1" w15:restartNumberingAfterBreak="0">
    <w:nsid w:val="4F291428"/>
    <w:multiLevelType w:val="hybridMultilevel"/>
    <w:tmpl w:val="DB5E4C7E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41"/>
    <w:rsid w:val="00234307"/>
    <w:rsid w:val="003D6BBC"/>
    <w:rsid w:val="00932A41"/>
    <w:rsid w:val="00B75A9A"/>
    <w:rsid w:val="00C1554F"/>
    <w:rsid w:val="00C97071"/>
    <w:rsid w:val="00CB7965"/>
    <w:rsid w:val="00D01B96"/>
    <w:rsid w:val="00D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ED5F"/>
  <w15:chartTrackingRefBased/>
  <w15:docId w15:val="{DE18AC64-DF94-4FDC-847E-B57293D4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333333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D01B96"/>
    <w:pPr>
      <w:widowControl w:val="0"/>
      <w:autoSpaceDE w:val="0"/>
      <w:autoSpaceDN w:val="0"/>
      <w:adjustRightInd w:val="0"/>
      <w:spacing w:after="0" w:line="326" w:lineRule="exact"/>
      <w:jc w:val="center"/>
    </w:pPr>
    <w:rPr>
      <w:rFonts w:eastAsiaTheme="minorEastAsia" w:cs="Times New Roman"/>
      <w:color w:val="auto"/>
      <w:sz w:val="24"/>
      <w:szCs w:val="24"/>
      <w:lang w:eastAsia="ru-RU"/>
    </w:rPr>
  </w:style>
  <w:style w:type="character" w:customStyle="1" w:styleId="FontStyle21">
    <w:name w:val="Font Style21"/>
    <w:basedOn w:val="a0"/>
    <w:uiPriority w:val="99"/>
    <w:rsid w:val="00D01B96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6">
    <w:name w:val="Style6"/>
    <w:basedOn w:val="a"/>
    <w:uiPriority w:val="99"/>
    <w:rsid w:val="00D01B96"/>
    <w:pPr>
      <w:widowControl w:val="0"/>
      <w:autoSpaceDE w:val="0"/>
      <w:autoSpaceDN w:val="0"/>
      <w:adjustRightInd w:val="0"/>
      <w:spacing w:after="0" w:line="322" w:lineRule="exact"/>
      <w:ind w:firstLine="715"/>
    </w:pPr>
    <w:rPr>
      <w:rFonts w:eastAsiaTheme="minorEastAsia" w:cs="Times New Roman"/>
      <w:color w:val="auto"/>
      <w:sz w:val="24"/>
      <w:szCs w:val="24"/>
      <w:lang w:eastAsia="ru-RU"/>
    </w:rPr>
  </w:style>
  <w:style w:type="character" w:customStyle="1" w:styleId="FontStyle19">
    <w:name w:val="Font Style19"/>
    <w:basedOn w:val="a0"/>
    <w:uiPriority w:val="99"/>
    <w:rsid w:val="00D01B96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FontStyle20">
    <w:name w:val="Font Style20"/>
    <w:basedOn w:val="a0"/>
    <w:uiPriority w:val="99"/>
    <w:rsid w:val="00D01B96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D01B96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CB796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2022-02-22T13:44:00Z</dcterms:created>
  <dcterms:modified xsi:type="dcterms:W3CDTF">2022-02-22T14:07:00Z</dcterms:modified>
</cp:coreProperties>
</file>