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6B0914" w:rsidRPr="006B0914" w14:paraId="0A397C45" w14:textId="77777777" w:rsidTr="006B0914">
        <w:trPr>
          <w:trHeight w:val="180"/>
          <w:jc w:val="center"/>
        </w:trPr>
        <w:tc>
          <w:tcPr>
            <w:tcW w:w="0" w:type="auto"/>
            <w:hideMark/>
          </w:tcPr>
          <w:p w14:paraId="4B6F5C6C" w14:textId="163BC402" w:rsidR="006B0914" w:rsidRPr="006B0914" w:rsidRDefault="006B0914" w:rsidP="006B0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B0914" w:rsidRPr="006B0914" w14:paraId="5AF5354B" w14:textId="77777777" w:rsidTr="003E2E90">
        <w:trPr>
          <w:trHeight w:val="180"/>
          <w:jc w:val="center"/>
        </w:trPr>
        <w:tc>
          <w:tcPr>
            <w:tcW w:w="0" w:type="auto"/>
          </w:tcPr>
          <w:p w14:paraId="00BC3A4B" w14:textId="77777777" w:rsidR="003E2E90" w:rsidRDefault="003E2E90" w:rsidP="003E2E90">
            <w:pPr>
              <w:autoSpaceDE w:val="0"/>
              <w:autoSpaceDN w:val="0"/>
              <w:adjustRightInd w:val="0"/>
              <w:jc w:val="center"/>
              <w:rPr>
                <w:color w:val="FF0000"/>
                <w:sz w:val="24"/>
                <w:szCs w:val="24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78"/>
              <w:gridCol w:w="4483"/>
              <w:gridCol w:w="2264"/>
            </w:tblGrid>
            <w:tr w:rsidR="003E2E90" w:rsidRPr="005C1A71" w14:paraId="237BE213" w14:textId="77777777" w:rsidTr="00CE4F1B">
              <w:trPr>
                <w:gridAfter w:val="1"/>
                <w:wAfter w:w="2265" w:type="dxa"/>
                <w:trHeight w:val="184"/>
              </w:trPr>
              <w:tc>
                <w:tcPr>
                  <w:tcW w:w="2580" w:type="dxa"/>
                  <w:shd w:val="clear" w:color="auto" w:fill="FFFFFF"/>
                </w:tcPr>
                <w:p w14:paraId="5014FADB" w14:textId="77777777" w:rsidR="003E2E90" w:rsidRPr="005C1A71" w:rsidRDefault="003E2E90" w:rsidP="003E2E90">
                  <w:pPr>
                    <w:suppressAutoHyphens/>
                    <w:jc w:val="both"/>
                    <w:rPr>
                      <w:rFonts w:ascii="Calibri" w:hAnsi="Calibri"/>
                      <w:lang w:val="en-US" w:eastAsia="zh-CN"/>
                    </w:rPr>
                  </w:pPr>
                </w:p>
              </w:tc>
              <w:tc>
                <w:tcPr>
                  <w:tcW w:w="4485" w:type="dxa"/>
                  <w:shd w:val="clear" w:color="auto" w:fill="FFFFFF"/>
                </w:tcPr>
                <w:p w14:paraId="4FE87275" w14:textId="77777777" w:rsidR="003E2E90" w:rsidRPr="005C1A71" w:rsidRDefault="003E2E90" w:rsidP="003E2E90">
                  <w:pPr>
                    <w:suppressAutoHyphens/>
                    <w:ind w:firstLine="400"/>
                    <w:jc w:val="both"/>
                    <w:rPr>
                      <w:rFonts w:ascii="Calibri" w:hAnsi="Calibri"/>
                      <w:lang w:val="en-US" w:eastAsia="zh-CN"/>
                    </w:rPr>
                  </w:pPr>
                  <w:r w:rsidRPr="005C1A71">
                    <w:rPr>
                      <w:sz w:val="24"/>
                      <w:lang w:val="en-US" w:eastAsia="zh-CN"/>
                    </w:rPr>
                    <w:t xml:space="preserve">                       </w:t>
                  </w:r>
                  <w:r w:rsidRPr="005C1A71">
                    <w:rPr>
                      <w:noProof/>
                      <w:sz w:val="24"/>
                      <w:lang w:eastAsia="ru-RU"/>
                    </w:rPr>
                    <w:drawing>
                      <wp:inline distT="0" distB="0" distL="0" distR="0" wp14:anchorId="43B0BD41" wp14:editId="6E594AA4">
                        <wp:extent cx="847725" cy="971550"/>
                        <wp:effectExtent l="0" t="0" r="9525" b="0"/>
                        <wp:docPr id="16" name="Рисунок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7725" cy="9715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E2E90" w:rsidRPr="005C1A71" w14:paraId="3150EA43" w14:textId="77777777" w:rsidTr="00CE4F1B">
              <w:trPr>
                <w:trHeight w:val="554"/>
              </w:trPr>
              <w:tc>
                <w:tcPr>
                  <w:tcW w:w="9330" w:type="dxa"/>
                  <w:gridSpan w:val="3"/>
                  <w:shd w:val="clear" w:color="auto" w:fill="FFFFFF"/>
                  <w:vAlign w:val="center"/>
                </w:tcPr>
                <w:p w14:paraId="629CB822" w14:textId="77777777" w:rsidR="003E2E90" w:rsidRPr="005C1A71" w:rsidRDefault="003E2E90" w:rsidP="003E2E90">
                  <w:pPr>
                    <w:suppressAutoHyphens/>
                    <w:ind w:firstLine="400"/>
                    <w:jc w:val="center"/>
                    <w:rPr>
                      <w:lang w:eastAsia="zh-CN"/>
                    </w:rPr>
                  </w:pPr>
                  <w:r w:rsidRPr="005C1A71">
                    <w:rPr>
                      <w:rFonts w:ascii="Times New Roman CYR" w:hAnsi="Times New Roman CYR"/>
                      <w:caps/>
                      <w:sz w:val="24"/>
                      <w:lang w:eastAsia="zh-CN"/>
                    </w:rPr>
                    <w:t>МИНОБРНАУКИ РОССИИ</w:t>
                  </w:r>
                </w:p>
              </w:tc>
            </w:tr>
            <w:tr w:rsidR="003E2E90" w:rsidRPr="005C1A71" w14:paraId="42E8FC53" w14:textId="77777777" w:rsidTr="00CE4F1B">
              <w:trPr>
                <w:trHeight w:val="23"/>
              </w:trPr>
              <w:tc>
                <w:tcPr>
                  <w:tcW w:w="9330" w:type="dxa"/>
                  <w:gridSpan w:val="3"/>
                  <w:shd w:val="clear" w:color="auto" w:fill="FFFFFF"/>
                </w:tcPr>
                <w:p w14:paraId="0837D420" w14:textId="77777777" w:rsidR="003E2E90" w:rsidRPr="005C1A71" w:rsidRDefault="003E2E90" w:rsidP="003E2E90">
                  <w:pPr>
                    <w:suppressAutoHyphens/>
                    <w:ind w:firstLine="400"/>
                    <w:jc w:val="center"/>
                    <w:rPr>
                      <w:sz w:val="24"/>
                      <w:lang w:eastAsia="zh-CN"/>
                    </w:rPr>
                  </w:pPr>
                  <w:r w:rsidRPr="005C1A71">
                    <w:rPr>
                      <w:rFonts w:ascii="Times New Roman CYR" w:hAnsi="Times New Roman CYR"/>
                      <w:sz w:val="24"/>
                      <w:lang w:eastAsia="zh-CN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60D1838C" w14:textId="77777777" w:rsidR="003E2E90" w:rsidRPr="005C1A71" w:rsidRDefault="003E2E90" w:rsidP="003E2E90">
                  <w:pPr>
                    <w:suppressAutoHyphens/>
                    <w:ind w:firstLine="400"/>
                    <w:jc w:val="center"/>
                    <w:rPr>
                      <w:b/>
                      <w:sz w:val="24"/>
                      <w:lang w:eastAsia="zh-CN"/>
                    </w:rPr>
                  </w:pPr>
                  <w:r w:rsidRPr="005C1A71">
                    <w:rPr>
                      <w:sz w:val="24"/>
                      <w:lang w:eastAsia="zh-CN"/>
                    </w:rPr>
                    <w:t xml:space="preserve"> </w:t>
                  </w:r>
                  <w:r w:rsidRPr="005C1A71">
                    <w:rPr>
                      <w:rFonts w:ascii="Times New Roman CYR" w:hAnsi="Times New Roman CYR"/>
                      <w:sz w:val="24"/>
                      <w:lang w:eastAsia="zh-CN"/>
                    </w:rPr>
                    <w:t>высшего образования</w:t>
                  </w:r>
                </w:p>
                <w:p w14:paraId="60B08D57" w14:textId="77777777" w:rsidR="003E2E90" w:rsidRPr="005C1A71" w:rsidRDefault="003E2E90" w:rsidP="003E2E90">
                  <w:pPr>
                    <w:suppressAutoHyphens/>
                    <w:ind w:firstLine="400"/>
                    <w:jc w:val="center"/>
                    <w:rPr>
                      <w:rFonts w:ascii="Times New Roman CYR" w:hAnsi="Times New Roman CYR"/>
                      <w:b/>
                      <w:sz w:val="32"/>
                      <w:lang w:eastAsia="zh-CN"/>
                    </w:rPr>
                  </w:pPr>
                  <w:r w:rsidRPr="005C1A71">
                    <w:rPr>
                      <w:b/>
                      <w:sz w:val="24"/>
                      <w:lang w:eastAsia="zh-CN"/>
                    </w:rPr>
                    <w:t>«</w:t>
                  </w:r>
                  <w:r w:rsidRPr="005C1A71">
                    <w:rPr>
                      <w:rFonts w:ascii="Times New Roman CYR" w:hAnsi="Times New Roman CYR"/>
                      <w:b/>
                      <w:sz w:val="24"/>
                      <w:lang w:eastAsia="zh-CN"/>
                    </w:rPr>
                    <w:t>МИРЭА – Российский технологический университет</w:t>
                  </w:r>
                  <w:r w:rsidRPr="005C1A71">
                    <w:rPr>
                      <w:b/>
                      <w:sz w:val="24"/>
                      <w:lang w:eastAsia="zh-CN"/>
                    </w:rPr>
                    <w:t>»</w:t>
                  </w:r>
                </w:p>
                <w:p w14:paraId="702B29A1" w14:textId="77777777" w:rsidR="003E2E90" w:rsidRPr="005C1A71" w:rsidRDefault="003E2E90" w:rsidP="003E2E90">
                  <w:pPr>
                    <w:suppressAutoHyphens/>
                    <w:ind w:firstLine="400"/>
                    <w:jc w:val="center"/>
                    <w:rPr>
                      <w:lang w:eastAsia="zh-CN"/>
                    </w:rPr>
                  </w:pPr>
                  <w:r w:rsidRPr="005C1A71">
                    <w:rPr>
                      <w:rFonts w:ascii="Times New Roman CYR" w:hAnsi="Times New Roman CYR"/>
                      <w:b/>
                      <w:sz w:val="32"/>
                      <w:lang w:eastAsia="zh-CN"/>
                    </w:rPr>
                    <w:t>РТУ МИРЭА</w:t>
                  </w:r>
                </w:p>
              </w:tc>
            </w:tr>
          </w:tbl>
          <w:p w14:paraId="5A611F28" w14:textId="72916239" w:rsidR="006B0914" w:rsidRPr="006B0914" w:rsidRDefault="006B0914" w:rsidP="003E2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B0914" w:rsidRPr="006B0914" w14:paraId="7A6699F6" w14:textId="77777777" w:rsidTr="003E2E90">
        <w:trPr>
          <w:jc w:val="center"/>
        </w:trPr>
        <w:tc>
          <w:tcPr>
            <w:tcW w:w="0" w:type="auto"/>
          </w:tcPr>
          <w:p w14:paraId="26287D96" w14:textId="51D558CB" w:rsidR="006B0914" w:rsidRPr="006B0914" w:rsidRDefault="006B0914" w:rsidP="006B0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B0914" w:rsidRPr="006B0914" w14:paraId="63DEB95E" w14:textId="77777777" w:rsidTr="006B0914">
        <w:trPr>
          <w:jc w:val="center"/>
        </w:trPr>
        <w:tc>
          <w:tcPr>
            <w:tcW w:w="0" w:type="auto"/>
            <w:hideMark/>
          </w:tcPr>
          <w:p w14:paraId="4D2D7498" w14:textId="29B786F9" w:rsidR="006B0914" w:rsidRPr="006B0914" w:rsidRDefault="00025AF6" w:rsidP="006B0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Институ</w:t>
            </w:r>
            <w:r w:rsidR="006B0914" w:rsidRPr="006B0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 информационных технологий </w:t>
            </w:r>
          </w:p>
        </w:tc>
      </w:tr>
      <w:tr w:rsidR="006B0914" w:rsidRPr="006B0914" w14:paraId="5581D1B5" w14:textId="77777777" w:rsidTr="006B0914">
        <w:trPr>
          <w:trHeight w:val="280"/>
          <w:jc w:val="center"/>
        </w:trPr>
        <w:tc>
          <w:tcPr>
            <w:tcW w:w="0" w:type="auto"/>
            <w:hideMark/>
          </w:tcPr>
          <w:p w14:paraId="75CFE45F" w14:textId="718313D3" w:rsidR="00025AF6" w:rsidRPr="00025AF6" w:rsidRDefault="00025AF6" w:rsidP="00025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5A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Кафедра</w:t>
            </w:r>
            <w:r w:rsidR="006109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610961" w:rsidRPr="006109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информационных технологий в атомной энергетике</w:t>
            </w:r>
            <w:r w:rsidRPr="00025A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14:paraId="727A364B" w14:textId="1A0D0979" w:rsidR="006B0914" w:rsidRPr="006B0914" w:rsidRDefault="006B0914" w:rsidP="006B0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056ED55" w14:textId="77777777" w:rsidR="006B0914" w:rsidRPr="006B0914" w:rsidRDefault="006B0914" w:rsidP="006B091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91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1DBDB40" w14:textId="77777777" w:rsidR="006B0914" w:rsidRPr="006B0914" w:rsidRDefault="006B0914" w:rsidP="006B09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91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4"/>
        <w:gridCol w:w="5121"/>
      </w:tblGrid>
      <w:tr w:rsidR="006B0914" w:rsidRPr="006B0914" w14:paraId="4422AED1" w14:textId="77777777" w:rsidTr="006B0914">
        <w:tc>
          <w:tcPr>
            <w:tcW w:w="92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70C60" w14:textId="77777777" w:rsidR="006B0914" w:rsidRPr="006B0914" w:rsidRDefault="006B0914" w:rsidP="006B091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0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B0914" w:rsidRPr="00415302" w14:paraId="4E7B6EC6" w14:textId="77777777" w:rsidTr="006B0914">
        <w:tc>
          <w:tcPr>
            <w:tcW w:w="92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97028" w14:textId="77777777" w:rsidR="006B0914" w:rsidRPr="006B0914" w:rsidRDefault="006B0914" w:rsidP="006B091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091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Эссе по дисциплине </w:t>
            </w:r>
          </w:p>
          <w:p w14:paraId="25BC427E" w14:textId="5241317C" w:rsidR="006B0914" w:rsidRDefault="006B0914" w:rsidP="006B091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6B091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“Введение в профессиональную деятельность”</w:t>
            </w:r>
          </w:p>
          <w:p w14:paraId="2A144F25" w14:textId="682D03E6" w:rsidR="0053318D" w:rsidRDefault="0053318D" w:rsidP="006B091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  <w:p w14:paraId="21FB7702" w14:textId="77777777" w:rsidR="0053318D" w:rsidRDefault="0053318D" w:rsidP="006B091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  <w:p w14:paraId="7670550B" w14:textId="00C1CC03" w:rsidR="00672179" w:rsidRPr="006B0914" w:rsidRDefault="00672179" w:rsidP="006B091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B0914" w:rsidRPr="006B0914" w14:paraId="19C20E85" w14:textId="77777777" w:rsidTr="006B0914">
        <w:tc>
          <w:tcPr>
            <w:tcW w:w="92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576F8" w14:textId="0A39822A" w:rsidR="006B0914" w:rsidRPr="006B0914" w:rsidRDefault="006B0914" w:rsidP="006B091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Тема: </w:t>
            </w:r>
            <w:r w:rsidRPr="006B091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«</w:t>
            </w:r>
            <w:r w:rsidR="00610961" w:rsidRPr="0061096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Перспективы развития мобильных устройств</w:t>
            </w:r>
            <w:r w:rsidRPr="006B091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»</w:t>
            </w:r>
          </w:p>
        </w:tc>
      </w:tr>
      <w:tr w:rsidR="006B0914" w:rsidRPr="006B0914" w14:paraId="2A26D357" w14:textId="77777777" w:rsidTr="006B0914">
        <w:tc>
          <w:tcPr>
            <w:tcW w:w="92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3B2B2" w14:textId="77777777" w:rsidR="006B0914" w:rsidRPr="006B0914" w:rsidRDefault="006B0914" w:rsidP="006B091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0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3CDB4136" w14:textId="77777777" w:rsidR="006B0914" w:rsidRPr="006B0914" w:rsidRDefault="006B0914" w:rsidP="006B091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0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52279BB0" w14:textId="77777777" w:rsidR="00025AF6" w:rsidRDefault="00025AF6" w:rsidP="006B091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17308EB" w14:textId="77777777" w:rsidR="00025AF6" w:rsidRDefault="00025AF6" w:rsidP="006B091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5521CC7" w14:textId="08727943" w:rsidR="006B0914" w:rsidRPr="006B0914" w:rsidRDefault="006B0914" w:rsidP="006B091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B0914" w:rsidRPr="006B0914" w14:paraId="0AE72B1F" w14:textId="77777777" w:rsidTr="006B091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66A4D" w14:textId="77777777" w:rsidR="006B0914" w:rsidRPr="006B0914" w:rsidRDefault="006B0914" w:rsidP="006B091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5A8E090" w14:textId="481BA715" w:rsidR="006B0914" w:rsidRPr="006B0914" w:rsidRDefault="006B0914" w:rsidP="00610961">
            <w:pPr>
              <w:spacing w:after="0" w:line="240" w:lineRule="auto"/>
              <w:ind w:left="-105" w:right="-837" w:firstLine="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0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Выполнил студент группы </w:t>
            </w:r>
            <w:r w:rsidR="006109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ИКБО-37-22</w:t>
            </w:r>
          </w:p>
          <w:p w14:paraId="6ABBF749" w14:textId="77777777" w:rsidR="006B0914" w:rsidRPr="006B0914" w:rsidRDefault="006B0914" w:rsidP="006B091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09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                                   </w:t>
            </w:r>
          </w:p>
        </w:tc>
        <w:tc>
          <w:tcPr>
            <w:tcW w:w="512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A98D7" w14:textId="77777777" w:rsidR="006B0914" w:rsidRPr="006B0914" w:rsidRDefault="006B0914" w:rsidP="006B091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0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59964A78" w14:textId="77777777" w:rsidR="006B0914" w:rsidRPr="006B0914" w:rsidRDefault="006B0914" w:rsidP="006B091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0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75B3B9AD" w14:textId="40CD4B8F" w:rsidR="006B0914" w:rsidRPr="006B0914" w:rsidRDefault="00610961" w:rsidP="00610961">
            <w:pPr>
              <w:shd w:val="clear" w:color="auto" w:fill="FFFFFF"/>
              <w:spacing w:after="0" w:line="240" w:lineRule="auto"/>
              <w:ind w:firstLine="261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Утенков Ю. Ю</w:t>
            </w:r>
            <w:r w:rsidR="006B0914" w:rsidRPr="006B0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6B0914" w:rsidRPr="006B0914" w14:paraId="65D4BA98" w14:textId="77777777" w:rsidTr="006B091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DEEBF" w14:textId="77777777" w:rsidR="006B0914" w:rsidRDefault="006B0914" w:rsidP="006B0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7E021F6" w14:textId="77777777" w:rsidR="006B0914" w:rsidRPr="006B0914" w:rsidRDefault="006B0914" w:rsidP="006B0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C83A6B8" w14:textId="77777777" w:rsidR="006B0914" w:rsidRPr="006B0914" w:rsidRDefault="006B0914" w:rsidP="006B0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0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Принял </w:t>
            </w:r>
            <w:r w:rsidRPr="006B0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к.т.н., доцент</w:t>
            </w:r>
          </w:p>
          <w:p w14:paraId="419FBE34" w14:textId="77777777" w:rsidR="006B0914" w:rsidRPr="006B0914" w:rsidRDefault="006B0914" w:rsidP="006B0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0B72B" w14:textId="77777777" w:rsidR="006B0914" w:rsidRPr="006B0914" w:rsidRDefault="006B0914" w:rsidP="006B091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09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3B8FC423" w14:textId="77777777" w:rsidR="006B0914" w:rsidRDefault="006B0914" w:rsidP="006B0914">
            <w:pPr>
              <w:shd w:val="clear" w:color="auto" w:fill="FFFFFF"/>
              <w:spacing w:after="0" w:line="240" w:lineRule="auto"/>
              <w:ind w:firstLine="159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</w:t>
            </w:r>
          </w:p>
          <w:p w14:paraId="080C959F" w14:textId="775BB7DD" w:rsidR="006B0914" w:rsidRPr="006B0914" w:rsidRDefault="006B0914" w:rsidP="00415302">
            <w:pPr>
              <w:shd w:val="clear" w:color="auto" w:fill="FFFFFF"/>
              <w:spacing w:after="0" w:line="240" w:lineRule="auto"/>
              <w:ind w:firstLine="161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 </w:t>
            </w:r>
            <w:r w:rsidR="00415302" w:rsidRPr="00415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Миронов А</w:t>
            </w:r>
            <w:r w:rsidR="00415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="00415302" w:rsidRPr="00415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</w:t>
            </w:r>
            <w:r w:rsidRPr="006B0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</w:tbl>
    <w:p w14:paraId="2D073E26" w14:textId="77777777" w:rsidR="006B0914" w:rsidRPr="006B0914" w:rsidRDefault="006B0914" w:rsidP="006B091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91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9E804FC" w14:textId="77777777" w:rsidR="006B0914" w:rsidRPr="006B0914" w:rsidRDefault="006B0914" w:rsidP="006B091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91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  <w:gridCol w:w="222"/>
        <w:gridCol w:w="222"/>
      </w:tblGrid>
      <w:tr w:rsidR="006B0914" w:rsidRPr="006B0914" w14:paraId="34D5EC0C" w14:textId="77777777" w:rsidTr="006B091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3EE79" w14:textId="77777777" w:rsidR="006B0914" w:rsidRPr="006B0914" w:rsidRDefault="006B0914" w:rsidP="006B0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050E8" w14:textId="77777777" w:rsidR="006B0914" w:rsidRPr="006B0914" w:rsidRDefault="006B0914" w:rsidP="006B0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C898D" w14:textId="77777777" w:rsidR="006B0914" w:rsidRPr="006B0914" w:rsidRDefault="006B0914" w:rsidP="006B0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AE79CA2" w14:textId="77777777" w:rsidR="006B0914" w:rsidRPr="006B0914" w:rsidRDefault="006B0914" w:rsidP="006B091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91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270EA49" w14:textId="77777777" w:rsidR="006B0914" w:rsidRPr="006B0914" w:rsidRDefault="006B0914" w:rsidP="006B09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91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0D8E10A" w14:textId="3953D1FA" w:rsidR="006B0914" w:rsidRPr="009E2D35" w:rsidRDefault="00F93AE8" w:rsidP="006B091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Москва 202</w:t>
      </w:r>
      <w:r w:rsidR="009E2D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</w:p>
    <w:p w14:paraId="2B3E1367" w14:textId="52B64CB3" w:rsidR="006B0914" w:rsidRDefault="006B0914" w:rsidP="006B0914"/>
    <w:p w14:paraId="36A93FBA" w14:textId="15FE8E1A" w:rsidR="00610961" w:rsidRDefault="00610961" w:rsidP="006B0914"/>
    <w:p w14:paraId="619E3284" w14:textId="0D04DF34" w:rsidR="00610961" w:rsidRDefault="00610961" w:rsidP="006B0914"/>
    <w:p w14:paraId="0EF37AED" w14:textId="2DBF8FF2" w:rsidR="00610961" w:rsidRDefault="00610961" w:rsidP="006B0914"/>
    <w:p w14:paraId="54F6EC6E" w14:textId="588BBAFA" w:rsidR="00610961" w:rsidRPr="00610961" w:rsidRDefault="00610961" w:rsidP="006109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0961">
        <w:rPr>
          <w:rFonts w:ascii="Times New Roman" w:hAnsi="Times New Roman" w:cs="Times New Roman"/>
          <w:sz w:val="28"/>
          <w:szCs w:val="28"/>
        </w:rPr>
        <w:lastRenderedPageBreak/>
        <w:t>Мобильные устройства, такие как смартфоны и планшеты, стали неотъемлемой частью нашей повседневной жизни, и их развитие оказывает значительное влияние на то, как мы общаемся, получаем доступ к информации и выполняем широкий спектр задач. В этом эссе мы рассмотрим перспективы развития мобильных устройств,</w:t>
      </w:r>
      <w:r w:rsidR="000C0654">
        <w:rPr>
          <w:rFonts w:ascii="Times New Roman" w:hAnsi="Times New Roman" w:cs="Times New Roman"/>
          <w:sz w:val="28"/>
          <w:szCs w:val="28"/>
        </w:rPr>
        <w:t xml:space="preserve"> </w:t>
      </w:r>
      <w:r w:rsidRPr="00610961">
        <w:rPr>
          <w:rFonts w:ascii="Times New Roman" w:hAnsi="Times New Roman" w:cs="Times New Roman"/>
          <w:sz w:val="28"/>
          <w:szCs w:val="28"/>
        </w:rPr>
        <w:t>включая ключевые тенденции и технологии, которые движут этим развитием.</w:t>
      </w:r>
    </w:p>
    <w:p w14:paraId="1FD927FB" w14:textId="77777777" w:rsidR="00610961" w:rsidRPr="00610961" w:rsidRDefault="00610961" w:rsidP="006109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DF90DD" w14:textId="77777777" w:rsidR="00610961" w:rsidRPr="00610961" w:rsidRDefault="00610961" w:rsidP="006109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0961">
        <w:rPr>
          <w:rFonts w:ascii="Times New Roman" w:hAnsi="Times New Roman" w:cs="Times New Roman"/>
          <w:sz w:val="28"/>
          <w:szCs w:val="28"/>
        </w:rPr>
        <w:t>Одной из основных тенденций развития мобильных устройств является постоянное увеличение их вычислительной мощности и возможностей. В последние годы мобильные устройства стали более мощными, с более быстрыми процессорами, большим объемом памяти и улучшенными графическими возможностями.</w:t>
      </w:r>
    </w:p>
    <w:p w14:paraId="63C54F77" w14:textId="77777777" w:rsidR="00610961" w:rsidRPr="00610961" w:rsidRDefault="00610961" w:rsidP="006109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0961">
        <w:rPr>
          <w:rFonts w:ascii="Times New Roman" w:hAnsi="Times New Roman" w:cs="Times New Roman"/>
          <w:sz w:val="28"/>
          <w:szCs w:val="28"/>
        </w:rPr>
        <w:t>Это позволило им поддерживать более широкий спектр приложений и функций, таких как видео высокой четкости, виртуальная реальность и игры. Поскольку процессоры и другие компоненты продолжают совершенствоваться, вполне вероятно, что мобильные устройства станут еще более мощными, что позволит использовать еще более продвинутые приложения и возможности.</w:t>
      </w:r>
    </w:p>
    <w:p w14:paraId="238678A0" w14:textId="77777777" w:rsidR="00610961" w:rsidRPr="00610961" w:rsidRDefault="00610961" w:rsidP="006109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0961">
        <w:rPr>
          <w:rFonts w:ascii="Times New Roman" w:hAnsi="Times New Roman" w:cs="Times New Roman"/>
          <w:sz w:val="28"/>
          <w:szCs w:val="28"/>
        </w:rPr>
        <w:t>Еще одной тенденцией развития мобильных устройств является усиление внимания к искусственному интеллекту (ИИ) и машинному обучению. Многие мобильные устройства теперь включают технологии искусственного интеллекта и машинного обучения, которые позволяют им выполнять такие задачи, как языковой перевод, распознавание изображений и персональные помощники.</w:t>
      </w:r>
    </w:p>
    <w:p w14:paraId="78CE5748" w14:textId="77777777" w:rsidR="00610961" w:rsidRPr="00610961" w:rsidRDefault="00610961" w:rsidP="006109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0961">
        <w:rPr>
          <w:rFonts w:ascii="Times New Roman" w:hAnsi="Times New Roman" w:cs="Times New Roman"/>
          <w:sz w:val="28"/>
          <w:szCs w:val="28"/>
        </w:rPr>
        <w:t>Поскольку технологии искусственного интеллекта и машинного обучения продолжают совершенствоваться, вполне вероятно, что мобильные устройства станут еще более интеллектуальными и смогут выполнять более широкий спектр задач.</w:t>
      </w:r>
    </w:p>
    <w:p w14:paraId="1EF75819" w14:textId="77777777" w:rsidR="00610961" w:rsidRPr="00610961" w:rsidRDefault="00610961" w:rsidP="006109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FB8323" w14:textId="77777777" w:rsidR="00610961" w:rsidRPr="00610961" w:rsidRDefault="00610961" w:rsidP="006109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0961">
        <w:rPr>
          <w:rFonts w:ascii="Times New Roman" w:hAnsi="Times New Roman" w:cs="Times New Roman"/>
          <w:sz w:val="28"/>
          <w:szCs w:val="28"/>
        </w:rPr>
        <w:lastRenderedPageBreak/>
        <w:t>Третьей тенденцией развития мобильных устройств является все более широкое использование новых материалов и технологий. Например,</w:t>
      </w:r>
    </w:p>
    <w:p w14:paraId="78E29733" w14:textId="77777777" w:rsidR="00610961" w:rsidRPr="00610961" w:rsidRDefault="00610961" w:rsidP="006109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0961">
        <w:rPr>
          <w:rFonts w:ascii="Times New Roman" w:hAnsi="Times New Roman" w:cs="Times New Roman"/>
          <w:sz w:val="28"/>
          <w:szCs w:val="28"/>
        </w:rPr>
        <w:t>многие мобильные устройства теперь используют гибкие или складные дисплеи, которые обеспечивают новые форм-факторы и возможности дизайна. Кроме того, продолжаются исследования по использованию новых материалов, таких как графен и керамика, которые потенциально могут позволить разработать более прочные, легкие и долговечные устройства.</w:t>
      </w:r>
    </w:p>
    <w:p w14:paraId="27CF764A" w14:textId="77777777" w:rsidR="00610961" w:rsidRPr="00610961" w:rsidRDefault="00610961" w:rsidP="006109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ECA758" w14:textId="77777777" w:rsidR="00610961" w:rsidRPr="00610961" w:rsidRDefault="00610961" w:rsidP="006109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0961">
        <w:rPr>
          <w:rFonts w:ascii="Times New Roman" w:hAnsi="Times New Roman" w:cs="Times New Roman"/>
          <w:sz w:val="28"/>
          <w:szCs w:val="28"/>
        </w:rPr>
        <w:t>Перспективы развития мобильных устройств блестящие, и этому развитию способствует множество интересных тенденций и технологий. Поскольку мобильные устройства продолжают становиться все более мощными, интеллектуальными и универсальными, они будут продолжать играть важную роль в нашей повседневной жизни и предоставлять широкий спектр новых возможностей и приложений.</w:t>
      </w:r>
    </w:p>
    <w:p w14:paraId="12DCC299" w14:textId="77777777" w:rsidR="00610961" w:rsidRPr="00610961" w:rsidRDefault="00610961" w:rsidP="006109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222327" w14:textId="77777777" w:rsidR="00610961" w:rsidRPr="00610961" w:rsidRDefault="00610961" w:rsidP="006109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0961">
        <w:rPr>
          <w:rFonts w:ascii="Times New Roman" w:hAnsi="Times New Roman" w:cs="Times New Roman"/>
          <w:sz w:val="28"/>
          <w:szCs w:val="28"/>
        </w:rPr>
        <w:t>Еще одной тенденцией в развитии мобильных устройств является все большее внимание к возможностям подключения и коммуникации. С распространением сетей 5G и других передовых коммуникационных технологий мобильные устройства становятся более подключенными, чем когда-либо прежде. Это обеспечивает более быструю и надежную связь, а также возможность доступа к новым типам контента и услуг.</w:t>
      </w:r>
    </w:p>
    <w:p w14:paraId="4AAB5227" w14:textId="77777777" w:rsidR="00610961" w:rsidRPr="00610961" w:rsidRDefault="00610961" w:rsidP="006109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7B8AD8" w14:textId="77777777" w:rsidR="00610961" w:rsidRPr="00610961" w:rsidRDefault="00610961" w:rsidP="006109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0961">
        <w:rPr>
          <w:rFonts w:ascii="Times New Roman" w:hAnsi="Times New Roman" w:cs="Times New Roman"/>
          <w:sz w:val="28"/>
          <w:szCs w:val="28"/>
        </w:rPr>
        <w:t>В дополнение к этим тенденциям существует также ряд новых технологий, которые могут определить будущее мобильных устройств. Одной из таких технологий является Интернет вещей (</w:t>
      </w:r>
      <w:proofErr w:type="spellStart"/>
      <w:r w:rsidRPr="00610961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610961">
        <w:rPr>
          <w:rFonts w:ascii="Times New Roman" w:hAnsi="Times New Roman" w:cs="Times New Roman"/>
          <w:sz w:val="28"/>
          <w:szCs w:val="28"/>
        </w:rPr>
        <w:t>), который включает в себя интеграцию устройств и датчиков в Интернет, что позволяет им общаться и обмениваться данными. Это может открыть новые типы приложений и сервисов, а также новые способы взаимодействия с окружающим миром.</w:t>
      </w:r>
    </w:p>
    <w:p w14:paraId="038A50CC" w14:textId="77777777" w:rsidR="00610961" w:rsidRPr="00610961" w:rsidRDefault="00610961" w:rsidP="006109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4A4ACB" w14:textId="20582F61" w:rsidR="00610961" w:rsidRPr="00610961" w:rsidRDefault="00610961" w:rsidP="006109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0961">
        <w:rPr>
          <w:rFonts w:ascii="Times New Roman" w:hAnsi="Times New Roman" w:cs="Times New Roman"/>
          <w:sz w:val="28"/>
          <w:szCs w:val="28"/>
        </w:rPr>
        <w:lastRenderedPageBreak/>
        <w:t>Еще одна новая технология — это граничные вычисления, которые включают обработку данных и вычисления на границе сети, ближе к устройству или пользователю. Это может обеспечить более быстрое</w:t>
      </w:r>
      <w:r w:rsidR="00437F9D">
        <w:rPr>
          <w:rFonts w:ascii="Times New Roman" w:hAnsi="Times New Roman" w:cs="Times New Roman"/>
          <w:sz w:val="28"/>
          <w:szCs w:val="28"/>
        </w:rPr>
        <w:t xml:space="preserve"> </w:t>
      </w:r>
      <w:r w:rsidRPr="00610961">
        <w:rPr>
          <w:rFonts w:ascii="Times New Roman" w:hAnsi="Times New Roman" w:cs="Times New Roman"/>
          <w:sz w:val="28"/>
          <w:szCs w:val="28"/>
        </w:rPr>
        <w:t>реагирование приложений, а также возможность обработки данных в режиме реального времени.</w:t>
      </w:r>
    </w:p>
    <w:p w14:paraId="79243FC9" w14:textId="77777777" w:rsidR="00610961" w:rsidRPr="00610961" w:rsidRDefault="00610961" w:rsidP="006109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AB3903" w14:textId="77777777" w:rsidR="00437F9D" w:rsidRDefault="00610961" w:rsidP="006109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0961">
        <w:rPr>
          <w:rFonts w:ascii="Times New Roman" w:hAnsi="Times New Roman" w:cs="Times New Roman"/>
          <w:sz w:val="28"/>
          <w:szCs w:val="28"/>
        </w:rPr>
        <w:t>В заключение отметим, что перспективы развития мобильных устройств блестящие, и этому развитию способствует множество интересных тенденций и технологий. Поскольку мобильные устройства продолжают становиться все более мощными, интеллектуальными и универсальными, они будут продолжать играть важную роль в нашей повседневной жизни и предоставлять широкий спектр новых возможностей и приложений. Благодаря постоянному развитию новых технологий, таких как Интернет вещей и периферийные вычисления, будущее мобильных устройств, несомненно, будет полно возможностей.</w:t>
      </w:r>
      <w:r w:rsidR="00437F9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AFED8A" w14:textId="294E4556" w:rsidR="00610961" w:rsidRDefault="00437F9D" w:rsidP="006109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F9D">
        <w:rPr>
          <w:rFonts w:ascii="Times New Roman" w:hAnsi="Times New Roman" w:cs="Times New Roman"/>
          <w:sz w:val="28"/>
          <w:szCs w:val="28"/>
        </w:rPr>
        <w:t xml:space="preserve">Понятно, что развитие мобильных устройств обусловлено рядом ключевых тенденций и технологий. Растущая вычислительная мощность и возможности мобильных устройств, акцент на искусственном интеллекте и машинном обучении, а также использование новых материалов и технологий способствуют дальнейшему развитию этой технологии. Кроме того, растущий акцент на подключении и коммуникации, а также появление новых технологий, таких как Интернет вещей и периферийные вычисления, также играют роль в формировании будущего мобильных устройств. Поскольку мобильные устройства продолжают становиться все более мощными и интеллектуальными, они смогут поддерживать более широкий спектр приложений и функций, что позволит пользователям делать больше со своими устройствами. Это, вероятно, приведет к разработке новых типов контента и услуг, а также новых способов взаимодействия с окружающим миром. В целом перспективы развития мобильных устройств впечатляют, и есть много чего ожидать в будущем этой технологии. Поскольку мобильные устройства </w:t>
      </w:r>
      <w:r w:rsidRPr="00437F9D">
        <w:rPr>
          <w:rFonts w:ascii="Times New Roman" w:hAnsi="Times New Roman" w:cs="Times New Roman"/>
          <w:sz w:val="28"/>
          <w:szCs w:val="28"/>
        </w:rPr>
        <w:lastRenderedPageBreak/>
        <w:t>продолжают развиваться и развиваться, они, несомненно, будут играть все более важную роль в нашей повседневной жизни, изменяя способы нашего общения, доступа к информации и выполнения широкого круга задач.</w:t>
      </w:r>
    </w:p>
    <w:p w14:paraId="3AC6C16B" w14:textId="09FC19E1" w:rsidR="00437F9D" w:rsidRPr="00610961" w:rsidRDefault="00437F9D" w:rsidP="006109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F9D">
        <w:rPr>
          <w:rFonts w:ascii="Times New Roman" w:hAnsi="Times New Roman" w:cs="Times New Roman"/>
          <w:sz w:val="28"/>
          <w:szCs w:val="28"/>
        </w:rPr>
        <w:t xml:space="preserve">Понятно, что у мобильных устройств большое будущее, и многие интересные тенденции и технологии стимулируют их развитие. Поскольку мобильные устройства продолжают становиться все более мощными и интеллектуальными, они смогут поддерживать более широкий спектр приложений и функций, что позволит пользователям делать больше со своими устройствами. Это, вероятно, приведет к разработке новых типов контента и услуг, а также новых способов взаимодействия с окружающим миром. Помимо увеличения вычислительной мощности и возможностей мобильных устройств, акцента на искусственный интеллект и машинное обучение, а также использование новых материалов и технологий, Растущее внимание к возможностям подключения и коммуникации также будет играть ключевую роль в будущем мобильных устройств. С появлением сетей 5G и других передовых коммуникационных технологий мобильные устройства становятся более подключенными, чем когда-либо прежде. </w:t>
      </w:r>
      <w:r w:rsidR="00922173">
        <w:rPr>
          <w:rFonts w:ascii="Times New Roman" w:hAnsi="Times New Roman" w:cs="Times New Roman"/>
          <w:sz w:val="28"/>
          <w:szCs w:val="28"/>
        </w:rPr>
        <w:t>О</w:t>
      </w:r>
      <w:r w:rsidRPr="00437F9D">
        <w:rPr>
          <w:rFonts w:ascii="Times New Roman" w:hAnsi="Times New Roman" w:cs="Times New Roman"/>
          <w:sz w:val="28"/>
          <w:szCs w:val="28"/>
        </w:rPr>
        <w:t xml:space="preserve">беспечение более быстрой и надежной связи, а также доступа к новым типам контента и услуг. Появление новых технологий, таких как Интернет вещей и периферийные вычисления, также окажет значительное влияние на будущее мобильных устройств. Интернет вещей предполагает интеграцию устройств и датчиков в Интернет, позволяя им общаться и обмениваться данными, что может открыть новые типы приложений и услуг, а также новые способы взаимодействия с внешним миром. Пограничные вычисления, которые включают обработку данных и вычисления на границе сети, ближе к устройству или пользователю, могут обеспечить более быстрое реагирование приложений и реальное возможность обработки данных о времени. В целом, перспективы развития мобильных устройств захватывающие, и есть много чего ожидать в будущем этой технологии. Поскольку мобильные устройства продолжают развиваться и развиваться, они, несомненно, будут играть все более важную роль в нашей </w:t>
      </w:r>
      <w:r w:rsidRPr="00437F9D">
        <w:rPr>
          <w:rFonts w:ascii="Times New Roman" w:hAnsi="Times New Roman" w:cs="Times New Roman"/>
          <w:sz w:val="28"/>
          <w:szCs w:val="28"/>
        </w:rPr>
        <w:lastRenderedPageBreak/>
        <w:t>повседневной жизни, изменяя способы нашего общения, получать доступ к информации и выполнять широкий спектр задач.</w:t>
      </w:r>
    </w:p>
    <w:p w14:paraId="2901F315" w14:textId="77777777" w:rsidR="00610961" w:rsidRPr="00610961" w:rsidRDefault="00610961" w:rsidP="00610961">
      <w:pPr>
        <w:spacing w:after="0" w:line="360" w:lineRule="auto"/>
        <w:jc w:val="both"/>
        <w:rPr>
          <w:rFonts w:ascii="Times New Roman" w:hAnsi="Times New Roman" w:cs="Times New Roman"/>
        </w:rPr>
      </w:pPr>
    </w:p>
    <w:sectPr w:rsidR="00610961" w:rsidRPr="006109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914"/>
    <w:rsid w:val="00025AF6"/>
    <w:rsid w:val="000C0654"/>
    <w:rsid w:val="003E2E90"/>
    <w:rsid w:val="00415302"/>
    <w:rsid w:val="00437F9D"/>
    <w:rsid w:val="0053318D"/>
    <w:rsid w:val="00553311"/>
    <w:rsid w:val="00610961"/>
    <w:rsid w:val="00672179"/>
    <w:rsid w:val="006B0914"/>
    <w:rsid w:val="006C12DB"/>
    <w:rsid w:val="00922173"/>
    <w:rsid w:val="009E2D35"/>
    <w:rsid w:val="00F75E71"/>
    <w:rsid w:val="00F9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FC3BB"/>
  <w15:chartTrackingRefBased/>
  <w15:docId w15:val="{DB54D231-28B3-4D7C-9B36-5FF782872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0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189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859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1179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PlotnikovSB</dc:creator>
  <cp:keywords/>
  <dc:description/>
  <cp:lastModifiedBy>Юрий Утенков</cp:lastModifiedBy>
  <cp:revision>2</cp:revision>
  <dcterms:created xsi:type="dcterms:W3CDTF">2022-12-22T20:09:00Z</dcterms:created>
  <dcterms:modified xsi:type="dcterms:W3CDTF">2022-12-22T20:09:00Z</dcterms:modified>
</cp:coreProperties>
</file>