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Style17"/>
              <w:widowControl w:val="false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7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4820"/>
        <w:gridCol w:w="1106"/>
        <w:gridCol w:w="559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lang w:val="ru-RU"/>
              </w:rPr>
              <w:t>ИНБО-01-17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ИКБО-36-22, Утенков Ю. Ю.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Геращенко Л. А.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«21» сентября 2024 г.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 г.</w:t>
      </w:r>
    </w:p>
    <w:p>
      <w:pPr>
        <w:pStyle w:val="1"/>
        <w:rPr/>
      </w:pPr>
      <w:r>
        <w:rPr/>
        <w:t xml:space="preserve">Цель занятия: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Формирование навыка проведения декомпозиции процесса в методологии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0.</w:t>
      </w:r>
    </w:p>
    <w:p>
      <w:pPr>
        <w:pStyle w:val="1"/>
        <w:rPr/>
      </w:pPr>
      <w:r>
        <w:rPr/>
        <w:t xml:space="preserve">Постановка задачи: 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компании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</w:t>
      </w:r>
    </w:p>
    <w:p>
      <w:pPr>
        <w:pStyle w:val="ListParagraph"/>
        <w:spacing w:lineRule="auto" w:line="360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таблицу. 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предназначено для совместного разбора с преподавателем, при разборе задания необходимо напомнить, что поставщики и потребители могут подразделяться на внутренних и внешних, внутренние поставщики и потребители это те, кто является частью организации (предприятия, компании), которая осуществляет бизнес-процесс, внешние поставщики и потребители это те, кто не являются частью организации, осуществляющей бизнес-процесс.</w:t>
      </w:r>
    </w:p>
    <w:p>
      <w:pPr>
        <w:pStyle w:val="ListParagraph"/>
        <w:spacing w:lineRule="auto" w:line="360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построенным таблицам Задания 1 определить внешних и внутренних поставщиков и пользователей.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предназначено для закрепления материала, рекомендуется выполнение студентом у доски с активным обсуждением с группой студентов. 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>
      <w:pPr>
        <w:pStyle w:val="1"/>
        <w:rPr/>
      </w:pPr>
      <w:r>
        <w:rPr/>
        <w:t>Результат работы: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1:</w:t>
      </w:r>
      <w:r>
        <w:rPr>
          <w:color w:val="000000"/>
          <w:sz w:val="28"/>
          <w:szCs w:val="28"/>
        </w:rPr>
        <w:t xml:space="preserve"> В таблице 1-2 представлено решение задания 1.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Таблица 1 – Табличное описание подпроцесса «Заключить договор»</w:t>
      </w:r>
    </w:p>
    <w:tbl>
      <w:tblPr>
        <w:tblW w:w="75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74"/>
        <w:gridCol w:w="4733"/>
      </w:tblGrid>
      <w:tr>
        <w:trPr>
          <w:trHeight w:val="371" w:hRule="atLeast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Название процесса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Заключение договора с клиентом</w:t>
            </w:r>
          </w:p>
        </w:tc>
      </w:tr>
      <w:tr>
        <w:trPr>
          <w:trHeight w:val="546" w:hRule="atLeast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Владелец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Менеджер отдела по работе с клиентами (Сидоров К.К.)</w:t>
            </w:r>
          </w:p>
        </w:tc>
      </w:tr>
      <w:tr>
        <w:trPr>
          <w:trHeight w:val="471" w:hRule="atLeast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Вход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Заявка клиента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Выход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Подписанный договор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Ресурсы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Материальные и человеческие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Поставщик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Заказщик ПО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Получатель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Менеджеры проектов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</w:r>
      <w:r>
        <w:br w:type="page"/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Таблица 2 – Табличное описание подпроцесса «</w:t>
      </w:r>
      <w:r>
        <w:rPr>
          <w:rFonts w:cs="Times New Roman" w:ascii="Times New Roman" w:hAnsi="Times New Roman"/>
          <w:sz w:val="28"/>
        </w:rPr>
        <w:t>Получение чистой прибыли</w:t>
      </w:r>
      <w:r>
        <w:rPr>
          <w:rFonts w:cs="Times New Roman" w:ascii="Times New Roman" w:hAnsi="Times New Roman"/>
          <w:sz w:val="28"/>
        </w:rPr>
        <w:t>»</w:t>
      </w:r>
    </w:p>
    <w:tbl>
      <w:tblPr>
        <w:tblW w:w="70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41"/>
        <w:gridCol w:w="4441"/>
      </w:tblGrid>
      <w:tr>
        <w:trPr>
          <w:trHeight w:val="371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Название процесса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Разработка программного обеспечения</w:t>
            </w:r>
          </w:p>
        </w:tc>
      </w:tr>
      <w:tr>
        <w:trPr>
          <w:trHeight w:val="546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Владелец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Главный бухгалтер</w:t>
            </w:r>
          </w:p>
        </w:tc>
      </w:tr>
      <w:tr>
        <w:trPr>
          <w:trHeight w:val="471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Вход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Сумма денежных средств по договору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Выход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Величина чистой прибыли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Ресурсы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Материальные и человеческие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Поставщик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Заказщик ПО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Получатель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Ген. Директор и учредитель Иванов И. И.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 xml:space="preserve">Таблица 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 xml:space="preserve"> – Табличное описание подпроцесса «</w:t>
      </w:r>
      <w:r>
        <w:rPr>
          <w:rFonts w:cs="Times New Roman" w:ascii="Times New Roman" w:hAnsi="Times New Roman"/>
          <w:sz w:val="28"/>
          <w:szCs w:val="28"/>
        </w:rPr>
        <w:t>Разработка ПО</w:t>
      </w:r>
      <w:r>
        <w:rPr>
          <w:rFonts w:cs="Times New Roman" w:ascii="Times New Roman" w:hAnsi="Times New Roman"/>
          <w:sz w:val="28"/>
        </w:rPr>
        <w:t>»</w:t>
      </w:r>
    </w:p>
    <w:tbl>
      <w:tblPr>
        <w:tblW w:w="70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41"/>
        <w:gridCol w:w="4441"/>
      </w:tblGrid>
      <w:tr>
        <w:trPr>
          <w:trHeight w:val="371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Название процесса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Разработка программного обеспечения</w:t>
            </w:r>
          </w:p>
        </w:tc>
      </w:tr>
      <w:tr>
        <w:trPr>
          <w:trHeight w:val="546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Владелец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Менеджер проекта</w:t>
            </w:r>
          </w:p>
        </w:tc>
      </w:tr>
      <w:tr>
        <w:trPr>
          <w:trHeight w:val="471" w:hRule="atLeast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Вход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Техническое задание, Подписанный договор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Выход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Исходный код ПО, Тестированное ПО, Документация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Ресурсы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Аппаратные и программные инструменты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Поставщик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Менеджеры проектов</w:t>
            </w:r>
          </w:p>
        </w:tc>
      </w:tr>
      <w:tr>
        <w:trPr/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Получатель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Заказчик ПО, Менеджеры отдела внедрения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</w:t>
      </w:r>
      <w:r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 таблице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представлено решение задания 2.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– 3, определены </w:t>
      </w:r>
      <w:r>
        <w:rPr>
          <w:rStyle w:val="Strong"/>
          <w:rFonts w:eastAsia="Droid Sans Fallback"/>
          <w:sz w:val="28"/>
          <w:szCs w:val="28"/>
        </w:rPr>
        <w:t>внутренние</w:t>
      </w:r>
      <w:r>
        <w:rPr>
          <w:sz w:val="28"/>
          <w:szCs w:val="28"/>
        </w:rPr>
        <w:t xml:space="preserve"> и </w:t>
      </w:r>
      <w:r>
        <w:rPr>
          <w:rStyle w:val="Strong"/>
          <w:rFonts w:eastAsia="Droid Sans Fallback"/>
          <w:sz w:val="28"/>
          <w:szCs w:val="28"/>
        </w:rPr>
        <w:t>внешние</w:t>
      </w:r>
      <w:r>
        <w:rPr>
          <w:sz w:val="28"/>
          <w:szCs w:val="28"/>
        </w:rPr>
        <w:t xml:space="preserve"> поставщики и потребители для процесса «</w:t>
      </w:r>
      <w:r>
        <w:rPr>
          <w:rFonts w:cs="Times New Roman"/>
          <w:sz w:val="28"/>
          <w:szCs w:val="28"/>
        </w:rPr>
        <w:t>Получение чистой прибыли</w:t>
      </w:r>
      <w:r>
        <w:rPr>
          <w:sz w:val="28"/>
          <w:szCs w:val="28"/>
        </w:rPr>
        <w:t>»: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Поставщик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Потребитель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Внутренние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Менеджер по работе с клиентами, Юридическая поддержка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Менеджеры проектов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Внешние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Клиент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>
          <w:sz w:val="28"/>
          <w:szCs w:val="28"/>
        </w:rPr>
        <w:t>Таб</w:t>
      </w:r>
      <w:r>
        <w:rPr>
          <w:sz w:val="28"/>
          <w:szCs w:val="28"/>
        </w:rPr>
        <w:t xml:space="preserve">лица –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определены </w:t>
      </w:r>
      <w:r>
        <w:rPr>
          <w:rStyle w:val="Strong"/>
          <w:rFonts w:eastAsia="Droid Sans Fallback"/>
          <w:sz w:val="28"/>
          <w:szCs w:val="28"/>
        </w:rPr>
        <w:t>внутренние</w:t>
      </w:r>
      <w:r>
        <w:rPr>
          <w:sz w:val="28"/>
          <w:szCs w:val="28"/>
        </w:rPr>
        <w:t xml:space="preserve"> и </w:t>
      </w:r>
      <w:r>
        <w:rPr>
          <w:rStyle w:val="Strong"/>
          <w:rFonts w:eastAsia="Droid Sans Fallback"/>
          <w:sz w:val="28"/>
          <w:szCs w:val="28"/>
        </w:rPr>
        <w:t>внешние</w:t>
      </w:r>
      <w:r>
        <w:rPr>
          <w:sz w:val="28"/>
          <w:szCs w:val="28"/>
        </w:rPr>
        <w:t xml:space="preserve"> поставщики и потребители для процесса «Заключить договор»: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Поставщик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Потребитель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Внутренние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Менеджер по работе с клиентами, Юридическая поддержка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Менеджеры проектов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Внешние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Клиент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– 4, которой определены </w:t>
      </w:r>
      <w:r>
        <w:rPr>
          <w:rStyle w:val="Strong"/>
          <w:rFonts w:eastAsia="Droid Sans Fallback"/>
          <w:sz w:val="28"/>
          <w:szCs w:val="28"/>
        </w:rPr>
        <w:t>внутренние</w:t>
      </w:r>
      <w:r>
        <w:rPr>
          <w:sz w:val="28"/>
          <w:szCs w:val="28"/>
        </w:rPr>
        <w:t xml:space="preserve"> и </w:t>
      </w:r>
      <w:r>
        <w:rPr>
          <w:rStyle w:val="Strong"/>
          <w:rFonts w:eastAsia="Droid Sans Fallback"/>
          <w:sz w:val="28"/>
          <w:szCs w:val="28"/>
        </w:rPr>
        <w:t>внешние</w:t>
      </w:r>
      <w:r>
        <w:rPr>
          <w:sz w:val="28"/>
          <w:szCs w:val="28"/>
        </w:rPr>
        <w:t xml:space="preserve"> поставщики и потребители для процесса «Разработка ПО»: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Поставщик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Потребитель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Внутренние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Менеджеры проектов, Разработчики ПО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Менеджеры отдела внедрения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Внешние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ind w:hang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Заказчик ПО</w:t>
            </w:r>
          </w:p>
        </w:tc>
      </w:tr>
    </w:tbl>
    <w:p>
      <w:pPr>
        <w:pStyle w:val="NormalWeb"/>
        <w:spacing w:lineRule="auto" w:line="360" w:beforeAutospacing="0" w:before="0" w:afterAutospacing="0" w:after="0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4</w:t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Была сформирована таблица с характеристиками процессов.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Таблица 1 – Характеристики процессов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2"/>
        <w:gridCol w:w="1882"/>
        <w:gridCol w:w="1165"/>
        <w:gridCol w:w="1593"/>
        <w:gridCol w:w="1496"/>
        <w:gridCol w:w="1496"/>
      </w:tblGrid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ru-RU"/>
              </w:rPr>
              <w:t>Название процесса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ru-RU"/>
              </w:rPr>
              <w:t>Цель процесса</w:t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ru-RU"/>
              </w:rPr>
              <w:t>Владелец процесса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ru-RU"/>
              </w:rPr>
              <w:t>Участники процесса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ru-RU"/>
              </w:rPr>
              <w:t>Вход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ru-RU"/>
              </w:rPr>
              <w:t>Выход</w:t>
            </w:r>
          </w:p>
        </w:tc>
      </w:tr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Планирование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/>
              </w:rPr>
              <w:t>Определение планов проекта и задач</w:t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Технолог разработки ПО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Заказчик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/>
              </w:rPr>
              <w:t>Договор на разработку ПО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План</w:t>
            </w: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проекта</w:t>
            </w:r>
          </w:p>
        </w:tc>
      </w:tr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Формирование требований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Сбор и документирование требований к системе</w:t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59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Технолог разработки ПО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Бизнес-аналитик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Заказчик ПО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Будущие пользователи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План проекта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Спецификация требований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br w:type="page"/>
      </w:r>
      <w:r>
        <w:rPr>
          <w:rFonts w:cs="Times New Roman" w:ascii="Times New Roman" w:hAnsi="Times New Roman"/>
          <w:i/>
          <w:iCs/>
          <w:sz w:val="28"/>
          <w:szCs w:val="28"/>
        </w:rPr>
        <w:t>Продолжение Таблицы 1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2"/>
        <w:gridCol w:w="1841"/>
        <w:gridCol w:w="1158"/>
        <w:gridCol w:w="1595"/>
        <w:gridCol w:w="1495"/>
        <w:gridCol w:w="1543"/>
      </w:tblGrid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Анализ и проектирование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Разработка архитектуры и дизайна системы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Проектировщик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Бизнес-аналитик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Разработчик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Будущие пользователи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Заказчик ПО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Спецификация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требований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Дизайн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(архитектура системы)</w:t>
            </w:r>
          </w:p>
        </w:tc>
      </w:tr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Конструирование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Написание кода на основе дизайна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Разработчик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Инженер по качеству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Технолог разработки ПО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Дизайн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системы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Код</w:t>
            </w:r>
          </w:p>
        </w:tc>
      </w:tr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Интеграция и тестирование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ru-RU"/>
              </w:rPr>
              <w:t>Проверка интеграции компонентов и тестирование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Разработчик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Инженер по качеству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Тестировщик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Технический писатель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Код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Тестированный Продукт</w:t>
            </w:r>
          </w:p>
        </w:tc>
      </w:tr>
      <w:tr>
        <w:trPr/>
        <w:tc>
          <w:tcPr>
            <w:tcW w:w="1712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Поддержка и эксплуатация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Обеспечение работы системы и её сопровождение после выпуска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проекта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Заказчик ПО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Менеджер по работе с клиентами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Сотрудник сервисного отдела</w:t>
            </w:r>
          </w:p>
        </w:tc>
        <w:tc>
          <w:tcPr>
            <w:tcW w:w="149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  <w:t>Продукт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firstLine="567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5</w:t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Была сформирована таблица с названиями выходов каждого этапа указанной каскадной модели.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Таблица 2 – Названия выходов каждого этапа каскадной модели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Название процесса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Вход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Выход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Исследование концепций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Документ анализа концепции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Выработка требований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Документ анализа концепции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Спецификация требований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Проектирование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Спецификация требований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Технический дизайн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Реализация компонент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Технический дизайн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Исходный код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br w:type="page"/>
      </w:r>
      <w:r>
        <w:rPr>
          <w:rFonts w:cs="Times New Roman" w:ascii="Times New Roman" w:hAnsi="Times New Roman"/>
          <w:i/>
          <w:iCs/>
          <w:sz w:val="28"/>
          <w:szCs w:val="28"/>
        </w:rPr>
        <w:t>Продолжение Таблицы 2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Интеграция компонент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Исходный код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Интегрированная система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Эксплуатация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Интегрированная система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Эксплуатируемая система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6</w:t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Была сформирована таблица с названиями выходов основных этапов бизнес-процесса “Разработка ЭИС” 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Таблица 3 – Таблица выходов основных этапов “Разработка ЭИС”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Название процесса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Вход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Выход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Техническое задание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firstLine="567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Утверждённое техническое задание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Эскизный проект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Утверждённое техническое задание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Эскизный проект системы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Технический проект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Эскизный проект системы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Техническая документация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Программирование объектов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Техническая документация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Исходный код объектов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Тестирование программы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Исходный код объектов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Отчёт о тестировании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Внедрение программной системы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Отчёт о тестировании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Внедрённая система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7</w:t>
      </w:r>
    </w:p>
    <w:p>
      <w:pPr>
        <w:pStyle w:val="Normal"/>
        <w:widowControl/>
        <w:suppressAutoHyphens w:val="false"/>
        <w:spacing w:lineRule="auto" w:line="36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Была сформирована таблица выходов каждой стадии бизнес-процесса “Разработка ЭИС” (Таблица 4).</w:t>
      </w:r>
    </w:p>
    <w:p>
      <w:pPr>
        <w:pStyle w:val="Normal"/>
        <w:widowControl/>
        <w:suppressAutoHyphens w:val="false"/>
        <w:spacing w:lineRule="auto" w:line="36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Таблица 4 – Выходы каждой стадии “Разработка ЭИС”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Название процесса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Вход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lang w:val="ru-RU"/>
              </w:rPr>
              <w:t>Выход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Предпроектная стадия разработки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Техническое задание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Аналитический отчёт по бизнес-процессам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Список требований пользователей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br w:type="page"/>
      </w:r>
      <w:r>
        <w:rPr>
          <w:rFonts w:cs="Times New Roman" w:ascii="Times New Roman" w:hAnsi="Times New Roman"/>
          <w:i/>
          <w:iCs/>
          <w:sz w:val="28"/>
          <w:szCs w:val="28"/>
        </w:rPr>
        <w:t>Продолжение Таблицы 4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Проектирование ЭИС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Техническое задание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Аналитический отчёт по бизнес-процессам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Список требований пользователей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Проектная документация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Функциональная спецификация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Техническое решение по СУБД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color w:val="000000"/>
                <w:lang w:val="ru-RU"/>
              </w:rPr>
              <w:t>Описание клиентской части ЭИС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Разработка ЭИС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Проектная документация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Функциональная спецификация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Техническое решение по СУБД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color w:val="000000"/>
                <w:lang w:val="ru-RU"/>
              </w:rPr>
              <w:t>Описание клиентской части ЭИС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Исходный код системы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Прототип экранных форм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Отчёт о тестировании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Исправленная и отложенная система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Внедрение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Исходный код системы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Прототип экранных форм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Отчёт о тестировании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Исправленная и отложенная система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Внедрённая система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Обученные пользователи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ru-RU"/>
              </w:rPr>
              <w:t>Отчёт о внедрении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widowControl/>
        <w:suppressAutoHyphens w:val="false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  <w:font w:name="Times New Roman CYR">
    <w:charset w:val="01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4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6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8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0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2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4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6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8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0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3090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Normal"/>
    <w:next w:val="Normal"/>
    <w:link w:val="11"/>
    <w:uiPriority w:val="9"/>
    <w:qFormat/>
    <w:rsid w:val="00e07b55"/>
    <w:pPr>
      <w:keepNext w:val="true"/>
      <w:keepLines/>
      <w:spacing w:before="120" w:after="120"/>
      <w:outlineLvl w:val="0"/>
    </w:pPr>
    <w:rPr>
      <w:rFonts w:ascii="Times New Roman" w:hAnsi="Times New Roman" w:eastAsia="" w:cs="Times New Roman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5">
    <w:name w:val="Emphasis"/>
    <w:basedOn w:val="DefaultParagraphFont"/>
    <w:uiPriority w:val="20"/>
    <w:qFormat/>
    <w:rsid w:val="005f7450"/>
    <w:rPr>
      <w:i/>
      <w:iCs/>
    </w:rPr>
  </w:style>
  <w:style w:type="character" w:styleId="11" w:customStyle="1">
    <w:name w:val="Заголовок 1 Знак"/>
    <w:basedOn w:val="DefaultParagraphFont"/>
    <w:uiPriority w:val="9"/>
    <w:qFormat/>
    <w:rsid w:val="00e07b55"/>
    <w:rPr>
      <w:rFonts w:ascii="Times New Roman" w:hAnsi="Times New Roman" w:eastAsia="" w:cs="Times New Roman" w:eastAsiaTheme="majorEastAsia"/>
      <w:b/>
      <w:bCs/>
      <w:kern w:val="2"/>
      <w:sz w:val="28"/>
      <w:szCs w:val="28"/>
      <w:lang w:eastAsia="zh-CN" w:bidi="hi-IN"/>
    </w:rPr>
  </w:style>
  <w:style w:type="character" w:styleId="Strong">
    <w:name w:val="Strong"/>
    <w:basedOn w:val="DefaultParagraphFont"/>
    <w:uiPriority w:val="22"/>
    <w:qFormat/>
    <w:rsid w:val="00802c38"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PT Astra Serif" w:hAnsi="PT Astra Serif" w:eastAsia="Tahoma" w:cs="FreeSans"/>
      <w:sz w:val="28"/>
      <w:szCs w:val="28"/>
    </w:rPr>
  </w:style>
  <w:style w:type="paragraph" w:styleId="Style17">
    <w:name w:val="Body Text"/>
    <w:basedOn w:val="Normal"/>
    <w:link w:val="Style13"/>
    <w:semiHidden/>
    <w:unhideWhenUsed/>
    <w:rsid w:val="00845a09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ascii="PT Astra Serif" w:hAnsi="PT Astra Serif"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ce2979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TableParagraph" w:customStyle="1">
    <w:name w:val="Table Paragraph"/>
    <w:basedOn w:val="Normal"/>
    <w:uiPriority w:val="1"/>
    <w:qFormat/>
    <w:rsid w:val="00f43d2f"/>
    <w:pPr>
      <w:suppressAutoHyphens w:val="false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f43d2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Application>LibreOffice/7.5.2.1$Linux_X86_64 LibreOffice_project/50$Build-1</Application>
  <AppVersion>15.0000</AppVersion>
  <Pages>9</Pages>
  <Words>951</Words>
  <Characters>6981</Characters>
  <CharactersWithSpaces>7693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dcterms:modified xsi:type="dcterms:W3CDTF">2024-09-26T14:17:47Z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