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025" w:rsidRDefault="00A06025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A06025" w:rsidRDefault="00A06025">
      <w:pPr>
        <w:pStyle w:val="ConsPlusNormal"/>
        <w:jc w:val="both"/>
        <w:outlineLvl w:val="0"/>
      </w:pPr>
    </w:p>
    <w:p w:rsidR="00A06025" w:rsidRDefault="00A06025">
      <w:pPr>
        <w:pStyle w:val="ConsPlusNormal"/>
        <w:jc w:val="right"/>
        <w:outlineLvl w:val="0"/>
      </w:pPr>
      <w:proofErr w:type="gramStart"/>
      <w:r>
        <w:t>Утвержден</w:t>
      </w:r>
      <w:proofErr w:type="gramEnd"/>
      <w:r>
        <w:t xml:space="preserve"> и введен в действие</w:t>
      </w:r>
    </w:p>
    <w:p w:rsidR="00A06025" w:rsidRDefault="00A06025">
      <w:pPr>
        <w:pStyle w:val="ConsPlusNormal"/>
        <w:jc w:val="right"/>
      </w:pPr>
      <w:r>
        <w:t>Постановлением Госстандарта СССР</w:t>
      </w:r>
    </w:p>
    <w:p w:rsidR="00A06025" w:rsidRDefault="00A06025">
      <w:pPr>
        <w:pStyle w:val="ConsPlusNormal"/>
        <w:jc w:val="right"/>
      </w:pPr>
      <w:r>
        <w:t>от 24 марта 1989 г. N 661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Title"/>
        <w:jc w:val="center"/>
      </w:pPr>
      <w:r>
        <w:t>МЕЖГОСУДАРСТВЕННЫЙ СТАНДАРТ</w:t>
      </w:r>
    </w:p>
    <w:p w:rsidR="00A06025" w:rsidRDefault="00A06025">
      <w:pPr>
        <w:pStyle w:val="ConsPlusTitle"/>
        <w:jc w:val="center"/>
      </w:pPr>
    </w:p>
    <w:p w:rsidR="00A06025" w:rsidRDefault="00A06025">
      <w:pPr>
        <w:pStyle w:val="ConsPlusTitle"/>
        <w:jc w:val="center"/>
      </w:pPr>
      <w:r>
        <w:t>ИНФОРМАЦИОННАЯ ТЕХНОЛОГИЯ</w:t>
      </w:r>
    </w:p>
    <w:p w:rsidR="00A06025" w:rsidRDefault="00A06025">
      <w:pPr>
        <w:pStyle w:val="ConsPlusTitle"/>
        <w:jc w:val="center"/>
      </w:pPr>
    </w:p>
    <w:p w:rsidR="00A06025" w:rsidRDefault="00A06025">
      <w:pPr>
        <w:pStyle w:val="ConsPlusTitle"/>
        <w:jc w:val="center"/>
      </w:pPr>
      <w:r>
        <w:t>КОМПЛЕКС СТАНДАРТОВ НА АВТОМАТИЗИРОВАННЫЕ СИСТЕМЫ.</w:t>
      </w:r>
    </w:p>
    <w:p w:rsidR="00A06025" w:rsidRDefault="00A06025">
      <w:pPr>
        <w:pStyle w:val="ConsPlusTitle"/>
        <w:jc w:val="center"/>
      </w:pPr>
      <w:r>
        <w:t>ТЕХНИЧЕСКОЕ ЗАДАНИЕ НА СОЗДАНИЕ АВТОМАТИЗИРОВАННОЙ СИСТЕМЫ</w:t>
      </w:r>
    </w:p>
    <w:p w:rsidR="00A06025" w:rsidRDefault="00A06025">
      <w:pPr>
        <w:pStyle w:val="ConsPlusTitle"/>
        <w:jc w:val="center"/>
      </w:pPr>
    </w:p>
    <w:p w:rsidR="00A06025" w:rsidRPr="00A06025" w:rsidRDefault="00A06025">
      <w:pPr>
        <w:pStyle w:val="ConsPlusTitle"/>
        <w:jc w:val="center"/>
        <w:rPr>
          <w:lang w:val="en-US"/>
        </w:rPr>
      </w:pPr>
      <w:r w:rsidRPr="00A06025">
        <w:rPr>
          <w:lang w:val="en-US"/>
        </w:rPr>
        <w:t>Information technology.</w:t>
      </w:r>
    </w:p>
    <w:p w:rsidR="00A06025" w:rsidRPr="00A06025" w:rsidRDefault="00A06025">
      <w:pPr>
        <w:pStyle w:val="ConsPlusTitle"/>
        <w:jc w:val="center"/>
        <w:rPr>
          <w:lang w:val="en-US"/>
        </w:rPr>
      </w:pPr>
      <w:r w:rsidRPr="00A06025">
        <w:rPr>
          <w:lang w:val="en-US"/>
        </w:rPr>
        <w:t>Set of standards for automated systems.</w:t>
      </w:r>
    </w:p>
    <w:p w:rsidR="00A06025" w:rsidRPr="00A06025" w:rsidRDefault="00A06025">
      <w:pPr>
        <w:pStyle w:val="ConsPlusTitle"/>
        <w:jc w:val="center"/>
        <w:rPr>
          <w:lang w:val="en-US"/>
        </w:rPr>
      </w:pPr>
      <w:r w:rsidRPr="00A06025">
        <w:rPr>
          <w:lang w:val="en-US"/>
        </w:rPr>
        <w:t>Technical directions for automated system making</w:t>
      </w:r>
    </w:p>
    <w:p w:rsidR="00A06025" w:rsidRPr="00A06025" w:rsidRDefault="00A06025">
      <w:pPr>
        <w:pStyle w:val="ConsPlusTitle"/>
        <w:jc w:val="center"/>
        <w:rPr>
          <w:lang w:val="en-US"/>
        </w:rPr>
      </w:pPr>
    </w:p>
    <w:p w:rsidR="00A06025" w:rsidRDefault="00A06025">
      <w:pPr>
        <w:pStyle w:val="ConsPlusTitle"/>
        <w:jc w:val="center"/>
      </w:pPr>
      <w:r>
        <w:t>ГОСТ 34.602-89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right"/>
      </w:pPr>
      <w:r>
        <w:t>Группа П87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right"/>
      </w:pPr>
      <w:r>
        <w:t>МКС 35.080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right"/>
      </w:pPr>
      <w:r>
        <w:t>ОКСТУ 0034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right"/>
      </w:pPr>
      <w:r>
        <w:t>Дата введения</w:t>
      </w:r>
    </w:p>
    <w:p w:rsidR="00A06025" w:rsidRDefault="00A06025">
      <w:pPr>
        <w:pStyle w:val="ConsPlusNormal"/>
        <w:jc w:val="right"/>
      </w:pPr>
      <w:r>
        <w:t>1 января 1990 года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center"/>
        <w:outlineLvl w:val="1"/>
      </w:pPr>
      <w:r>
        <w:t>ИНФОРМАЦИОННЫЕ ДАННЫЕ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ind w:firstLine="540"/>
        <w:jc w:val="both"/>
      </w:pPr>
      <w:r>
        <w:t>1. Разработан и внесен Государственным комитетом СССР по стандартам, Министерством приборостроения, средств автоматизации и систем управления СССР.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 Утвержден и введен в действие Постановлением Государственного комитета СССР по стандартам от 24.03.1989 N 661.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3. Взамен ГОСТ 24.201-85.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4. Ссылочные нормативно-технические документы</w:t>
      </w:r>
    </w:p>
    <w:p w:rsidR="00A06025" w:rsidRDefault="00A0602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5272"/>
        <w:gridCol w:w="3742"/>
      </w:tblGrid>
      <w:tr w:rsidR="00A06025">
        <w:tc>
          <w:tcPr>
            <w:tcW w:w="5272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A06025" w:rsidRDefault="00A06025">
            <w:pPr>
              <w:pStyle w:val="ConsPlusNormal"/>
              <w:jc w:val="center"/>
            </w:pPr>
            <w:r>
              <w:t xml:space="preserve">Обозначение НТД, на </w:t>
            </w:r>
            <w:proofErr w:type="gramStart"/>
            <w:r>
              <w:t>который</w:t>
            </w:r>
            <w:proofErr w:type="gramEnd"/>
            <w:r>
              <w:t xml:space="preserve"> дана ссылка</w:t>
            </w:r>
          </w:p>
        </w:tc>
        <w:tc>
          <w:tcPr>
            <w:tcW w:w="374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6025" w:rsidRDefault="00A06025">
            <w:pPr>
              <w:pStyle w:val="ConsPlusNormal"/>
              <w:jc w:val="center"/>
            </w:pPr>
            <w:r>
              <w:t>Номер пункта, приложения</w:t>
            </w:r>
          </w:p>
        </w:tc>
      </w:tr>
      <w:tr w:rsidR="00A06025">
        <w:tblPrEx>
          <w:tblBorders>
            <w:insideH w:val="none" w:sz="0" w:space="0" w:color="auto"/>
          </w:tblBorders>
        </w:tblPrEx>
        <w:tc>
          <w:tcPr>
            <w:tcW w:w="5272" w:type="dxa"/>
            <w:tcBorders>
              <w:top w:val="single" w:sz="4" w:space="0" w:color="auto"/>
              <w:left w:val="nil"/>
              <w:bottom w:val="nil"/>
            </w:tcBorders>
          </w:tcPr>
          <w:p w:rsidR="00A06025" w:rsidRDefault="00A06025">
            <w:pPr>
              <w:pStyle w:val="ConsPlusNormal"/>
              <w:jc w:val="center"/>
            </w:pPr>
            <w:hyperlink r:id="rId5" w:history="1">
              <w:r>
                <w:rPr>
                  <w:color w:val="0000FF"/>
                </w:rPr>
                <w:t>ГОСТ 2.105-95</w:t>
              </w:r>
            </w:hyperlink>
          </w:p>
        </w:tc>
        <w:tc>
          <w:tcPr>
            <w:tcW w:w="3742" w:type="dxa"/>
            <w:tcBorders>
              <w:top w:val="single" w:sz="4" w:space="0" w:color="auto"/>
              <w:bottom w:val="nil"/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hyperlink w:anchor="P242" w:history="1">
              <w:r>
                <w:rPr>
                  <w:color w:val="0000FF"/>
                </w:rPr>
                <w:t>3.2</w:t>
              </w:r>
            </w:hyperlink>
          </w:p>
        </w:tc>
      </w:tr>
      <w:tr w:rsidR="00A06025">
        <w:tblPrEx>
          <w:tblBorders>
            <w:insideH w:val="none" w:sz="0" w:space="0" w:color="auto"/>
          </w:tblBorders>
        </w:tblPrEx>
        <w:tc>
          <w:tcPr>
            <w:tcW w:w="5272" w:type="dxa"/>
            <w:tcBorders>
              <w:top w:val="nil"/>
              <w:left w:val="nil"/>
              <w:bottom w:val="nil"/>
            </w:tcBorders>
          </w:tcPr>
          <w:p w:rsidR="00A06025" w:rsidRDefault="00A06025">
            <w:pPr>
              <w:pStyle w:val="ConsPlusNormal"/>
              <w:jc w:val="center"/>
            </w:pPr>
            <w:hyperlink r:id="rId6" w:history="1">
              <w:r>
                <w:rPr>
                  <w:color w:val="0000FF"/>
                </w:rPr>
                <w:t>ГОСТ 2.301-68</w:t>
              </w:r>
            </w:hyperlink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hyperlink w:anchor="P242" w:history="1">
              <w:r>
                <w:rPr>
                  <w:color w:val="0000FF"/>
                </w:rPr>
                <w:t>3.2</w:t>
              </w:r>
            </w:hyperlink>
          </w:p>
        </w:tc>
      </w:tr>
      <w:tr w:rsidR="00A06025">
        <w:tblPrEx>
          <w:tblBorders>
            <w:insideH w:val="none" w:sz="0" w:space="0" w:color="auto"/>
          </w:tblBorders>
        </w:tblPrEx>
        <w:tc>
          <w:tcPr>
            <w:tcW w:w="5272" w:type="dxa"/>
            <w:tcBorders>
              <w:top w:val="nil"/>
              <w:left w:val="nil"/>
              <w:bottom w:val="nil"/>
            </w:tcBorders>
          </w:tcPr>
          <w:p w:rsidR="00A06025" w:rsidRDefault="00A06025">
            <w:pPr>
              <w:pStyle w:val="ConsPlusNormal"/>
              <w:jc w:val="center"/>
            </w:pPr>
            <w:hyperlink r:id="rId7" w:history="1">
              <w:r>
                <w:rPr>
                  <w:color w:val="0000FF"/>
                </w:rPr>
                <w:t>ГОСТ 2.501-88</w:t>
              </w:r>
            </w:hyperlink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hyperlink w:anchor="P260" w:history="1">
              <w:r>
                <w:rPr>
                  <w:color w:val="0000FF"/>
                </w:rPr>
                <w:t>Приложение 1</w:t>
              </w:r>
            </w:hyperlink>
          </w:p>
        </w:tc>
      </w:tr>
      <w:tr w:rsidR="00A06025">
        <w:tblPrEx>
          <w:tblBorders>
            <w:insideH w:val="none" w:sz="0" w:space="0" w:color="auto"/>
          </w:tblBorders>
        </w:tblPrEx>
        <w:tc>
          <w:tcPr>
            <w:tcW w:w="5272" w:type="dxa"/>
            <w:tcBorders>
              <w:top w:val="nil"/>
              <w:left w:val="nil"/>
              <w:bottom w:val="nil"/>
            </w:tcBorders>
          </w:tcPr>
          <w:p w:rsidR="00A06025" w:rsidRDefault="00A06025">
            <w:pPr>
              <w:pStyle w:val="ConsPlusNormal"/>
              <w:jc w:val="center"/>
            </w:pPr>
            <w:r>
              <w:t>ГОСТ 6.10.1-88</w:t>
            </w:r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hyperlink w:anchor="P161" w:history="1">
              <w:r>
                <w:rPr>
                  <w:color w:val="0000FF"/>
                </w:rPr>
                <w:t>2.6.1.13</w:t>
              </w:r>
            </w:hyperlink>
          </w:p>
        </w:tc>
      </w:tr>
      <w:tr w:rsidR="00A06025">
        <w:tblPrEx>
          <w:tblBorders>
            <w:insideH w:val="none" w:sz="0" w:space="0" w:color="auto"/>
          </w:tblBorders>
        </w:tblPrEx>
        <w:tc>
          <w:tcPr>
            <w:tcW w:w="5272" w:type="dxa"/>
            <w:tcBorders>
              <w:top w:val="nil"/>
              <w:left w:val="nil"/>
              <w:bottom w:val="nil"/>
            </w:tcBorders>
          </w:tcPr>
          <w:p w:rsidR="00A06025" w:rsidRDefault="00A06025">
            <w:pPr>
              <w:pStyle w:val="ConsPlusNormal"/>
              <w:jc w:val="center"/>
            </w:pPr>
            <w:hyperlink r:id="rId8" w:history="1">
              <w:r>
                <w:rPr>
                  <w:color w:val="0000FF"/>
                </w:rPr>
                <w:t>ГОСТ 6.10.4-84</w:t>
              </w:r>
            </w:hyperlink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hyperlink w:anchor="P179" w:history="1">
              <w:r>
                <w:rPr>
                  <w:color w:val="0000FF"/>
                </w:rPr>
                <w:t>2.6.3.2</w:t>
              </w:r>
            </w:hyperlink>
          </w:p>
        </w:tc>
      </w:tr>
      <w:tr w:rsidR="00A06025">
        <w:tblPrEx>
          <w:tblBorders>
            <w:insideH w:val="none" w:sz="0" w:space="0" w:color="auto"/>
          </w:tblBorders>
        </w:tblPrEx>
        <w:tc>
          <w:tcPr>
            <w:tcW w:w="5272" w:type="dxa"/>
            <w:tcBorders>
              <w:top w:val="nil"/>
              <w:left w:val="nil"/>
              <w:bottom w:val="nil"/>
            </w:tcBorders>
          </w:tcPr>
          <w:p w:rsidR="00A06025" w:rsidRDefault="00A06025">
            <w:pPr>
              <w:pStyle w:val="ConsPlusNormal"/>
              <w:jc w:val="center"/>
            </w:pPr>
            <w:hyperlink r:id="rId9" w:history="1">
              <w:r>
                <w:rPr>
                  <w:color w:val="0000FF"/>
                </w:rPr>
                <w:t>ГОСТ 19.201-78</w:t>
              </w:r>
            </w:hyperlink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hyperlink w:anchor="P61" w:history="1">
              <w:r>
                <w:rPr>
                  <w:color w:val="0000FF"/>
                </w:rPr>
                <w:t>1.2</w:t>
              </w:r>
            </w:hyperlink>
          </w:p>
        </w:tc>
      </w:tr>
      <w:tr w:rsidR="00A06025">
        <w:tblPrEx>
          <w:tblBorders>
            <w:insideH w:val="none" w:sz="0" w:space="0" w:color="auto"/>
          </w:tblBorders>
        </w:tblPrEx>
        <w:tc>
          <w:tcPr>
            <w:tcW w:w="5272" w:type="dxa"/>
            <w:tcBorders>
              <w:top w:val="nil"/>
              <w:left w:val="nil"/>
              <w:bottom w:val="nil"/>
            </w:tcBorders>
          </w:tcPr>
          <w:p w:rsidR="00A06025" w:rsidRDefault="00A06025">
            <w:pPr>
              <w:pStyle w:val="ConsPlusNormal"/>
              <w:jc w:val="center"/>
            </w:pPr>
            <w:hyperlink r:id="rId10" w:history="1">
              <w:r>
                <w:rPr>
                  <w:color w:val="0000FF"/>
                </w:rPr>
                <w:t>ГОСТ 34.201-89</w:t>
              </w:r>
            </w:hyperlink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hyperlink w:anchor="P209" w:history="1">
              <w:r>
                <w:rPr>
                  <w:color w:val="0000FF"/>
                </w:rPr>
                <w:t>2.7</w:t>
              </w:r>
            </w:hyperlink>
            <w:r>
              <w:t xml:space="preserve">, </w:t>
            </w:r>
            <w:hyperlink w:anchor="P229" w:history="1">
              <w:r>
                <w:rPr>
                  <w:color w:val="0000FF"/>
                </w:rPr>
                <w:t>2.10</w:t>
              </w:r>
            </w:hyperlink>
          </w:p>
        </w:tc>
      </w:tr>
      <w:tr w:rsidR="00A06025">
        <w:tblPrEx>
          <w:tblBorders>
            <w:insideH w:val="none" w:sz="0" w:space="0" w:color="auto"/>
          </w:tblBorders>
        </w:tblPrEx>
        <w:tc>
          <w:tcPr>
            <w:tcW w:w="5272" w:type="dxa"/>
            <w:tcBorders>
              <w:top w:val="nil"/>
              <w:left w:val="nil"/>
              <w:bottom w:val="nil"/>
            </w:tcBorders>
          </w:tcPr>
          <w:p w:rsidR="00A06025" w:rsidRDefault="00A06025">
            <w:pPr>
              <w:pStyle w:val="ConsPlusNormal"/>
              <w:jc w:val="center"/>
            </w:pPr>
            <w:hyperlink r:id="rId11" w:history="1">
              <w:r>
                <w:rPr>
                  <w:color w:val="0000FF"/>
                </w:rPr>
                <w:t>ГОСТ 34.601-90</w:t>
              </w:r>
            </w:hyperlink>
          </w:p>
        </w:tc>
        <w:tc>
          <w:tcPr>
            <w:tcW w:w="3742" w:type="dxa"/>
            <w:tcBorders>
              <w:top w:val="nil"/>
              <w:bottom w:val="nil"/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hyperlink w:anchor="P67" w:history="1">
              <w:r>
                <w:rPr>
                  <w:color w:val="0000FF"/>
                </w:rPr>
                <w:t>1.5</w:t>
              </w:r>
            </w:hyperlink>
            <w:r>
              <w:t xml:space="preserve">, </w:t>
            </w:r>
            <w:hyperlink w:anchor="P209" w:history="1">
              <w:r>
                <w:rPr>
                  <w:color w:val="0000FF"/>
                </w:rPr>
                <w:t>2.7</w:t>
              </w:r>
            </w:hyperlink>
          </w:p>
        </w:tc>
      </w:tr>
    </w:tbl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ind w:firstLine="540"/>
        <w:jc w:val="both"/>
      </w:pPr>
      <w:r>
        <w:t>5. Переиздание. Апрель 2004 г.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ind w:firstLine="540"/>
        <w:jc w:val="both"/>
      </w:pPr>
      <w:proofErr w:type="gramStart"/>
      <w:r>
        <w:t>Настоящий стандарт распространяется на автоматизированные системы (АС) для автоматизации различных видов деятельности (управление, проектирование, исследование и т.п.), включая их сочетания, и устанавливает состав, содержание, правила оформления документа "Техническое задание на создание (развитие или модернизацию) системы" (далее - ТЗ на АС).</w:t>
      </w:r>
      <w:proofErr w:type="gramEnd"/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Рекомендуемый порядок разработки, согласования и утверждения ТЗ </w:t>
      </w:r>
      <w:proofErr w:type="gramStart"/>
      <w:r>
        <w:t>на</w:t>
      </w:r>
      <w:proofErr w:type="gramEnd"/>
      <w:r>
        <w:t xml:space="preserve"> АС приведен в </w:t>
      </w:r>
      <w:hyperlink w:anchor="P260" w:history="1">
        <w:r>
          <w:rPr>
            <w:color w:val="0000FF"/>
          </w:rPr>
          <w:t>Приложении 1</w:t>
        </w:r>
      </w:hyperlink>
      <w:r>
        <w:t>.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center"/>
        <w:outlineLvl w:val="1"/>
      </w:pPr>
      <w:r>
        <w:t>1. ОБЩИЕ ПОЛОЖЕНИЯ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ind w:firstLine="540"/>
        <w:jc w:val="both"/>
      </w:pPr>
      <w:r>
        <w:t xml:space="preserve">1.1.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является основным документом, определяющим требования и порядок создания (развития или модернизации - далее создания) автоматизированной системы, в соответствии с которым проводится разработка АС и ее приемка при вводе в действие.</w:t>
      </w:r>
    </w:p>
    <w:p w:rsidR="00A06025" w:rsidRDefault="00A06025">
      <w:pPr>
        <w:pStyle w:val="ConsPlusNormal"/>
        <w:spacing w:before="220"/>
        <w:ind w:firstLine="540"/>
        <w:jc w:val="both"/>
      </w:pPr>
      <w:bookmarkStart w:id="0" w:name="P61"/>
      <w:bookmarkEnd w:id="0"/>
      <w:r>
        <w:t xml:space="preserve">1.2.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разрабатывают на систему в целом, предназначенную для работы самостоятельно или в составе другой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Дополнительно могут быть разработаны ТЗ на части АС: на подсистемы АС, комплексы задач АС и т.п. в соответствии с требованиями настоящего стандарта; на комплектующие средства технического обеспечения и программно-технические комплексы в соответствии со стандартами ЕСКД и СРПП; на программные средства в соответствии со стандартами ЕСПД; на информационные изделия в соответствии с </w:t>
      </w:r>
      <w:hyperlink r:id="rId12" w:history="1">
        <w:r>
          <w:rPr>
            <w:color w:val="0000FF"/>
          </w:rPr>
          <w:t>ГОСТ 19.201</w:t>
        </w:r>
      </w:hyperlink>
      <w:r>
        <w:t xml:space="preserve"> и НТД, </w:t>
      </w:r>
      <w:proofErr w:type="gramStart"/>
      <w:r>
        <w:t>действующей</w:t>
      </w:r>
      <w:proofErr w:type="gramEnd"/>
      <w:r>
        <w:t xml:space="preserve"> в ведомстве заказчика АС.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Примечание. В ТЗ на АСУ для группы взаимосвязанных объектов следует включать только общие для группы объектов требования. Специфические требования отдельного объекта управления следует отражать в ТЗ на АСУ этого объекта.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1.3. </w:t>
      </w:r>
      <w:proofErr w:type="gramStart"/>
      <w:r>
        <w:t>Требования к АС в объеме, установленном настоящим стандартом, могут быть включены в задание на проектирование вновь создаваемого объекта автоматизации.</w:t>
      </w:r>
      <w:proofErr w:type="gramEnd"/>
      <w:r>
        <w:t xml:space="preserve"> В этом случае ТЗ </w:t>
      </w:r>
      <w:proofErr w:type="gramStart"/>
      <w:r>
        <w:t>на</w:t>
      </w:r>
      <w:proofErr w:type="gramEnd"/>
      <w:r>
        <w:t xml:space="preserve"> АС не разрабатывают.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1.4. Включаемые 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требования должны соответствовать современному уровню развития науки и техники и не уступать аналогичным требованиям, предъявляемым к лучшим современным отечественным и зарубежным аналогам.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Задаваемые 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решений.</w:t>
      </w:r>
    </w:p>
    <w:p w:rsidR="00A06025" w:rsidRDefault="00A06025">
      <w:pPr>
        <w:pStyle w:val="ConsPlusNormal"/>
        <w:spacing w:before="220"/>
        <w:ind w:firstLine="540"/>
        <w:jc w:val="both"/>
      </w:pPr>
      <w:bookmarkStart w:id="1" w:name="P67"/>
      <w:bookmarkEnd w:id="1"/>
      <w:r>
        <w:t xml:space="preserve">1.5.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разрабатывают на основании исходных данных, в том числе содержащихся в итоговой документации стадии "Исследование и обоснование создания АС", установленной </w:t>
      </w:r>
      <w:hyperlink r:id="rId13" w:history="1">
        <w:r>
          <w:rPr>
            <w:color w:val="0000FF"/>
          </w:rPr>
          <w:t>ГОСТ 34.601</w:t>
        </w:r>
      </w:hyperlink>
      <w:r>
        <w:t>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1.6. В ТЗ на АС включают только те требования, которые дополняют требования к системам данного вида (АСУ, САПР, АСНИ и т.д.), содержащиеся </w:t>
      </w:r>
      <w:proofErr w:type="gramStart"/>
      <w:r>
        <w:t>в</w:t>
      </w:r>
      <w:proofErr w:type="gramEnd"/>
      <w:r>
        <w:t xml:space="preserve"> действующих НТД, и определяются спецификой конкретного объекта, для которого создается система.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1.7. Изменения к ТЗ </w:t>
      </w:r>
      <w:proofErr w:type="gramStart"/>
      <w:r>
        <w:t>на</w:t>
      </w:r>
      <w:proofErr w:type="gramEnd"/>
      <w:r>
        <w:t xml:space="preserve"> АС оформляют дополнением или подписанным заказчиком и разработчиком протоколом. Дополнение или указанный протокол являются неотъемлемой </w:t>
      </w:r>
      <w:r>
        <w:lastRenderedPageBreak/>
        <w:t xml:space="preserve">частью ТЗ </w:t>
      </w:r>
      <w:proofErr w:type="gramStart"/>
      <w:r>
        <w:t>на</w:t>
      </w:r>
      <w:proofErr w:type="gramEnd"/>
      <w:r>
        <w:t xml:space="preserve"> АС. На титульном листе ТЗ на АС должна быть запись "Действует </w:t>
      </w:r>
      <w:proofErr w:type="gramStart"/>
      <w:r>
        <w:t>с</w:t>
      </w:r>
      <w:proofErr w:type="gramEnd"/>
      <w:r>
        <w:t xml:space="preserve"> ...".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center"/>
        <w:outlineLvl w:val="1"/>
      </w:pPr>
      <w:bookmarkStart w:id="2" w:name="P71"/>
      <w:bookmarkEnd w:id="2"/>
      <w:r>
        <w:t>2. СОСТАВ И СОДЕРЖАНИЕ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ind w:firstLine="540"/>
        <w:jc w:val="both"/>
      </w:pPr>
      <w:r>
        <w:t xml:space="preserve">2.1.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содержит следующие разделы, которые могут быть разделены на подразделы: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общие сведения;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назначение и цели создания (развития)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характеристика объектов автоматизации;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4) требования к системе;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5) состав и содержание работ по созданию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6) порядок контроля и приемки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7) требования к составу и содержанию работ по подготовке объекта автоматизации к вводу системы в действие;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8) требования к документированию;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9) источники разработки.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могут включаться приложения.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2.2. В зависимости от вида, назначения, специфических особенностей объекта автоматизации и условий функционирования системы допускается оформлять разделы ТЗ в виде приложений, вводить дополнительные, исключать или объединять подразделы ТЗ.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В ТЗ на части системы не включают разделы, дублирующие содержание разделов ТЗ </w:t>
      </w:r>
      <w:proofErr w:type="gramStart"/>
      <w:r>
        <w:t>на</w:t>
      </w:r>
      <w:proofErr w:type="gramEnd"/>
      <w:r>
        <w:t xml:space="preserve"> АС в целом.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2.3. В разделе "Общие сведения" указывают: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полное наименование системы и ее условное обозначение;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шифр темы или шифр (номер) договора;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наименование предприятий (объединений) разработчика и заказчика (пользователя) системы и их реквизиты;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4) перечень документов, на основании которых создается система, кем и когда утверждены эти документы;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5) плановые сроки начала и окончания работы по созданию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6) сведения об источниках и порядке финансирования работ;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2.4. Раздел "Назначение и цели создания (развития) системы" состоит из подразделов: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назначение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lastRenderedPageBreak/>
        <w:t>2) цели создания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2.4.1. В подразделе "Назначение системы" указывают вид автоматизируемой деятельности (управление, проектирование и т.п.) и перечень объектов автоматизации (объектов), на которых предполагается ее использовать.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Для АСУ дополнительно указывают перечень автоматизируемых органов (пунктов) управления и управляемых объектов.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2.4.2. В подразделе "Цели создания системы" 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</w:t>
      </w:r>
      <w:proofErr w:type="gramStart"/>
      <w:r>
        <w:t>оценки достижения целей создания системы</w:t>
      </w:r>
      <w:proofErr w:type="gramEnd"/>
      <w:r>
        <w:t>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2.5. В разделе "Характеристики объекта автоматизации" приводят: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краткие сведения об объекте автоматизации или ссылки на документы, содержащие такую информацию;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сведения об условиях эксплуатации объекта автоматизации и характеристиках окружающей среды.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Примечание. Для САПР в разделе дополнительно приводят основные параметры и характеристики объектов проектирования.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ind w:firstLine="540"/>
        <w:jc w:val="both"/>
      </w:pPr>
      <w:r>
        <w:t>2.6. Раздел "Требования к системе" состоит из следующих подразделов: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требования к системе в целом;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требования к функциям (задачам), выполняемым системой;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требования к видам обеспечения.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Состав требований к системе, включаемых в данный раздел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>, устанавливают в зависимости от вида, назначения, специфических особенностей и условий функционирования конкретной системы. В каждом подразделе приводят ссылки на действующие НТД, определяющие требования к системам соответствующего вида.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 В подразделе "Требования к системе в целом" указывают: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структуре и функционированию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численности и квалификации персонала системы и режиму его работы;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показатели назначения;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надежности;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безопасности;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эргономике и технической эстетике;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- требования к транспортабельности для </w:t>
      </w:r>
      <w:proofErr w:type="gramStart"/>
      <w:r>
        <w:t>подвижных</w:t>
      </w:r>
      <w:proofErr w:type="gramEnd"/>
      <w:r>
        <w:t xml:space="preserve"> АС;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эксплуатации, техническому обслуживанию, ремонту и хранению компонентов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защите информации от несанкционированного доступа;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lastRenderedPageBreak/>
        <w:t>- требования по сохранности информации при авариях;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защите от влияния внешних воздействий;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патентной чистоте;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по стандартизации и унификации;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дополнительные требования.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2.6.1.1. В требованиях к структуре и функционированию системы приводят: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перечень подсистем, их назначение и основные характеристики, требования к числу уровней иерархии и степени централизации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требования к способам и средствам связи для информационного обмена между компонентами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т.п.);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4) требования к режимам функционирования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5) требования по диагностированию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6) перспективы развития, модернизации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2.6.1.2. В требованиях к численности и квалификации персонала АС приводят: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численности персонала (пользователей) АС;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требования к квалификации персонала, порядку его подготовки и контроля знаний и навыков;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требуемый режим работы персонала АС.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2.6.1.3. В требованиях к показателям назначения АС приводят значения параметров, характеризующие степень соответствия системы ее назначению.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Для АСУ указывают: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степень приспособляемости системы к изменению процессов и методов управления, к отклонениям параметров объекта управления;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допустимые пределы модернизации и развития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вероятностно-временные характеристики, при которых сохраняется целевое назначение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2.6.1.4. В требования к надежности включают: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состав и количественные значения показателей надежности для системы в целом или ее подсистем;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перечень аварийных ситуаций, по которым должны быть регламентированы требования к надежности, и значения соответствующих показателей;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lastRenderedPageBreak/>
        <w:t>3) требования к надежности технических средств и программного обеспечения;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4)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2.6.1.5. 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т.п.), по допустимым уровням освещенности, вибрационных и шумовых нагрузок.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2.6.1.6. В требования по эргономике и технической эстетике включают показатели АС, задающие необходимое качество взаимодействия человека с машиной и комфортность условий работы персонала.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2.6.1.7. Для подвижных АС в требования к транспортабельности включают конструктивные требования, обеспечивающие транспортабельность технических средств системы, а также требования к транспортным средствам.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2.6.1.8. В требования к эксплуатации, техническому обслуживанию, ремонту и хранению включают:</w:t>
      </w:r>
    </w:p>
    <w:p w:rsidR="00A06025" w:rsidRDefault="00A06025">
      <w:pPr>
        <w:pStyle w:val="ConsPlusNormal"/>
        <w:spacing w:before="220"/>
        <w:ind w:firstLine="540"/>
        <w:jc w:val="both"/>
      </w:pPr>
      <w:proofErr w:type="gramStart"/>
      <w:r>
        <w:t>1)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обслуживания;</w:t>
      </w:r>
      <w:proofErr w:type="gramEnd"/>
    </w:p>
    <w:p w:rsidR="00A06025" w:rsidRDefault="00A06025">
      <w:pPr>
        <w:pStyle w:val="ConsPlusNormal"/>
        <w:spacing w:before="220"/>
        <w:ind w:firstLine="540"/>
        <w:jc w:val="both"/>
      </w:pPr>
      <w:r>
        <w:t>2) предварительные требования к допустимым площадям для размещения персонала и ТС системы, к параметрам сетей энергоснабжения и т.п.;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требования по количеству, квалификации обслуживающего персонала и режимам его работы;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4) требования к составу, размещению и условиям хранения комплекта запасных изделий и приборов;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5) требования к регламенту обслуживания.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2.6.1.9. В требования к защите информации от несанкционированного доступа включают требования, установленные в НТД, действующей в отрасли (ведомстве) заказчика.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2.6.1.10. В требованиях по сохранности информации приводят перечень событий: аварий, отказов технических средств (в том числе - потеря питания) и т.п., при которых должна быть обеспечена сохранность информации в системе.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2.6.1.11. В требованиях к средствам защиты от внешних воздействий приводят: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требования к радиоэлектронной защите средств АС;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требования по стойкости, устойчивости и прочности к внешним воздействиям (среде применения).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2.6.1.12. 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A06025" w:rsidRDefault="00A06025">
      <w:pPr>
        <w:pStyle w:val="ConsPlusNormal"/>
        <w:spacing w:before="220"/>
        <w:ind w:firstLine="540"/>
        <w:jc w:val="both"/>
      </w:pPr>
      <w:bookmarkStart w:id="3" w:name="P161"/>
      <w:bookmarkEnd w:id="3"/>
      <w:r>
        <w:t>2.6.1.13. В требования к стандартизации и унификации включают:</w:t>
      </w:r>
    </w:p>
    <w:p w:rsidR="00A06025" w:rsidRDefault="00A06025">
      <w:pPr>
        <w:pStyle w:val="ConsPlusNormal"/>
        <w:spacing w:before="220"/>
        <w:ind w:firstLine="540"/>
        <w:jc w:val="both"/>
      </w:pPr>
      <w:proofErr w:type="gramStart"/>
      <w:r>
        <w:t xml:space="preserve">показатели, устанавливающие требуемую степень использования стандартных, </w:t>
      </w:r>
      <w:r>
        <w:lastRenderedPageBreak/>
        <w:t>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 &lt;*&gt;,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  <w:proofErr w:type="gramEnd"/>
    </w:p>
    <w:p w:rsidR="00A06025" w:rsidRDefault="00A06025">
      <w:pPr>
        <w:pStyle w:val="ConsPlusNormal"/>
        <w:spacing w:before="220"/>
        <w:ind w:firstLine="540"/>
        <w:jc w:val="both"/>
      </w:pPr>
      <w:r>
        <w:t>--------------------------------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&lt;*&gt; На территории Российской Федерации действуют </w:t>
      </w:r>
      <w:hyperlink r:id="rId14" w:history="1">
        <w:proofErr w:type="gramStart"/>
        <w:r>
          <w:rPr>
            <w:color w:val="0000FF"/>
          </w:rPr>
          <w:t>ПР</w:t>
        </w:r>
        <w:proofErr w:type="gramEnd"/>
        <w:r>
          <w:rPr>
            <w:color w:val="0000FF"/>
          </w:rPr>
          <w:t xml:space="preserve"> 50.1.019-2000</w:t>
        </w:r>
      </w:hyperlink>
      <w:r>
        <w:t>.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ind w:firstLine="540"/>
        <w:jc w:val="both"/>
      </w:pPr>
      <w:r>
        <w:t>2.6.1.14. В дополнительные требования включают: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требования к сервисной аппаратуре, стендам для проверки элементов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требования к системе, связанные с особыми условиями эксплуатации;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4) специальные требования по усмотрению разработчика или заказчика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2.6.2. В подразделе "Требования к функциям (задачам), выполняемым системой", приводят: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временной регламент реализации каждой функции, задачи (или комплекса задач);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4) перечень и критерии отказов для каждой функции, по которой задаются требования по надежности.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2.6.3. В подразделе "Требования к видам обеспечения" в зависимости от вида системы приводят требования к математическому, информационному, лингвистическому, программному, техническому, метрологическому, организационному, методическому и другим видам обеспечения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2.6.3.1. Для математического обеспечения системы приводят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:rsidR="00A06025" w:rsidRDefault="00A06025">
      <w:pPr>
        <w:pStyle w:val="ConsPlusNormal"/>
        <w:spacing w:before="220"/>
        <w:ind w:firstLine="540"/>
        <w:jc w:val="both"/>
      </w:pPr>
      <w:bookmarkStart w:id="4" w:name="P179"/>
      <w:bookmarkEnd w:id="4"/>
      <w:r>
        <w:t>2.6.3.2. Для информационного обеспечения системы приводят требования: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к составу, структуре и способам организации данных в системе;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к информационному обмену между компонентами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к информационной совместимости со смежными системами;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lastRenderedPageBreak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5) по применению систем управления базами данных;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6) к структуре процесса сбора, обработки, передачи данных в системе и представлению данных;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7) к защите данных от разрушений при авариях и сбоях в электропитании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8) к контролю, хранению, обновлению и восстановлению данных;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9) к процедуре придания юридической силы документам, продуцируемым техническими средствами АС (в соответствии с </w:t>
      </w:r>
      <w:hyperlink r:id="rId15" w:history="1">
        <w:r>
          <w:rPr>
            <w:color w:val="0000FF"/>
          </w:rPr>
          <w:t>ГОСТ 6.10.4</w:t>
        </w:r>
      </w:hyperlink>
      <w:r>
        <w:t>).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2.6.3.3. Для лингвистического обеспечения системы приводят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2.6.3.4. Для программного обеспечения системы приводят перечень покупных программных средств, а также требования:</w:t>
      </w:r>
    </w:p>
    <w:p w:rsidR="00A06025" w:rsidRDefault="00A06025">
      <w:pPr>
        <w:pStyle w:val="ConsPlusNormal"/>
        <w:spacing w:before="220"/>
        <w:ind w:firstLine="540"/>
        <w:jc w:val="both"/>
      </w:pPr>
      <w:proofErr w:type="gramStart"/>
      <w:r>
        <w:t>1) к независимости программных средств от используемых СВТ и операционной среды;</w:t>
      </w:r>
      <w:proofErr w:type="gramEnd"/>
    </w:p>
    <w:p w:rsidR="00A06025" w:rsidRDefault="00A06025">
      <w:pPr>
        <w:pStyle w:val="ConsPlusNormal"/>
        <w:spacing w:before="220"/>
        <w:ind w:firstLine="540"/>
        <w:jc w:val="both"/>
      </w:pPr>
      <w:r>
        <w:t>2) к качеству программных средств, а также к способам его обеспечения и контроля;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по необходимости согласования вновь разрабатываемых программных сре</w:t>
      </w:r>
      <w:proofErr w:type="gramStart"/>
      <w:r>
        <w:t>дств с ф</w:t>
      </w:r>
      <w:proofErr w:type="gramEnd"/>
      <w:r>
        <w:t>ондом алгоритмов и программ.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2.6.3.5. Для технического обеспечения системы приводят требования: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к функциональным, конструктивным и эксплуатационным характеристикам средств технического обеспечения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2.6.3.6. В требованиях к метрологическому обеспечению приводят: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предварительный перечень измерительных каналов;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требования к точности измерений параметров и (или) к метрологическим характеристикам измерительных каналов;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требования к метрологической совместимости технических средств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4) перечень управляющих и вычислительных каналов системы, для которых необходимо оценивать </w:t>
      </w:r>
      <w:proofErr w:type="spellStart"/>
      <w:r>
        <w:t>точностные</w:t>
      </w:r>
      <w:proofErr w:type="spellEnd"/>
      <w:r>
        <w:t xml:space="preserve"> характеристики;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5) требования к метрологическому обеспечению технических и программных средств, входящих в состав измерительных каналов системы, сре</w:t>
      </w:r>
      <w:proofErr w:type="gramStart"/>
      <w:r>
        <w:t>дств встр</w:t>
      </w:r>
      <w:proofErr w:type="gramEnd"/>
      <w:r>
        <w:t>оенного контроля, метрологической пригодности измерительных каналов и средств измерений, используемых при наладке и испытаниях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lastRenderedPageBreak/>
        <w:t>6) вид метрологической аттестации (</w:t>
      </w:r>
      <w:proofErr w:type="gramStart"/>
      <w:r>
        <w:t>государственная</w:t>
      </w:r>
      <w:proofErr w:type="gramEnd"/>
      <w:r>
        <w:t xml:space="preserve"> или ведомственная) с указанием порядка ее выполнения и организаций, проводящих аттестацию.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2.6.3.7. Для организационного обеспечения приводят требования: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к структуре и функциям подразделений, участвующих в функционировании системы или обеспечивающих эксплуатацию;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к организации функционирования системы и порядку взаимодействия персонала АС и персонала объекта автоматизации;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к защите от ошибочных действий персонала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2.6.3.8. Для методического обеспечения САПР приводят требования к составу нормативно-технической документации системы (перечень применяемых при ее функционировании стандартов, нормативов, методик и т.п.).</w:t>
      </w:r>
    </w:p>
    <w:p w:rsidR="00A06025" w:rsidRDefault="00A06025">
      <w:pPr>
        <w:pStyle w:val="ConsPlusNormal"/>
        <w:spacing w:before="220"/>
        <w:ind w:firstLine="540"/>
        <w:jc w:val="both"/>
      </w:pPr>
      <w:bookmarkStart w:id="5" w:name="P209"/>
      <w:bookmarkEnd w:id="5"/>
      <w:r>
        <w:t xml:space="preserve">2.7. </w:t>
      </w:r>
      <w:proofErr w:type="gramStart"/>
      <w:r>
        <w:t xml:space="preserve">Раздел "Состав и содержание работ по созданию (развитию) системы" должен содержать перечень стадий и этапов работ по созданию системы в соответствии с </w:t>
      </w:r>
      <w:hyperlink r:id="rId16" w:history="1">
        <w:r>
          <w:rPr>
            <w:color w:val="0000FF"/>
          </w:rPr>
          <w:t>ГОСТ 34.601</w:t>
        </w:r>
      </w:hyperlink>
      <w:r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  <w:proofErr w:type="gramEnd"/>
    </w:p>
    <w:p w:rsidR="00A06025" w:rsidRDefault="00A06025">
      <w:pPr>
        <w:pStyle w:val="ConsPlusNormal"/>
        <w:spacing w:before="220"/>
        <w:ind w:firstLine="540"/>
        <w:jc w:val="both"/>
      </w:pPr>
      <w:r>
        <w:t>В данном разделе также приводят: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1) перечень документов по </w:t>
      </w:r>
      <w:hyperlink r:id="rId17" w:history="1">
        <w:r>
          <w:rPr>
            <w:color w:val="0000FF"/>
          </w:rPr>
          <w:t>ГОСТ 34.201</w:t>
        </w:r>
      </w:hyperlink>
      <w:r>
        <w:t>, предъявляемых по окончании соответствующих стадий и этапов работ;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вид и порядок проведения экспертизы технической документации (стадия, этап, объем проверяемой документации, организация-эксперт);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программу работ, направленных на обеспечение требуемого уровня надежности разрабатываемой системы (при необходимости);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4) перечень работ по метрологическому обеспечению на всех стадиях создания системы с указанием их сроков выполнения и организаций-исполнителей (при необходимости).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2.8. В разделе "Порядок контроля и приемки системы" указывают: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статус приемочной комиссии (</w:t>
      </w:r>
      <w:proofErr w:type="gramStart"/>
      <w:r>
        <w:t>государственная</w:t>
      </w:r>
      <w:proofErr w:type="gramEnd"/>
      <w:r>
        <w:t>, межведомственная, ведомственная).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2.9. В разделе "Требования к составу и содержанию работ по подготовке объекта автоматизации к вводу системы в действие" необходимо привести перечень основных мероприятий и их исполнителей, которые следует выполнить при подготовке объекта автоматизации к вводу АС в действие.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В перечень основных мероприятий включают: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</w:t>
      </w:r>
      <w:r>
        <w:lastRenderedPageBreak/>
        <w:t>помощью ЭВМ;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изменения, которые необходимо осуществить в объекте автоматизации;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4) создание необходимых для функционирования системы подразделений и служб;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5) сроки и порядок комплектования штатов и обучения персонала.</w:t>
      </w:r>
    </w:p>
    <w:p w:rsidR="00A06025" w:rsidRDefault="00A06025">
      <w:pPr>
        <w:pStyle w:val="ConsPlusNormal"/>
        <w:spacing w:before="220"/>
        <w:ind w:firstLine="540"/>
        <w:jc w:val="both"/>
      </w:pPr>
      <w:proofErr w:type="gramStart"/>
      <w:r>
        <w:t>Например</w:t>
      </w:r>
      <w:proofErr w:type="gramEnd"/>
      <w:r>
        <w:t xml:space="preserve"> для АСУ приводят: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изменения применяемых методов управления;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- создание условий для работы компонентов АСУ, при которых гарантируется соответствие системы требованиям, содержащимся в ТЗ.</w:t>
      </w:r>
    </w:p>
    <w:p w:rsidR="00A06025" w:rsidRDefault="00A06025">
      <w:pPr>
        <w:pStyle w:val="ConsPlusNormal"/>
        <w:spacing w:before="220"/>
        <w:ind w:firstLine="540"/>
        <w:jc w:val="both"/>
      </w:pPr>
      <w:bookmarkStart w:id="6" w:name="P229"/>
      <w:bookmarkEnd w:id="6"/>
      <w:r>
        <w:t>2.10. В разделе "Требования к документированию" приводят: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1) согласованный разработчиком и заказчиком системы перечень подлежащих разработке комплектов и видов документов, соответствующих требованиям </w:t>
      </w:r>
      <w:hyperlink r:id="rId18" w:history="1">
        <w:r>
          <w:rPr>
            <w:color w:val="0000FF"/>
          </w:rPr>
          <w:t>ГОСТ 34.201</w:t>
        </w:r>
      </w:hyperlink>
      <w:r>
        <w:t xml:space="preserve"> и НТД отрасли заказчика; перечень документов, выпускаемых на машинных носителях; требования к микрофильмированию документации;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требования по документированию комплектующих элементов межотраслевого применения в соответствии с требованиями ЕСКД и ЕСПД;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2.11. В разделе "Источники разработки" 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2.12. В состав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при наличии утвержденных методик включают приложения, содержащие: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1) расчет ожидаемой эффективности системы;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>2) оценку научно-технического уровня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Приложения включают в состав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по согласованию между разработчиком и заказчиком системы.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center"/>
        <w:outlineLvl w:val="1"/>
      </w:pPr>
      <w:r>
        <w:t>3. ПРАВИЛА ОФОРМЛЕНИЯ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ind w:firstLine="540"/>
        <w:jc w:val="both"/>
      </w:pPr>
      <w:r>
        <w:t xml:space="preserve">3.1. Разделы и подразделы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должны быть размещены в порядке, установленном в </w:t>
      </w:r>
      <w:hyperlink w:anchor="P71" w:history="1">
        <w:r>
          <w:rPr>
            <w:color w:val="0000FF"/>
          </w:rPr>
          <w:t>разд. 2</w:t>
        </w:r>
      </w:hyperlink>
      <w:r>
        <w:t xml:space="preserve"> настоящего стандарта.</w:t>
      </w:r>
    </w:p>
    <w:p w:rsidR="00A06025" w:rsidRDefault="00A06025">
      <w:pPr>
        <w:pStyle w:val="ConsPlusNormal"/>
        <w:spacing w:before="220"/>
        <w:ind w:firstLine="540"/>
        <w:jc w:val="both"/>
      </w:pPr>
      <w:bookmarkStart w:id="7" w:name="P242"/>
      <w:bookmarkEnd w:id="7"/>
      <w:r>
        <w:t xml:space="preserve">3.2. ТЗ на АС оформляют в соответствии с требованиями </w:t>
      </w:r>
      <w:hyperlink r:id="rId19" w:history="1">
        <w:r>
          <w:rPr>
            <w:color w:val="0000FF"/>
          </w:rPr>
          <w:t>ГОСТ 2.105</w:t>
        </w:r>
      </w:hyperlink>
      <w:r>
        <w:t xml:space="preserve"> на листах формата А</w:t>
      </w:r>
      <w:proofErr w:type="gramStart"/>
      <w:r>
        <w:t>4</w:t>
      </w:r>
      <w:proofErr w:type="gramEnd"/>
      <w:r>
        <w:t xml:space="preserve"> по </w:t>
      </w:r>
      <w:hyperlink r:id="rId20" w:history="1">
        <w:r>
          <w:rPr>
            <w:color w:val="0000FF"/>
          </w:rPr>
          <w:t>ГОСТ 2.301</w:t>
        </w:r>
      </w:hyperlink>
      <w:r>
        <w:t xml:space="preserve"> без рамки, основной надписи и дополнительных граф к ней.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Номера листов (страниц) проставляют, начиная с первого листа, следующего за титульным </w:t>
      </w:r>
      <w:r>
        <w:lastRenderedPageBreak/>
        <w:t xml:space="preserve">листом, в верхней части листа (над текстом, посередине) после обозначения кода ТЗ </w:t>
      </w:r>
      <w:proofErr w:type="gramStart"/>
      <w:r>
        <w:t>на</w:t>
      </w:r>
      <w:proofErr w:type="gramEnd"/>
      <w:r>
        <w:t xml:space="preserve"> АС.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3.3. Значения показателей, норм и требований указывают, как правило, с предельными отклонениями или максимальным и минимальным значениями. Если эти показатели, нормы, требования однозначно регламентированы НТД, 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следует приводить ссылку на эти документы или их разделы, а также дополнительные требования, учитывающие особенности создаваемой системы. Если конкретные значения показателей, норм и требований не могут быть установлены в процессе разработки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>, в нем следует сделать запись о порядке установления и согласования этих показателей, норм и требований: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"Окончательное требование (значение) уточняется в процессе ... и согласовывается протоколом </w:t>
      </w:r>
      <w:proofErr w:type="gramStart"/>
      <w:r>
        <w:t>с</w:t>
      </w:r>
      <w:proofErr w:type="gramEnd"/>
      <w:r>
        <w:t xml:space="preserve"> ... на стадии ...". При этом в текст ТЗ </w:t>
      </w:r>
      <w:proofErr w:type="gramStart"/>
      <w:r>
        <w:t>на</w:t>
      </w:r>
      <w:proofErr w:type="gramEnd"/>
      <w:r>
        <w:t xml:space="preserve"> АС изменений не вносят.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3.4. На титульном листе помещают подписи заказчика, разработчика и согласующих организаций, которые скрепляют гербовой печатью. При необходимости титульный лист оформляют на нескольких страницах. Подписи разработчиков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и должностных лиц, участвующих в согласовании и рассмотрении проекта ТЗ на АС, помещают на последнем листе.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Форма титульного листа ТЗ </w:t>
      </w:r>
      <w:proofErr w:type="gramStart"/>
      <w:r>
        <w:t>на</w:t>
      </w:r>
      <w:proofErr w:type="gramEnd"/>
      <w:r>
        <w:t xml:space="preserve"> АС приведена в </w:t>
      </w:r>
      <w:hyperlink w:anchor="P284" w:history="1">
        <w:r>
          <w:rPr>
            <w:color w:val="0000FF"/>
          </w:rPr>
          <w:t>Приложении 2</w:t>
        </w:r>
      </w:hyperlink>
      <w:r>
        <w:t xml:space="preserve">. Форма последнего листа ТЗ на АС приведена в </w:t>
      </w:r>
      <w:hyperlink w:anchor="P336" w:history="1">
        <w:r>
          <w:rPr>
            <w:color w:val="0000FF"/>
          </w:rPr>
          <w:t>Приложении 3</w:t>
        </w:r>
      </w:hyperlink>
      <w:r>
        <w:t>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3.5. При необходимости на титульном листе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допускается помещать установленные в отрасли коды, например: гриф секретности, код работы, регистрационный номер ТЗ и др.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3.6. </w:t>
      </w:r>
      <w:proofErr w:type="gramStart"/>
      <w:r>
        <w:t>Титульный лист дополнения к ТЗ на АС оформляют аналогично титульному листу технического задания.</w:t>
      </w:r>
      <w:proofErr w:type="gramEnd"/>
      <w:r>
        <w:t xml:space="preserve"> Вместо наименования "Техническое задание" пишут "Дополнение N... к ТЗ </w:t>
      </w:r>
      <w:proofErr w:type="gramStart"/>
      <w:r>
        <w:t>на</w:t>
      </w:r>
      <w:proofErr w:type="gramEnd"/>
      <w:r>
        <w:t xml:space="preserve"> АС...".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3.7. На последующих листах дополнения к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помещают основание для изменения, содержание изменения и ссылки на документы, в соответствии с которыми вносятся эти изменения.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3.8. При изложении текста дополнения к ТЗ следует указывать номера соответствующих пунктов, подпунктов, таблиц основного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и т.п. и применять слова: "заменить", "дополнить", "исключить", "изложить в новой редакции".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right"/>
        <w:outlineLvl w:val="0"/>
      </w:pPr>
      <w:r>
        <w:t>Приложение 1</w:t>
      </w:r>
    </w:p>
    <w:p w:rsidR="00A06025" w:rsidRDefault="00A06025">
      <w:pPr>
        <w:pStyle w:val="ConsPlusNormal"/>
        <w:jc w:val="right"/>
      </w:pPr>
      <w:r>
        <w:t>Рекомендуемое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center"/>
      </w:pPr>
      <w:bookmarkStart w:id="8" w:name="P260"/>
      <w:bookmarkEnd w:id="8"/>
      <w:r>
        <w:t xml:space="preserve">ПОРЯДОК РАЗРАБОТКИ, СОГЛАСОВАНИЯ И УТВЕРЖДЕНИЯ ТЗ </w:t>
      </w:r>
      <w:proofErr w:type="gramStart"/>
      <w:r>
        <w:t>НА</w:t>
      </w:r>
      <w:proofErr w:type="gramEnd"/>
      <w:r>
        <w:t xml:space="preserve"> АС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ind w:firstLine="540"/>
        <w:jc w:val="both"/>
      </w:pPr>
      <w:r>
        <w:t xml:space="preserve">1. Проект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разрабатывает организация - разработчик системы с участием заказчика на основании технических требований (заявки, тактико-технического задания и т.п.).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При конкурсной организации работ варианты проекта ТЗ на АС рассматриваются заказчиком, который либо выбирает предпочтительный вариант, либо на основании сопоставительного анализа подготавливает с участием будущего разработчика АС окончательный вариант ТЗ </w:t>
      </w:r>
      <w:proofErr w:type="gramStart"/>
      <w:r>
        <w:t>на</w:t>
      </w:r>
      <w:proofErr w:type="gramEnd"/>
      <w:r>
        <w:t xml:space="preserve"> АС.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2. Необходимость согласования проекта ТЗ на АС с органами государственного надзора и другими заинтересованными организациями определяют совместно заказчик системы и разработчик проекта ТЗ </w:t>
      </w:r>
      <w:proofErr w:type="gramStart"/>
      <w:r>
        <w:t>на</w:t>
      </w:r>
      <w:proofErr w:type="gramEnd"/>
      <w:r>
        <w:t xml:space="preserve"> АС.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lastRenderedPageBreak/>
        <w:t xml:space="preserve">Работу по согласованию проекта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осуществляют совместно разработчик ТЗ на АС и заказчик системы, каждый в организациях своего министерства (ведомства).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3. Срок согласования проекта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в каждой организации не должен превышать 15 дней со дня его получения. Рекомендуется рассылать на согласование экземпляры проекта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(копий) одновременно во все организации (подразделения).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4. Замечания по проекту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должны быть представлены с техническим обоснованием. Решения по замечаниям должны быть приняты разработчиком проекта ТЗ на АС и заказчиком системы до утверждения ТЗ </w:t>
      </w:r>
      <w:proofErr w:type="gramStart"/>
      <w:r>
        <w:t>на</w:t>
      </w:r>
      <w:proofErr w:type="gramEnd"/>
      <w:r>
        <w:t xml:space="preserve"> АС.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5. Если при согласовании проекта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возникли разногласия между разработчиком и заказчиком (или другими заинтересованными организациями), то составляется протокол разногласий (форма произвольная) и конкретное решение принимается в установленном порядке.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6. Согласование проекта ТЗ </w:t>
      </w:r>
      <w:proofErr w:type="gramStart"/>
      <w:r>
        <w:t>на</w:t>
      </w:r>
      <w:proofErr w:type="gramEnd"/>
      <w:r>
        <w:t xml:space="preserve"> АС разрешается оформлять отдельным документом (письмом). В этом случае под грифом "Согласовано" делают ссылку на этот документ.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7. Утверждение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осуществляют руководители предприятий (организаций) разработчика и заказчика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8.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(дополнение к ТЗ) до передачи его на утверждение должно быть проверено службой </w:t>
      </w:r>
      <w:proofErr w:type="spellStart"/>
      <w:r>
        <w:t>нормоконтроля</w:t>
      </w:r>
      <w:proofErr w:type="spellEnd"/>
      <w:r>
        <w:t xml:space="preserve"> организации - разработчика ТЗ и, при необходимости, подвергнуто метрологической экспертизе.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9. Копии утвержденного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в 10-дневный срок после утверждения высылаются разработчиком ТЗ на АС участникам создания системы.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10. Согласование и утверждение дополнений к ТЗ </w:t>
      </w:r>
      <w:proofErr w:type="gramStart"/>
      <w:r>
        <w:t>на</w:t>
      </w:r>
      <w:proofErr w:type="gramEnd"/>
      <w:r>
        <w:t xml:space="preserve"> АС проводят в порядке, установленном для ТЗ на АС.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11. Изменения к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не допускается утверждать после представления системы для ее очереди на приемосдаточные испытания.</w:t>
      </w:r>
    </w:p>
    <w:p w:rsidR="00A06025" w:rsidRDefault="00A06025">
      <w:pPr>
        <w:pStyle w:val="ConsPlusNormal"/>
        <w:spacing w:before="220"/>
        <w:ind w:firstLine="540"/>
        <w:jc w:val="both"/>
      </w:pPr>
      <w:r>
        <w:t xml:space="preserve">12. Регистрация, учет и хранение ТЗ </w:t>
      </w:r>
      <w:proofErr w:type="gramStart"/>
      <w:r>
        <w:t>на</w:t>
      </w:r>
      <w:proofErr w:type="gramEnd"/>
      <w:r>
        <w:t xml:space="preserve"> </w:t>
      </w:r>
      <w:proofErr w:type="gramStart"/>
      <w:r>
        <w:t>АС</w:t>
      </w:r>
      <w:proofErr w:type="gramEnd"/>
      <w:r>
        <w:t xml:space="preserve"> и дополнений к нему проводят в соответствии с требованиями </w:t>
      </w:r>
      <w:hyperlink r:id="rId21" w:history="1">
        <w:r>
          <w:rPr>
            <w:color w:val="0000FF"/>
          </w:rPr>
          <w:t>ГОСТ 2.501</w:t>
        </w:r>
      </w:hyperlink>
      <w:r>
        <w:t>.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right"/>
        <w:outlineLvl w:val="0"/>
      </w:pPr>
      <w:r>
        <w:t>Приложение 2</w:t>
      </w:r>
    </w:p>
    <w:p w:rsidR="00A06025" w:rsidRDefault="00A06025">
      <w:pPr>
        <w:pStyle w:val="ConsPlusNormal"/>
        <w:jc w:val="right"/>
      </w:pPr>
      <w:r>
        <w:t>Рекомендуемое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nformat"/>
        <w:jc w:val="both"/>
      </w:pPr>
      <w:bookmarkStart w:id="9" w:name="P284"/>
      <w:bookmarkEnd w:id="9"/>
      <w:r>
        <w:t xml:space="preserve">                      ФОРМА ТИТУЛЬНОГО ЛИСТА ТЗ </w:t>
      </w:r>
      <w:proofErr w:type="gramStart"/>
      <w:r>
        <w:t>НА</w:t>
      </w:r>
      <w:proofErr w:type="gramEnd"/>
      <w:r>
        <w:t xml:space="preserve"> АС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>___________________________________________________________________________</w:t>
      </w:r>
    </w:p>
    <w:p w:rsidR="00A06025" w:rsidRDefault="00A06025">
      <w:pPr>
        <w:pStyle w:val="ConsPlusNonformat"/>
        <w:jc w:val="both"/>
      </w:pPr>
      <w:r>
        <w:t xml:space="preserve">              наименование организации - разработчика ТЗ </w:t>
      </w:r>
      <w:proofErr w:type="gramStart"/>
      <w:r>
        <w:t>на</w:t>
      </w:r>
      <w:proofErr w:type="gramEnd"/>
      <w:r>
        <w:t xml:space="preserve"> АС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 xml:space="preserve">           УТВЕРЖДАЮ                                </w:t>
      </w:r>
      <w:proofErr w:type="spellStart"/>
      <w:proofErr w:type="gramStart"/>
      <w:r>
        <w:t>УТВЕРЖДАЮ</w:t>
      </w:r>
      <w:proofErr w:type="spellEnd"/>
      <w:proofErr w:type="gramEnd"/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proofErr w:type="gramStart"/>
      <w:r>
        <w:t>Руководитель (должность,                 Руководитель (должность,</w:t>
      </w:r>
      <w:proofErr w:type="gramEnd"/>
    </w:p>
    <w:p w:rsidR="00A06025" w:rsidRDefault="00A06025">
      <w:pPr>
        <w:pStyle w:val="ConsPlusNonformat"/>
        <w:jc w:val="both"/>
      </w:pPr>
      <w:r>
        <w:t>наименование предприятия -               наименование предприятия -</w:t>
      </w:r>
    </w:p>
    <w:p w:rsidR="00A06025" w:rsidRDefault="00A06025">
      <w:pPr>
        <w:pStyle w:val="ConsPlusNonformat"/>
        <w:jc w:val="both"/>
      </w:pPr>
      <w:proofErr w:type="gramStart"/>
      <w:r>
        <w:t>заказчика АС)                            разработчика АС)</w:t>
      </w:r>
      <w:proofErr w:type="gramEnd"/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>Личная        Расшифровка                Личная         Расшифровка</w:t>
      </w:r>
    </w:p>
    <w:p w:rsidR="00A06025" w:rsidRDefault="00A06025">
      <w:pPr>
        <w:pStyle w:val="ConsPlusNonformat"/>
        <w:jc w:val="both"/>
      </w:pPr>
      <w:r>
        <w:t>подпись       подписи                    подпись        подписи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 xml:space="preserve">Печать                                   </w:t>
      </w:r>
      <w:proofErr w:type="spellStart"/>
      <w:proofErr w:type="gramStart"/>
      <w:r>
        <w:t>Печать</w:t>
      </w:r>
      <w:proofErr w:type="spellEnd"/>
      <w:proofErr w:type="gramEnd"/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 xml:space="preserve">Дата                                     </w:t>
      </w:r>
      <w:proofErr w:type="spellStart"/>
      <w:proofErr w:type="gramStart"/>
      <w:r>
        <w:t>Дата</w:t>
      </w:r>
      <w:proofErr w:type="spellEnd"/>
      <w:proofErr w:type="gramEnd"/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>___________________________________________________________________________</w:t>
      </w:r>
    </w:p>
    <w:p w:rsidR="00A06025" w:rsidRDefault="00A06025">
      <w:pPr>
        <w:pStyle w:val="ConsPlusNonformat"/>
        <w:jc w:val="both"/>
      </w:pPr>
      <w:r>
        <w:t xml:space="preserve">                         наименование вида АС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>___________________________________________________________________________</w:t>
      </w:r>
    </w:p>
    <w:p w:rsidR="00A06025" w:rsidRDefault="00A06025">
      <w:pPr>
        <w:pStyle w:val="ConsPlusNonformat"/>
        <w:jc w:val="both"/>
      </w:pPr>
      <w:r>
        <w:t xml:space="preserve">                  наименование объекта автоматизации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>___________________________________________________________________________</w:t>
      </w:r>
    </w:p>
    <w:p w:rsidR="00A06025" w:rsidRDefault="00A06025">
      <w:pPr>
        <w:pStyle w:val="ConsPlusNonformat"/>
        <w:jc w:val="both"/>
      </w:pPr>
      <w:r>
        <w:t xml:space="preserve">                      сокращенное наименование АС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 xml:space="preserve">                            ТЕХНИЧЕСКОЕ ЗАДАНИЕ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 xml:space="preserve">                          На ______________ листах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 xml:space="preserve">                                Действует с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 xml:space="preserve">           СОГЛАСОВАНО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proofErr w:type="gramStart"/>
      <w:r>
        <w:t>Руководитель (должность, наименование</w:t>
      </w:r>
      <w:proofErr w:type="gramEnd"/>
    </w:p>
    <w:p w:rsidR="00A06025" w:rsidRDefault="00A06025">
      <w:pPr>
        <w:pStyle w:val="ConsPlusNonformat"/>
        <w:jc w:val="both"/>
      </w:pPr>
      <w:r>
        <w:t>согласующей организации)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>Личная           Расшифровка</w:t>
      </w:r>
    </w:p>
    <w:p w:rsidR="00A06025" w:rsidRDefault="00A06025">
      <w:pPr>
        <w:pStyle w:val="ConsPlusNonformat"/>
        <w:jc w:val="both"/>
      </w:pPr>
      <w:r>
        <w:t>подпись          подписи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>Печать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>Дата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right"/>
        <w:outlineLvl w:val="0"/>
      </w:pPr>
      <w:r>
        <w:t>Приложение 3</w:t>
      </w:r>
    </w:p>
    <w:p w:rsidR="00A06025" w:rsidRDefault="00A06025">
      <w:pPr>
        <w:pStyle w:val="ConsPlusNormal"/>
        <w:jc w:val="right"/>
      </w:pPr>
      <w:r>
        <w:t>Рекомендуемое</w:t>
      </w: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nformat"/>
        <w:jc w:val="both"/>
      </w:pPr>
      <w:bookmarkStart w:id="10" w:name="P336"/>
      <w:bookmarkEnd w:id="10"/>
      <w:r>
        <w:t xml:space="preserve">                      ФОРМА ПОСЛЕДНЕГО ЛИСТА ТЗ </w:t>
      </w:r>
      <w:proofErr w:type="gramStart"/>
      <w:r>
        <w:t>НА</w:t>
      </w:r>
      <w:proofErr w:type="gramEnd"/>
      <w:r>
        <w:t xml:space="preserve"> АС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 xml:space="preserve">              ______________________________________________</w:t>
      </w:r>
    </w:p>
    <w:p w:rsidR="00A06025" w:rsidRDefault="00A06025">
      <w:pPr>
        <w:pStyle w:val="ConsPlusNonformat"/>
        <w:jc w:val="both"/>
      </w:pPr>
      <w:r>
        <w:t xml:space="preserve">                                 (код ТЗ)</w:t>
      </w:r>
    </w:p>
    <w:p w:rsidR="00A06025" w:rsidRDefault="00A06025">
      <w:pPr>
        <w:pStyle w:val="ConsPlusNonformat"/>
        <w:jc w:val="both"/>
      </w:pPr>
    </w:p>
    <w:p w:rsidR="00A06025" w:rsidRDefault="00A06025">
      <w:pPr>
        <w:pStyle w:val="ConsPlusNonformat"/>
        <w:jc w:val="both"/>
      </w:pPr>
      <w:r>
        <w:t xml:space="preserve">                                СОСТАВИЛИ</w:t>
      </w:r>
    </w:p>
    <w:p w:rsidR="00A06025" w:rsidRDefault="00A0602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891"/>
        <w:gridCol w:w="2041"/>
        <w:gridCol w:w="1984"/>
        <w:gridCol w:w="1134"/>
        <w:gridCol w:w="1020"/>
      </w:tblGrid>
      <w:tr w:rsidR="00A06025">
        <w:tc>
          <w:tcPr>
            <w:tcW w:w="2891" w:type="dxa"/>
            <w:tcBorders>
              <w:left w:val="nil"/>
            </w:tcBorders>
          </w:tcPr>
          <w:p w:rsidR="00A06025" w:rsidRDefault="00A06025">
            <w:pPr>
              <w:pStyle w:val="ConsPlusNormal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041" w:type="dxa"/>
          </w:tcPr>
          <w:p w:rsidR="00A06025" w:rsidRDefault="00A06025">
            <w:pPr>
              <w:pStyle w:val="ConsPlusNormal"/>
              <w:jc w:val="center"/>
            </w:pPr>
            <w:r>
              <w:t>Должность исполнителя</w:t>
            </w:r>
          </w:p>
        </w:tc>
        <w:tc>
          <w:tcPr>
            <w:tcW w:w="1984" w:type="dxa"/>
          </w:tcPr>
          <w:p w:rsidR="00A06025" w:rsidRDefault="00A06025">
            <w:pPr>
              <w:pStyle w:val="ConsPlusNormal"/>
              <w:jc w:val="center"/>
            </w:pPr>
            <w:r>
              <w:t>Фамилия, имя, отчество</w:t>
            </w:r>
          </w:p>
        </w:tc>
        <w:tc>
          <w:tcPr>
            <w:tcW w:w="1134" w:type="dxa"/>
          </w:tcPr>
          <w:p w:rsidR="00A06025" w:rsidRDefault="00A06025">
            <w:pPr>
              <w:pStyle w:val="ConsPlusNormal"/>
              <w:jc w:val="center"/>
            </w:pPr>
            <w:r>
              <w:t>Подпись</w:t>
            </w:r>
          </w:p>
        </w:tc>
        <w:tc>
          <w:tcPr>
            <w:tcW w:w="1020" w:type="dxa"/>
            <w:tcBorders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r>
              <w:t>Дата</w:t>
            </w:r>
          </w:p>
        </w:tc>
      </w:tr>
      <w:tr w:rsidR="00A06025">
        <w:tc>
          <w:tcPr>
            <w:tcW w:w="2891" w:type="dxa"/>
            <w:tcBorders>
              <w:left w:val="nil"/>
              <w:bottom w:val="nil"/>
            </w:tcBorders>
          </w:tcPr>
          <w:p w:rsidR="00A06025" w:rsidRDefault="00A06025">
            <w:pPr>
              <w:pStyle w:val="ConsPlusNormal"/>
            </w:pPr>
          </w:p>
        </w:tc>
        <w:tc>
          <w:tcPr>
            <w:tcW w:w="2041" w:type="dxa"/>
            <w:tcBorders>
              <w:bottom w:val="nil"/>
            </w:tcBorders>
          </w:tcPr>
          <w:p w:rsidR="00A06025" w:rsidRDefault="00A06025">
            <w:pPr>
              <w:pStyle w:val="ConsPlusNormal"/>
            </w:pPr>
          </w:p>
        </w:tc>
        <w:tc>
          <w:tcPr>
            <w:tcW w:w="1984" w:type="dxa"/>
            <w:tcBorders>
              <w:bottom w:val="nil"/>
            </w:tcBorders>
          </w:tcPr>
          <w:p w:rsidR="00A06025" w:rsidRDefault="00A06025">
            <w:pPr>
              <w:pStyle w:val="ConsPlusNormal"/>
            </w:pPr>
          </w:p>
        </w:tc>
        <w:tc>
          <w:tcPr>
            <w:tcW w:w="1134" w:type="dxa"/>
            <w:tcBorders>
              <w:bottom w:val="nil"/>
            </w:tcBorders>
          </w:tcPr>
          <w:p w:rsidR="00A06025" w:rsidRDefault="00A06025">
            <w:pPr>
              <w:pStyle w:val="ConsPlusNormal"/>
            </w:pPr>
          </w:p>
        </w:tc>
        <w:tc>
          <w:tcPr>
            <w:tcW w:w="1020" w:type="dxa"/>
            <w:tcBorders>
              <w:bottom w:val="nil"/>
              <w:right w:val="nil"/>
            </w:tcBorders>
          </w:tcPr>
          <w:p w:rsidR="00A06025" w:rsidRDefault="00A06025">
            <w:pPr>
              <w:pStyle w:val="ConsPlusNormal"/>
            </w:pPr>
          </w:p>
        </w:tc>
      </w:tr>
    </w:tbl>
    <w:p w:rsidR="00A06025" w:rsidRDefault="00A06025">
      <w:pPr>
        <w:pStyle w:val="ConsPlusNormal"/>
        <w:jc w:val="both"/>
      </w:pPr>
    </w:p>
    <w:p w:rsidR="00A06025" w:rsidRDefault="00A06025">
      <w:pPr>
        <w:pStyle w:val="ConsPlusNonformat"/>
        <w:jc w:val="both"/>
      </w:pPr>
      <w:r>
        <w:t xml:space="preserve">                                СОГЛАСОВАНО</w:t>
      </w:r>
    </w:p>
    <w:p w:rsidR="00A06025" w:rsidRDefault="00A06025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2891"/>
        <w:gridCol w:w="2041"/>
        <w:gridCol w:w="1984"/>
        <w:gridCol w:w="1134"/>
        <w:gridCol w:w="1020"/>
      </w:tblGrid>
      <w:tr w:rsidR="00A06025">
        <w:tc>
          <w:tcPr>
            <w:tcW w:w="2891" w:type="dxa"/>
            <w:tcBorders>
              <w:left w:val="nil"/>
            </w:tcBorders>
          </w:tcPr>
          <w:p w:rsidR="00A06025" w:rsidRDefault="00A06025">
            <w:pPr>
              <w:pStyle w:val="ConsPlusNormal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041" w:type="dxa"/>
          </w:tcPr>
          <w:p w:rsidR="00A06025" w:rsidRDefault="00A06025">
            <w:pPr>
              <w:pStyle w:val="ConsPlusNormal"/>
              <w:jc w:val="center"/>
            </w:pPr>
            <w:r>
              <w:t>Должность</w:t>
            </w:r>
          </w:p>
        </w:tc>
        <w:tc>
          <w:tcPr>
            <w:tcW w:w="1984" w:type="dxa"/>
          </w:tcPr>
          <w:p w:rsidR="00A06025" w:rsidRDefault="00A06025">
            <w:pPr>
              <w:pStyle w:val="ConsPlusNormal"/>
              <w:jc w:val="center"/>
            </w:pPr>
            <w:r>
              <w:t>Фамилия, имя, отчество</w:t>
            </w:r>
          </w:p>
        </w:tc>
        <w:tc>
          <w:tcPr>
            <w:tcW w:w="1134" w:type="dxa"/>
          </w:tcPr>
          <w:p w:rsidR="00A06025" w:rsidRDefault="00A06025">
            <w:pPr>
              <w:pStyle w:val="ConsPlusNormal"/>
              <w:jc w:val="center"/>
            </w:pPr>
            <w:r>
              <w:t>Подпись</w:t>
            </w:r>
          </w:p>
        </w:tc>
        <w:tc>
          <w:tcPr>
            <w:tcW w:w="1020" w:type="dxa"/>
            <w:tcBorders>
              <w:right w:val="nil"/>
            </w:tcBorders>
          </w:tcPr>
          <w:p w:rsidR="00A06025" w:rsidRDefault="00A06025">
            <w:pPr>
              <w:pStyle w:val="ConsPlusNormal"/>
              <w:jc w:val="center"/>
            </w:pPr>
            <w:r>
              <w:t>Дата</w:t>
            </w:r>
          </w:p>
        </w:tc>
      </w:tr>
      <w:tr w:rsidR="00A06025">
        <w:tc>
          <w:tcPr>
            <w:tcW w:w="2891" w:type="dxa"/>
            <w:tcBorders>
              <w:left w:val="nil"/>
              <w:bottom w:val="nil"/>
            </w:tcBorders>
          </w:tcPr>
          <w:p w:rsidR="00A06025" w:rsidRDefault="00A06025">
            <w:pPr>
              <w:pStyle w:val="ConsPlusNormal"/>
            </w:pPr>
          </w:p>
        </w:tc>
        <w:tc>
          <w:tcPr>
            <w:tcW w:w="2041" w:type="dxa"/>
            <w:tcBorders>
              <w:bottom w:val="nil"/>
            </w:tcBorders>
          </w:tcPr>
          <w:p w:rsidR="00A06025" w:rsidRDefault="00A06025">
            <w:pPr>
              <w:pStyle w:val="ConsPlusNormal"/>
            </w:pPr>
          </w:p>
        </w:tc>
        <w:tc>
          <w:tcPr>
            <w:tcW w:w="1984" w:type="dxa"/>
            <w:tcBorders>
              <w:bottom w:val="nil"/>
            </w:tcBorders>
          </w:tcPr>
          <w:p w:rsidR="00A06025" w:rsidRDefault="00A06025">
            <w:pPr>
              <w:pStyle w:val="ConsPlusNormal"/>
            </w:pPr>
          </w:p>
        </w:tc>
        <w:tc>
          <w:tcPr>
            <w:tcW w:w="1134" w:type="dxa"/>
            <w:tcBorders>
              <w:bottom w:val="nil"/>
            </w:tcBorders>
          </w:tcPr>
          <w:p w:rsidR="00A06025" w:rsidRDefault="00A06025">
            <w:pPr>
              <w:pStyle w:val="ConsPlusNormal"/>
            </w:pPr>
          </w:p>
        </w:tc>
        <w:tc>
          <w:tcPr>
            <w:tcW w:w="1020" w:type="dxa"/>
            <w:tcBorders>
              <w:bottom w:val="nil"/>
              <w:right w:val="nil"/>
            </w:tcBorders>
          </w:tcPr>
          <w:p w:rsidR="00A06025" w:rsidRDefault="00A06025">
            <w:pPr>
              <w:pStyle w:val="ConsPlusNormal"/>
            </w:pPr>
          </w:p>
        </w:tc>
      </w:tr>
    </w:tbl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jc w:val="both"/>
      </w:pPr>
    </w:p>
    <w:p w:rsidR="00A06025" w:rsidRDefault="00A06025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2B18BB" w:rsidRDefault="002B18BB"/>
    <w:sectPr w:rsidR="002B18BB" w:rsidSect="00776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06025"/>
    <w:rsid w:val="002212E9"/>
    <w:rsid w:val="002B18BB"/>
    <w:rsid w:val="00A06025"/>
    <w:rsid w:val="00B61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0602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06025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A0602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A0602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EDDEDDA7F0B7C1728A87CCFC6478DDA8B7DC1883B9E88FA43D162A9F07F9C8678F79BB4A7434A14B8E21EBFFY9L" TargetMode="External"/><Relationship Id="rId13" Type="http://schemas.openxmlformats.org/officeDocument/2006/relationships/hyperlink" Target="consultantplus://offline/ref=EDDEDDA7F0B7C1728A87CCFC6478DDA8BEDF1983B4B585AC641A289808A6CD729E21B648682BA0559223E9FBFDY3L" TargetMode="External"/><Relationship Id="rId18" Type="http://schemas.openxmlformats.org/officeDocument/2006/relationships/hyperlink" Target="consultantplus://offline/ref=EDDEDDA7F0B7C1728A87CCFC6478DDA8BEDC1D8EB4B585AC641A289808A6CD729E21B648682BA0559223E9FBFDY3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consultantplus://offline/ref=EDDEDDA7F0B7C1728A87CCFC6478DDA8B8DA1A8AB9E88FA43D162A9F07F9C8678F79BB4A7434A14B8E21EBFFY9L" TargetMode="External"/><Relationship Id="rId7" Type="http://schemas.openxmlformats.org/officeDocument/2006/relationships/hyperlink" Target="consultantplus://offline/ref=EDDEDDA7F0B7C1728A87CCFC6478DDA8B8DA1A8AB9E88FA43D162A9F07F9C8678F79BB4A7434A14B8E21EBFFY9L" TargetMode="External"/><Relationship Id="rId12" Type="http://schemas.openxmlformats.org/officeDocument/2006/relationships/hyperlink" Target="consultantplus://offline/ref=EDDEDDA7F0B7C1728A87D0FC7878DDA8BED61C8EB9E88FA43D162A9F07F9C8678F79BB4A7434A14B8E21EBFFY9L" TargetMode="External"/><Relationship Id="rId17" Type="http://schemas.openxmlformats.org/officeDocument/2006/relationships/hyperlink" Target="consultantplus://offline/ref=EDDEDDA7F0B7C1728A87CCFC6478DDA8BEDC1D8EB4B585AC641A289808A6CD729E21B648682BA0559223E9FBFDY3L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EDDEDDA7F0B7C1728A87CCFC6478DDA8BEDF1983B4B585AC641A289808A6CD729E21B648682BA0559223E9FBFDY3L" TargetMode="External"/><Relationship Id="rId20" Type="http://schemas.openxmlformats.org/officeDocument/2006/relationships/hyperlink" Target="consultantplus://offline/ref=EDDEDDA7F0B7C1728A87CCFC6478DDA8B9D71983B9E88FA43D162A9F07F9C8678F79BB4A7434A14B8E21EBFFY9L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EDDEDDA7F0B7C1728A87CCFC6478DDA8B9D71983B9E88FA43D162A9F07F9C8678F79BB4A7434A14B8E21EBFFY9L" TargetMode="External"/><Relationship Id="rId11" Type="http://schemas.openxmlformats.org/officeDocument/2006/relationships/hyperlink" Target="consultantplus://offline/ref=EDDEDDA7F0B7C1728A87CCFC6478DDA8BEDF1983B4B585AC641A289808A6CD729E21B648682BA0559223E9FBFDY3L" TargetMode="External"/><Relationship Id="rId5" Type="http://schemas.openxmlformats.org/officeDocument/2006/relationships/hyperlink" Target="consultantplus://offline/ref=EDDEDDA7F0B7C1728A87CCFC6478DDA8B9D7188AB9E88FA43D162A9F07F9C8678F79BB4A7434A14B8E21EBFFY9L" TargetMode="External"/><Relationship Id="rId15" Type="http://schemas.openxmlformats.org/officeDocument/2006/relationships/hyperlink" Target="consultantplus://offline/ref=EDDEDDA7F0B7C1728A87CCFC6478DDA8B7DC1883B9E88FA43D162A9F07F9C8678F79BB4A7434A14B8E21EBFFY9L" TargetMode="External"/><Relationship Id="rId23" Type="http://schemas.openxmlformats.org/officeDocument/2006/relationships/theme" Target="theme/theme1.xml"/><Relationship Id="rId10" Type="http://schemas.openxmlformats.org/officeDocument/2006/relationships/hyperlink" Target="consultantplus://offline/ref=EDDEDDA7F0B7C1728A87CCFC6478DDA8BEDC1D8EB4B585AC641A289808A6CD729E21B648682BA0559223E9FBFDY3L" TargetMode="External"/><Relationship Id="rId19" Type="http://schemas.openxmlformats.org/officeDocument/2006/relationships/hyperlink" Target="consultantplus://offline/ref=EDDEDDA7F0B7C1728A87CCFC6478DDA8B9D7188AB9E88FA43D162A9F07F9C8678F79BB4A7434A14B8E21EBFFY9L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EDDEDDA7F0B7C1728A87D0FC7878DDA8BED61C8EB9E88FA43D162A9F07F9C8678F79BB4A7434A14B8E21EBFFY9L" TargetMode="External"/><Relationship Id="rId14" Type="http://schemas.openxmlformats.org/officeDocument/2006/relationships/hyperlink" Target="consultantplus://offline/ref=EDDEDDA7F0B7C1728A87D0FC7878DDA8BED7188CBBB585AC641A289808A6CD729E21B648682BA0559223E9FBFDY3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4643</Words>
  <Characters>26471</Characters>
  <Application>Microsoft Office Word</Application>
  <DocSecurity>0</DocSecurity>
  <Lines>220</Lines>
  <Paragraphs>62</Paragraphs>
  <ScaleCrop>false</ScaleCrop>
  <Company>office 2007 rus ent:</Company>
  <LinksUpToDate>false</LinksUpToDate>
  <CharactersWithSpaces>31052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ws09-06</dc:creator>
  <cp:lastModifiedBy>ws09-06</cp:lastModifiedBy>
  <cp:revision>1</cp:revision>
  <dcterms:created xsi:type="dcterms:W3CDTF">2020-10-02T11:24:00Z</dcterms:created>
  <dcterms:modified xsi:type="dcterms:W3CDTF">2020-10-02T11:25:00Z</dcterms:modified>
</cp:coreProperties>
</file>