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926879" w:rsidRDefault="00926879"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lastRenderedPageBreak/>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6D78D8">
          <w:pPr>
            <w:pStyle w:val="Sumrio1"/>
            <w:rPr>
              <w:rFonts w:asciiTheme="minorHAnsi" w:eastAsiaTheme="minorEastAsia" w:hAnsiTheme="minorHAnsi" w:cstheme="minorBidi"/>
              <w:b w:val="0"/>
              <w:i w:val="0"/>
              <w:sz w:val="22"/>
              <w:szCs w:val="22"/>
            </w:rPr>
          </w:pPr>
          <w:r w:rsidRPr="006D78D8">
            <w:fldChar w:fldCharType="begin"/>
          </w:r>
          <w:r w:rsidR="00D6241D" w:rsidRPr="00D85F05">
            <w:instrText xml:space="preserve"> TOC \o "1-3" \h \z \u </w:instrText>
          </w:r>
          <w:r w:rsidRPr="006D78D8">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F8713A">
              <w:rPr>
                <w:webHidden/>
              </w:rPr>
              <w:t>6</w:t>
            </w:r>
            <w:r>
              <w:rPr>
                <w:webHidden/>
              </w:rPr>
              <w:fldChar w:fldCharType="end"/>
            </w:r>
          </w:hyperlink>
        </w:p>
        <w:p w:rsidR="00D6241D" w:rsidRDefault="006D78D8">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lastRenderedPageBreak/>
        <w:t>RFID é uma tecnologia de identificação que utiliza a radiofrequência para capturar os dados, permitindo que uma tag seja lida sem a necessidade de campo visual, através de barreias e objetos tais como madeira, plástico, etc. Ela é 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t>4</w:t>
      </w:r>
      <w:r w:rsidR="00711AC0" w:rsidRPr="00735A6A">
        <w:t xml:space="preserve"> – </w:t>
      </w:r>
      <w:r w:rsidR="00BF2A5F">
        <w:t>REQUISITOS DO PROJETO</w:t>
      </w:r>
      <w:bookmarkEnd w:id="21"/>
    </w:p>
    <w:p w:rsidR="00547D94" w:rsidRDefault="0032090F" w:rsidP="00BF2A5F">
      <w:pPr>
        <w:pStyle w:val="Estilo2"/>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comunicação SPI. O microcontrolador escolhido foi um  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Default="005920C4" w:rsidP="00BF2A5F">
      <w:pPr>
        <w:pStyle w:val="Estilo2"/>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p>
    <w:p w:rsidR="009A1654" w:rsidRPr="000B266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4662A7" w:rsidRPr="00735A6A" w:rsidRDefault="000349D0" w:rsidP="00D6241D">
      <w:pPr>
        <w:pStyle w:val="Estilo2"/>
      </w:pPr>
      <w:bookmarkStart w:id="22" w:name="_Toc415238496"/>
      <w:bookmarkStart w:id="23" w:name="_Toc417410420"/>
      <w:r>
        <w:t>5</w:t>
      </w:r>
      <w:r w:rsidR="004662A7" w:rsidRPr="00735A6A">
        <w:t xml:space="preserve"> – </w:t>
      </w:r>
      <w:r w:rsidR="00AB05BB">
        <w:t>A</w:t>
      </w:r>
      <w:bookmarkEnd w:id="22"/>
      <w:r w:rsidR="00BF2A5F">
        <w:t>RQUITETURA GERAL DO SISTEMA</w:t>
      </w:r>
      <w:bookmarkEnd w:id="23"/>
    </w:p>
    <w:p w:rsidR="004662A7" w:rsidRPr="00926879" w:rsidRDefault="004662A7" w:rsidP="004662A7">
      <w:pPr>
        <w:autoSpaceDE w:val="0"/>
        <w:autoSpaceDN w:val="0"/>
        <w:adjustRightInd w:val="0"/>
        <w:jc w:val="both"/>
        <w:rPr>
          <w:rFonts w:ascii="Arial" w:hAnsi="Arial" w:cs="Arial"/>
        </w:rPr>
      </w:pPr>
    </w:p>
    <w:p w:rsidR="00F640C5" w:rsidRDefault="00F640C5" w:rsidP="005277FD">
      <w:pPr>
        <w:autoSpaceDE w:val="0"/>
        <w:autoSpaceDN w:val="0"/>
        <w:adjustRightInd w:val="0"/>
        <w:jc w:val="both"/>
        <w:rPr>
          <w:rFonts w:ascii="Arial" w:hAnsi="Arial" w:cs="Arial"/>
        </w:rPr>
      </w:pPr>
    </w:p>
    <w:p w:rsidR="004662A7" w:rsidRPr="00735A6A" w:rsidRDefault="000349D0" w:rsidP="00D6241D">
      <w:pPr>
        <w:pStyle w:val="Estilo2"/>
      </w:pPr>
      <w:bookmarkStart w:id="24" w:name="_Toc417410421"/>
      <w:r>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  do programa, o mesmo foi usado apenas para verificação do circuito. A Figura 2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fldSimple w:instr=" SEQ Figura \* ARABIC ">
        <w:r>
          <w:rPr>
            <w:noProof/>
          </w:rPr>
          <w:t>2</w:t>
        </w:r>
      </w:fldSimple>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Nesta seção serão mostrados as etapas de elaboração do software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D1668C" w:rsidRDefault="007A3296" w:rsidP="007A3296">
      <w:pPr>
        <w:pStyle w:val="Estilo2"/>
      </w:pPr>
      <w:bookmarkStart w:id="26" w:name="_Toc417410423"/>
      <w:r>
        <w:lastRenderedPageBreak/>
        <w:t>7.1 – Fluxograma</w:t>
      </w:r>
      <w:bookmarkEnd w:id="26"/>
    </w:p>
    <w:p w:rsidR="00D1668C" w:rsidRDefault="00D1668C" w:rsidP="007A3296">
      <w:pPr>
        <w:pStyle w:val="Estilo2"/>
      </w:pPr>
    </w:p>
    <w:p w:rsidR="007A3296" w:rsidRDefault="007A3296" w:rsidP="007A3296">
      <w:pPr>
        <w:pStyle w:val="Estilo2"/>
      </w:pPr>
      <w:bookmarkStart w:id="27" w:name="_Toc417410424"/>
      <w:r>
        <w:t>7.2 – 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D1668C" w:rsidRPr="00D1668C" w:rsidRDefault="00D1668C" w:rsidP="00D1668C">
            <w:pPr>
              <w:tabs>
                <w:tab w:val="center" w:pos="4306"/>
              </w:tabs>
              <w:rPr>
                <w:rFonts w:ascii="Arial" w:hAnsi="Arial" w:cs="Arial"/>
                <w:color w:val="FF0000"/>
              </w:rPr>
            </w:pPr>
            <w:r>
              <w:rPr>
                <w:rFonts w:ascii="Arial" w:hAnsi="Arial" w:cs="Arial"/>
              </w:rPr>
              <w:tab/>
            </w:r>
            <w:r w:rsidRPr="00D1668C">
              <w:rPr>
                <w:rFonts w:ascii="Arial" w:hAnsi="Arial" w:cs="Arial"/>
                <w:color w:val="FF0000"/>
              </w:rPr>
              <w:t>Copiar e colar aqui o código fonte C</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lastRenderedPageBreak/>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151736" w:rsidRDefault="00151736" w:rsidP="00151736">
      <w:pPr>
        <w:pStyle w:val="Estilo2"/>
      </w:pPr>
    </w:p>
    <w:p w:rsidR="00151736" w:rsidRDefault="00151736" w:rsidP="00151736">
      <w:pPr>
        <w:pStyle w:val="Estilo2"/>
      </w:pPr>
      <w:bookmarkStart w:id="30" w:name="_Toc417410427"/>
      <w:r>
        <w:t>10</w:t>
      </w:r>
      <w:r w:rsidRPr="00735A6A">
        <w:t xml:space="preserve"> – </w:t>
      </w:r>
      <w:r>
        <w:t>CONCLUSÕES</w:t>
      </w:r>
      <w:bookmarkEnd w:id="30"/>
    </w:p>
    <w:p w:rsidR="00DA4190" w:rsidRDefault="00DA4190" w:rsidP="00151736">
      <w:pPr>
        <w:pStyle w:val="Estilo2"/>
      </w:pPr>
    </w:p>
    <w:p w:rsidR="00DA4190" w:rsidRPr="00735A6A" w:rsidRDefault="00DA4190" w:rsidP="00DA4190">
      <w:pPr>
        <w:pStyle w:val="Estilo2"/>
        <w:jc w:val="center"/>
      </w:pPr>
      <w:bookmarkStart w:id="31" w:name="_GoBack"/>
      <w:r>
        <w:rPr>
          <w:noProof/>
        </w:rPr>
        <w:drawing>
          <wp:inline distT="0" distB="0" distL="0" distR="0">
            <wp:extent cx="3509010" cy="4678680"/>
            <wp:effectExtent l="5715" t="0" r="190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4-17 08.40.59.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509010" cy="4678680"/>
                    </a:xfrm>
                    <a:prstGeom prst="rect">
                      <a:avLst/>
                    </a:prstGeom>
                  </pic:spPr>
                </pic:pic>
              </a:graphicData>
            </a:graphic>
          </wp:inline>
        </w:drawing>
      </w:r>
      <w:bookmarkEnd w:id="31"/>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4"/>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94A" w:rsidRDefault="00CC094A" w:rsidP="002E721B">
      <w:r>
        <w:separator/>
      </w:r>
    </w:p>
  </w:endnote>
  <w:endnote w:type="continuationSeparator" w:id="1">
    <w:p w:rsidR="00CC094A" w:rsidRDefault="00CC094A"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10" w:rsidRDefault="00693B10">
    <w:pPr>
      <w:pStyle w:val="Rodap"/>
      <w:jc w:val="right"/>
    </w:pPr>
  </w:p>
  <w:p w:rsidR="00693B10" w:rsidRDefault="00693B1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693B10" w:rsidRDefault="006D78D8">
        <w:pPr>
          <w:pStyle w:val="Rodap"/>
          <w:jc w:val="right"/>
        </w:pPr>
        <w:r>
          <w:fldChar w:fldCharType="begin"/>
        </w:r>
        <w:r w:rsidR="00693B10">
          <w:instrText>PAGE   \* MERGEFORMAT</w:instrText>
        </w:r>
        <w:r>
          <w:fldChar w:fldCharType="separate"/>
        </w:r>
        <w:r w:rsidR="000B2664">
          <w:rPr>
            <w:noProof/>
          </w:rPr>
          <w:t>5</w:t>
        </w:r>
        <w:r>
          <w:fldChar w:fldCharType="end"/>
        </w:r>
      </w:p>
    </w:sdtContent>
  </w:sdt>
  <w:p w:rsidR="00693B10" w:rsidRDefault="00693B1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94A" w:rsidRDefault="00CC094A" w:rsidP="002E721B">
      <w:r>
        <w:separator/>
      </w:r>
    </w:p>
  </w:footnote>
  <w:footnote w:type="continuationSeparator" w:id="1">
    <w:p w:rsidR="00CC094A" w:rsidRDefault="00CC094A"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6">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1">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4">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2"/>
  </w:num>
  <w:num w:numId="2">
    <w:abstractNumId w:val="17"/>
  </w:num>
  <w:num w:numId="3">
    <w:abstractNumId w:val="11"/>
  </w:num>
  <w:num w:numId="4">
    <w:abstractNumId w:val="2"/>
  </w:num>
  <w:num w:numId="5">
    <w:abstractNumId w:val="4"/>
  </w:num>
  <w:num w:numId="6">
    <w:abstractNumId w:val="16"/>
  </w:num>
  <w:num w:numId="7">
    <w:abstractNumId w:val="6"/>
  </w:num>
  <w:num w:numId="8">
    <w:abstractNumId w:val="9"/>
  </w:num>
  <w:num w:numId="9">
    <w:abstractNumId w:val="3"/>
  </w:num>
  <w:num w:numId="10">
    <w:abstractNumId w:val="8"/>
  </w:num>
  <w:num w:numId="11">
    <w:abstractNumId w:val="15"/>
  </w:num>
  <w:num w:numId="12">
    <w:abstractNumId w:val="13"/>
  </w:num>
  <w:num w:numId="13">
    <w:abstractNumId w:val="10"/>
  </w:num>
  <w:num w:numId="14">
    <w:abstractNumId w:val="14"/>
  </w:num>
  <w:num w:numId="15">
    <w:abstractNumId w:val="18"/>
  </w:num>
  <w:num w:numId="16">
    <w:abstractNumId w:val="5"/>
  </w:num>
  <w:num w:numId="17">
    <w:abstractNumId w:val="0"/>
  </w:num>
  <w:num w:numId="18">
    <w:abstractNumId w:val="1"/>
  </w:num>
  <w:num w:numId="19">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A4211D"/>
    <w:rsid w:val="00000DFA"/>
    <w:rsid w:val="00002348"/>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A3549"/>
    <w:rsid w:val="002B23DF"/>
    <w:rsid w:val="002B4EEF"/>
    <w:rsid w:val="002B7AAD"/>
    <w:rsid w:val="002C08BA"/>
    <w:rsid w:val="002D0C53"/>
    <w:rsid w:val="002D59B6"/>
    <w:rsid w:val="002E3335"/>
    <w:rsid w:val="002E721B"/>
    <w:rsid w:val="002F53E1"/>
    <w:rsid w:val="002F66A5"/>
    <w:rsid w:val="00300A42"/>
    <w:rsid w:val="00305DDF"/>
    <w:rsid w:val="00307D6F"/>
    <w:rsid w:val="003104A3"/>
    <w:rsid w:val="0031551D"/>
    <w:rsid w:val="0032090F"/>
    <w:rsid w:val="00333B3F"/>
    <w:rsid w:val="003440FE"/>
    <w:rsid w:val="00351394"/>
    <w:rsid w:val="00353174"/>
    <w:rsid w:val="003576F9"/>
    <w:rsid w:val="00360F1C"/>
    <w:rsid w:val="00365F5B"/>
    <w:rsid w:val="00371377"/>
    <w:rsid w:val="00372E13"/>
    <w:rsid w:val="00376031"/>
    <w:rsid w:val="003A3390"/>
    <w:rsid w:val="003A4ED3"/>
    <w:rsid w:val="003A65E0"/>
    <w:rsid w:val="003C0EB0"/>
    <w:rsid w:val="003C5A83"/>
    <w:rsid w:val="003C7F27"/>
    <w:rsid w:val="003D50DD"/>
    <w:rsid w:val="003D5267"/>
    <w:rsid w:val="003D6DB1"/>
    <w:rsid w:val="003E43FE"/>
    <w:rsid w:val="003E66A3"/>
    <w:rsid w:val="003F1978"/>
    <w:rsid w:val="003F5472"/>
    <w:rsid w:val="003F7E38"/>
    <w:rsid w:val="00407D48"/>
    <w:rsid w:val="00421F94"/>
    <w:rsid w:val="00430C28"/>
    <w:rsid w:val="00435B74"/>
    <w:rsid w:val="0044101E"/>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77FD"/>
    <w:rsid w:val="00536F77"/>
    <w:rsid w:val="00547D94"/>
    <w:rsid w:val="00553E9C"/>
    <w:rsid w:val="00554D04"/>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135BE"/>
    <w:rsid w:val="00620851"/>
    <w:rsid w:val="00621C5C"/>
    <w:rsid w:val="00622D88"/>
    <w:rsid w:val="00625089"/>
    <w:rsid w:val="00625452"/>
    <w:rsid w:val="00625DDA"/>
    <w:rsid w:val="00627D60"/>
    <w:rsid w:val="00630295"/>
    <w:rsid w:val="006445A1"/>
    <w:rsid w:val="00653C53"/>
    <w:rsid w:val="00655035"/>
    <w:rsid w:val="00655915"/>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62DA8"/>
    <w:rsid w:val="00763A76"/>
    <w:rsid w:val="0076422C"/>
    <w:rsid w:val="0077189B"/>
    <w:rsid w:val="00773B7E"/>
    <w:rsid w:val="00777DCA"/>
    <w:rsid w:val="00780CE4"/>
    <w:rsid w:val="00786259"/>
    <w:rsid w:val="00787FB6"/>
    <w:rsid w:val="00794411"/>
    <w:rsid w:val="00795036"/>
    <w:rsid w:val="007A29A4"/>
    <w:rsid w:val="007A3296"/>
    <w:rsid w:val="007A43B6"/>
    <w:rsid w:val="007A7898"/>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49A2"/>
    <w:rsid w:val="009A1654"/>
    <w:rsid w:val="009A524D"/>
    <w:rsid w:val="009B0753"/>
    <w:rsid w:val="009B706F"/>
    <w:rsid w:val="009C5AE9"/>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B07A44"/>
    <w:rsid w:val="00B16270"/>
    <w:rsid w:val="00B2466A"/>
    <w:rsid w:val="00B27DB5"/>
    <w:rsid w:val="00B3078F"/>
    <w:rsid w:val="00B37673"/>
    <w:rsid w:val="00B6116B"/>
    <w:rsid w:val="00B713F7"/>
    <w:rsid w:val="00B72F9F"/>
    <w:rsid w:val="00B81511"/>
    <w:rsid w:val="00B82424"/>
    <w:rsid w:val="00B83A5D"/>
    <w:rsid w:val="00BA0550"/>
    <w:rsid w:val="00BA2467"/>
    <w:rsid w:val="00BA2683"/>
    <w:rsid w:val="00BA374C"/>
    <w:rsid w:val="00BA5B08"/>
    <w:rsid w:val="00BA725D"/>
    <w:rsid w:val="00BB538A"/>
    <w:rsid w:val="00BC33DA"/>
    <w:rsid w:val="00BC4C61"/>
    <w:rsid w:val="00BD247C"/>
    <w:rsid w:val="00BD3241"/>
    <w:rsid w:val="00BD4210"/>
    <w:rsid w:val="00BF2A5F"/>
    <w:rsid w:val="00BF61A8"/>
    <w:rsid w:val="00BF7395"/>
    <w:rsid w:val="00C00E07"/>
    <w:rsid w:val="00C02B29"/>
    <w:rsid w:val="00C03391"/>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94A"/>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6241D"/>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6D9D"/>
    <w:rsid w:val="00E62E73"/>
    <w:rsid w:val="00E62E8A"/>
    <w:rsid w:val="00E6302E"/>
    <w:rsid w:val="00E70CF0"/>
    <w:rsid w:val="00E87D3C"/>
    <w:rsid w:val="00EA24ED"/>
    <w:rsid w:val="00EA3EB5"/>
    <w:rsid w:val="00EB0FB7"/>
    <w:rsid w:val="00EB4F61"/>
    <w:rsid w:val="00EB71FF"/>
    <w:rsid w:val="00EC2BE2"/>
    <w:rsid w:val="00EC72DF"/>
    <w:rsid w:val="00ED4870"/>
    <w:rsid w:val="00ED6ADB"/>
    <w:rsid w:val="00EE2DE8"/>
    <w:rsid w:val="00EE6249"/>
    <w:rsid w:val="00EF1FD0"/>
    <w:rsid w:val="00F01938"/>
    <w:rsid w:val="00F0440F"/>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861</Words>
  <Characters>4654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5504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Yure</cp:lastModifiedBy>
  <cp:revision>27</cp:revision>
  <cp:lastPrinted>2015-04-08T00:31:00Z</cp:lastPrinted>
  <dcterms:created xsi:type="dcterms:W3CDTF">2015-04-21T22:05:00Z</dcterms:created>
  <dcterms:modified xsi:type="dcterms:W3CDTF">2015-04-22T17:59:00Z</dcterms:modified>
</cp:coreProperties>
</file>