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37.png" ContentType="image/png"/>
  <Override PartName="/word/media/rId40.png" ContentType="image/png"/>
  <Override PartName="/word/media/rId44.png" ContentType="image/png"/>
  <Override PartName="/word/media/rId47.png" ContentType="image/png"/>
  <Override PartName="/word/media/rId50.png" ContentType="image/png"/>
  <Override PartName="/word/media/rId53.png" ContentType="image/png"/>
  <Override PartName="/word/media/rId56.png" ContentType="image/png"/>
  <Override PartName="/word/media/rId5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Building</w:t>
      </w:r>
      <w:r>
        <w:t xml:space="preserve"> </w:t>
      </w:r>
      <w:r>
        <w:t xml:space="preserve">and</w:t>
      </w:r>
      <w:r>
        <w:t xml:space="preserve"> </w:t>
      </w:r>
      <w:r>
        <w:t xml:space="preserve">evaluation</w:t>
      </w:r>
      <w:r>
        <w:t xml:space="preserve"> </w:t>
      </w:r>
      <w:r>
        <w:t xml:space="preserve">of</w:t>
      </w:r>
      <w:r>
        <w:t xml:space="preserve"> </w:t>
      </w:r>
      <w:r>
        <w:t xml:space="preserve">a</w:t>
      </w:r>
      <w:r>
        <w:t xml:space="preserve"> </w:t>
      </w:r>
      <w:r>
        <w:t xml:space="preserve">PBPK</w:t>
      </w:r>
      <w:r>
        <w:t xml:space="preserve"> </w:t>
      </w:r>
      <w:r>
        <w:t xml:space="preserve">model</w:t>
      </w:r>
      <w:r>
        <w:t xml:space="preserve"> </w:t>
      </w:r>
      <w:r>
        <w:t xml:space="preserve">for</w:t>
      </w:r>
      <w:r>
        <w:t xml:space="preserve"> </w:t>
      </w:r>
      <w:r>
        <w:t xml:space="preserve">amikacin</w:t>
      </w:r>
      <w:r>
        <w:t xml:space="preserve"> </w:t>
      </w:r>
      <w:r>
        <w:t xml:space="preserve">in</w:t>
      </w:r>
      <w:r>
        <w:t xml:space="preserve"> </w:t>
      </w:r>
      <w:r>
        <w:t xml:space="preserve">adults</w:t>
      </w:r>
    </w:p>
    <w:p>
      <w:pPr>
        <w:pStyle w:val="AbstractTitle"/>
      </w:pPr>
      <w:r>
        <w:t xml:space="preserve">Abstract</w:t>
      </w:r>
    </w:p>
    <w:tbl>
      <w:tblPr>
        <w:tblStyle w:val="Table"/>
        <w:tblW w:type="pct" w:w="5000"/>
        <w:tblLook w:firstRow="1" w:lastRow="0" w:firstColumn="0" w:lastColumn="0" w:noHBand="0" w:noVBand="0" w:val="0020"/>
        <w:jc w:val="start"/>
      </w:tblPr>
      <w:tblGrid>
        <w:gridCol w:w="3478"/>
        <w:gridCol w:w="4441"/>
      </w:tblGrid>
      <w:tr>
        <w:trPr>
          <w:tblHeader w:val="true"/>
        </w:trPr>
        <w:tc>
          <w:tcPr/>
          <w:p>
            <w:pPr>
              <w:pStyle w:val="Compact"/>
              <w:jc w:val="left"/>
            </w:pPr>
            <w:r>
              <w:t xml:space="preserve">Version</w:t>
            </w:r>
          </w:p>
        </w:tc>
        <w:tc>
          <w:tcPr/>
          <w:p>
            <w:pPr>
              <w:pStyle w:val="Compact"/>
              <w:jc w:val="left"/>
            </w:pPr>
            <w:r>
              <w:t xml:space="preserve">1.0-OSP12.0</w:t>
            </w:r>
          </w:p>
        </w:tc>
      </w:tr>
      <w:tr>
        <w:tc>
          <w:tcPr/>
          <w:p>
            <w:pPr>
              <w:pStyle w:val="Compact"/>
              <w:jc w:val="left"/>
            </w:pPr>
            <w:r>
              <w:t xml:space="preserve">based</w:t>
            </w:r>
            <w:r>
              <w:t xml:space="preserve"> </w:t>
            </w:r>
            <w:r>
              <w:t xml:space="preserve">on</w:t>
            </w:r>
            <w:r>
              <w:t xml:space="preserve"> </w:t>
            </w:r>
            <w:r>
              <w:rPr>
                <w:iCs/>
                <w:i/>
              </w:rPr>
              <w:t xml:space="preserve">Model</w:t>
            </w:r>
            <w:r>
              <w:rPr>
                <w:iCs/>
                <w:i/>
              </w:rPr>
              <w:t xml:space="preserve"> </w:t>
            </w:r>
            <w:r>
              <w:rPr>
                <w:iCs/>
                <w:i/>
              </w:rPr>
              <w:t xml:space="preserve">Snapshot</w:t>
            </w:r>
            <w:r>
              <w:t xml:space="preserve"> </w:t>
            </w:r>
            <w:r>
              <w:t xml:space="preserve">and</w:t>
            </w:r>
            <w:r>
              <w:t xml:space="preserve"> </w:t>
            </w:r>
            <w:r>
              <w:rPr>
                <w:iCs/>
                <w:i/>
              </w:rPr>
              <w:t xml:space="preserve">Evaluation</w:t>
            </w:r>
            <w:r>
              <w:rPr>
                <w:iCs/>
                <w:i/>
              </w:rPr>
              <w:t xml:space="preserve"> </w:t>
            </w:r>
            <w:r>
              <w:rPr>
                <w:iCs/>
                <w:i/>
              </w:rPr>
              <w:t xml:space="preserve">Plan</w:t>
            </w:r>
          </w:p>
        </w:tc>
        <w:tc>
          <w:tcPr/>
          <w:p>
            <w:pPr>
              <w:pStyle w:val="Compact"/>
              <w:jc w:val="left"/>
            </w:pPr>
            <w:r>
              <w:t xml:space="preserve">https://github.com/Open-Systems-Pharmacology/Amikacin-Model/releases/tag/v1.0</w:t>
            </w:r>
          </w:p>
        </w:tc>
      </w:tr>
      <w:tr>
        <w:tc>
          <w:tcPr/>
          <w:p>
            <w:pPr>
              <w:pStyle w:val="Compact"/>
              <w:jc w:val="left"/>
            </w:pPr>
            <w:r>
              <w:t xml:space="preserve">OSP</w:t>
            </w:r>
            <w:r>
              <w:t xml:space="preserve"> </w:t>
            </w:r>
            <w:r>
              <w:t xml:space="preserve">Version</w:t>
            </w:r>
          </w:p>
        </w:tc>
        <w:tc>
          <w:tcPr/>
          <w:p>
            <w:pPr>
              <w:pStyle w:val="Compact"/>
              <w:jc w:val="left"/>
            </w:pPr>
            <w:r>
              <w:t xml:space="preserve">12.0</w:t>
            </w:r>
          </w:p>
        </w:tc>
      </w:tr>
      <w:tr>
        <w:tc>
          <w:tcPr/>
          <w:p>
            <w:pPr>
              <w:pStyle w:val="Compact"/>
              <w:jc w:val="left"/>
            </w:pPr>
            <w:r>
              <w:t xml:space="preserve">Qualification</w:t>
            </w:r>
            <w:r>
              <w:t xml:space="preserve"> </w:t>
            </w:r>
            <w:r>
              <w:t xml:space="preserve">Framework</w:t>
            </w:r>
            <w:r>
              <w:t xml:space="preserve"> </w:t>
            </w:r>
            <w:r>
              <w:t xml:space="preserve">Version</w:t>
            </w:r>
          </w:p>
        </w:tc>
        <w:tc>
          <w:tcPr/>
          <w:p>
            <w:pPr>
              <w:pStyle w:val="Compact"/>
              <w:jc w:val="left"/>
            </w:pPr>
            <w:r>
              <w:t xml:space="preserve">3.3</w:t>
            </w:r>
          </w:p>
        </w:tc>
      </w:tr>
    </w:tbl>
    <w:p>
      <w:pPr>
        <w:pStyle w:val="Abstract"/>
      </w:pPr>
      <w:r>
        <w:t xml:space="preserve">This</w:t>
      </w:r>
      <w:r>
        <w:t xml:space="preserve"> </w:t>
      </w:r>
      <w:r>
        <w:t xml:space="preserve">evaluation</w:t>
      </w:r>
      <w:r>
        <w:t xml:space="preserve"> </w:t>
      </w:r>
      <w:r>
        <w:t xml:space="preserve">report</w:t>
      </w:r>
      <w:r>
        <w:t xml:space="preserve"> </w:t>
      </w:r>
      <w:r>
        <w:t xml:space="preserve">and</w:t>
      </w:r>
      <w:r>
        <w:t xml:space="preserve"> </w:t>
      </w:r>
      <w:r>
        <w:t xml:space="preserve">the</w:t>
      </w:r>
      <w:r>
        <w:t xml:space="preserve"> </w:t>
      </w:r>
      <w:r>
        <w:t xml:space="preserve">corresponding</w:t>
      </w:r>
      <w:r>
        <w:t xml:space="preserve"> </w:t>
      </w:r>
      <w:r>
        <w:t xml:space="preserve">PK-Sim</w:t>
      </w:r>
      <w:r>
        <w:t xml:space="preserve"> </w:t>
      </w:r>
      <w:r>
        <w:t xml:space="preserve">project</w:t>
      </w:r>
      <w:r>
        <w:t xml:space="preserve"> </w:t>
      </w:r>
      <w:r>
        <w:t xml:space="preserve">file</w:t>
      </w:r>
      <w:r>
        <w:t xml:space="preserve"> </w:t>
      </w:r>
      <w:r>
        <w:t xml:space="preserve">are</w:t>
      </w:r>
      <w:r>
        <w:t xml:space="preserve"> </w:t>
      </w:r>
      <w:r>
        <w:t xml:space="preserve">filed</w:t>
      </w:r>
      <w:r>
        <w:t xml:space="preserve"> </w:t>
      </w:r>
      <w:r>
        <w:t xml:space="preserve">at:</w:t>
      </w:r>
    </w:p>
    <w:p>
      <w:pPr>
        <w:pStyle w:val="Abstract"/>
      </w:pPr>
      <w:r>
        <w:t xml:space="preserve">https://github.com/Open-Systems-Pharmacology/OSP-PBPK-Model-Library/</w:t>
      </w:r>
    </w:p>
    <w:p>
      <w:pPr>
        <w:pStyle w:val="Abstract"/>
      </w:pPr>
      <w:br w:type="page"/>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introduction"/>
    <w:p>
      <w:pPr>
        <w:pStyle w:val="Heading1"/>
      </w:pPr>
      <w:r>
        <w:t xml:space="preserve">Introduction</w:t>
      </w:r>
      <w:bookmarkStart w:id="introduction" w:name="introduction"/>
      <w:bookmarkEnd w:id="introduction"/>
    </w:p>
    <w:p>
      <w:pPr>
        <w:pStyle w:val="FirstParagraph"/>
      </w:pPr>
      <w:r>
        <w:t xml:space="preserve">The presented model building and evaluation report evaluates the performance of a PBPK model for amikacin in adults.</w:t>
      </w:r>
    </w:p>
    <w:p>
      <w:pPr>
        <w:pStyle w:val="BodyText"/>
      </w:pPr>
      <w:r>
        <w:t xml:space="preserve">Amikacin is a semi-synthetic aminoglycoside antibiotic used for a number of bacterial infections. Amikacin is administered in several forms, including intravenous or intramuscular injection. The PBPK model for amikacin was previously developed in PK-sim for adults (</w:t>
      </w:r>
      <w:hyperlink w:anchor="Xa559bd5247f9128e74e6edcc17de37648e8cde6">
        <w:r>
          <w:rPr>
            <w:rStyle w:val="Hyperlink"/>
          </w:rPr>
          <w:t xml:space="preserve">Wendl 2011</w:t>
        </w:r>
      </w:hyperlink>
      <w:r>
        <w:t xml:space="preserve">) and preterm neonates (</w:t>
      </w:r>
      <w:hyperlink w:anchor="Xa559bd5247f9128e74e6edcc17de37648e8cde6">
        <w:r>
          <w:rPr>
            <w:rStyle w:val="Hyperlink"/>
          </w:rPr>
          <w:t xml:space="preserve">Claassen 2015</w:t>
        </w:r>
      </w:hyperlink>
      <w:r>
        <w:t xml:space="preserve">). As the latter model was built more recently, this PBPK model was used to evaluate the predictive performance of glomerular filtration rate (GFR) mediated clearance in adults without further changes. In this chapter we show that amikacin adequately described the pharmacokinetics of amikacin in adults, based on the PBPK model build and reported in preterm neonates.</w:t>
      </w:r>
    </w:p>
    <w:p>
      <w:pPr>
        <w:pStyle w:val="BodyText"/>
      </w:pPr>
      <w:r>
        <w:t xml:space="preserve">The amikacin model is a whole-body PBPK model, allowing for dynamic translation between individuals with GFR based renal elimination. The amikacin report demonstrates the level of confidence in the amikacin PBPK model build with the OSP suite with regard to reliable predictions of amikacin PK in adults during model-informed drug development.</w:t>
      </w:r>
    </w:p>
    <w:bookmarkEnd w:id="20"/>
    <w:bookmarkStart w:id="29" w:name="methods"/>
    <w:p>
      <w:pPr>
        <w:pStyle w:val="Heading1"/>
      </w:pPr>
      <w:r>
        <w:t xml:space="preserve">Methods</w:t>
      </w:r>
      <w:bookmarkStart w:id="methods" w:name="methods"/>
      <w:bookmarkEnd w:id="methods"/>
    </w:p>
    <w:bookmarkStart w:id="21" w:name="modeling-strategy"/>
    <w:p>
      <w:pPr>
        <w:pStyle w:val="Heading2"/>
      </w:pPr>
      <w:r>
        <w:t xml:space="preserve">Modeling Strategy</w:t>
      </w:r>
      <w:bookmarkStart w:id="modeling-strategy" w:name="modeling-strategy"/>
      <w:bookmarkEnd w:id="modeling-strategy"/>
    </w:p>
    <w:p>
      <w:pPr>
        <w:pStyle w:val="FirstParagraph"/>
      </w:pPr>
      <w:r>
        <w:t xml:space="preserve">The general concept of building a PBPK model has previously been described by Kuepfer et al. (</w:t>
      </w:r>
      <w:hyperlink w:anchor="Xa559bd5247f9128e74e6edcc17de37648e8cde6">
        <w:r>
          <w:rPr>
            <w:rStyle w:val="Hyperlink"/>
          </w:rPr>
          <w:t xml:space="preserve">Kuepfer 2016</w:t>
        </w:r>
      </w:hyperlink>
      <w:r>
        <w:t xml:space="preserve">). Relevant information on anthropometric (height, weight) and physiological parameters (e.g. blood flows, organ volumes, binding protein concentrations, hematocrit, cardiac output) in adults was gathered from the literature and has been previously published (</w:t>
      </w:r>
      <w:hyperlink w:anchor="Xa559bd5247f9128e74e6edcc17de37648e8cde6">
        <w:r>
          <w:rPr>
            <w:rStyle w:val="Hyperlink"/>
          </w:rPr>
          <w:t xml:space="preserve">Schlender 2016</w:t>
        </w:r>
      </w:hyperlink>
      <w:r>
        <w:t xml:space="preserve">). The information was incorporated into PK-Sim® and was used as default values for the simulations in adults.</w:t>
      </w:r>
    </w:p>
    <w:p>
      <w:pPr>
        <w:pStyle w:val="BodyText"/>
      </w:pPr>
      <w:r>
        <w:t xml:space="preserve">The applied activity and variability of plasma proteins and active processes that are integrated into PK-Sim® are described in the publicly available PK-Sim® Ontogeny Database Version 7.3 (</w:t>
      </w:r>
      <w:hyperlink w:anchor="Xa559bd5247f9128e74e6edcc17de37648e8cde6">
        <w:r>
          <w:rPr>
            <w:rStyle w:val="Hyperlink"/>
          </w:rPr>
          <w:t xml:space="preserve">PK-Sim Ontogeny Database Version 7.3</w:t>
        </w:r>
      </w:hyperlink>
      <w:r>
        <w:t xml:space="preserve">) or otherwise referenced for the specific process.</w:t>
      </w:r>
    </w:p>
    <w:p>
      <w:pPr>
        <w:pStyle w:val="BodyText"/>
      </w:pPr>
      <w:r>
        <w:t xml:space="preserve">The amikacin model was evaluated in adults using data of the following publication:</w:t>
      </w:r>
    </w:p>
    <w:p>
      <w:pPr>
        <w:numPr>
          <w:ilvl w:val="0"/>
          <w:numId w:val="1001"/>
        </w:numPr>
        <w:pStyle w:val="Compact"/>
      </w:pPr>
      <w:r>
        <w:t xml:space="preserve">Walker JM, Wise R, Mitchard M. The pharmacokinetics of amikacin and gentamicin in volunteers: a comparison of individual differences. J Antimicrob Chemother. 1979 Jan;5(1):95-9.</w:t>
      </w:r>
      <w:r>
        <w:t xml:space="preserve"> </w:t>
      </w:r>
      <w:r>
        <w:t xml:space="preserve">(https://academic.oup.com/jac/article/5/1/95/747852)</w:t>
      </w:r>
    </w:p>
    <w:p>
      <w:pPr>
        <w:pStyle w:val="FirstParagraph"/>
      </w:pPr>
      <w:r>
        <w:t xml:space="preserve">As the PBPK model of amikacin has been previously developed, this model was rebuilt, without any further parameter identification.</w:t>
      </w:r>
    </w:p>
    <w:p>
      <w:pPr>
        <w:pStyle w:val="BodyText"/>
      </w:pPr>
      <w:r>
        <w:t xml:space="preserve">Simulations using this PBPK model were compared to the reported data to evaluate model appropriateness and to assess model evaluation, by means of diagnostics plots and predicted versus observed concentration-time profiles, of which the results support an adequate prediction of the PK in adults.</w:t>
      </w:r>
    </w:p>
    <w:p>
      <w:pPr>
        <w:pStyle w:val="BodyText"/>
      </w:pPr>
      <w:r>
        <w:t xml:space="preserve">During model building, uncertainties in data quality, as well as study differences may cause not being able to adequately describe the PK of all reported clinical studies.</w:t>
      </w:r>
    </w:p>
    <w:bookmarkEnd w:id="21"/>
    <w:bookmarkStart w:id="24" w:name="data"/>
    <w:p>
      <w:pPr>
        <w:pStyle w:val="Heading2"/>
      </w:pPr>
      <w:r>
        <w:t xml:space="preserve">Data</w:t>
      </w:r>
      <w:bookmarkStart w:id="data" w:name="data"/>
      <w:bookmarkEnd w:id="data"/>
    </w:p>
    <w:bookmarkStart w:id="22" w:name="in-vitro-physicochemical-data"/>
    <w:p>
      <w:pPr>
        <w:pStyle w:val="Heading3"/>
      </w:pPr>
      <w:r>
        <w:t xml:space="preserve">2.2.1 In vitro / physicochemical data</w:t>
      </w:r>
    </w:p>
    <w:p>
      <w:pPr>
        <w:pStyle w:val="FirstParagraph"/>
      </w:pPr>
      <w:r>
        <w:t xml:space="preserve">A literature search was performed to collect available information on physicochemical properties of amikacin. The obtained information from literature is summarized in the table below, and is used for model building.</w:t>
      </w:r>
    </w:p>
    <w:tbl>
      <w:tblPr>
        <w:tblStyle w:val="Table"/>
        <w:tblW w:type="pct" w:w="5000"/>
        <w:tblLook w:firstRow="1" w:lastRow="0" w:firstColumn="0" w:lastColumn="0" w:noHBand="0" w:noVBand="0" w:val="0020"/>
        <w:jc w:val="start"/>
      </w:tblPr>
      <w:tblGrid>
        <w:gridCol w:w="1089"/>
        <w:gridCol w:w="581"/>
        <w:gridCol w:w="3487"/>
        <w:gridCol w:w="2761"/>
      </w:tblGrid>
      <w:tr>
        <w:trPr>
          <w:tblHeader w:val="true"/>
        </w:trPr>
        <w:tc>
          <w:tcPr/>
          <w:p>
            <w:pPr>
              <w:pStyle w:val="Compact"/>
              <w:jc w:val="left"/>
            </w:pPr>
            <w:r>
              <w:rPr>
                <w:bCs/>
                <w:b/>
              </w:rPr>
              <w:t xml:space="preserve">Parameter</w:t>
            </w:r>
          </w:p>
        </w:tc>
        <w:tc>
          <w:tcPr/>
          <w:p>
            <w:pPr>
              <w:pStyle w:val="Compact"/>
              <w:jc w:val="left"/>
            </w:pPr>
            <w:r>
              <w:rPr>
                <w:bCs/>
                <w:b/>
              </w:rPr>
              <w:t xml:space="preserve">Unit</w:t>
            </w:r>
          </w:p>
        </w:tc>
        <w:tc>
          <w:tcPr/>
          <w:p>
            <w:pPr>
              <w:pStyle w:val="Compact"/>
              <w:jc w:val="left"/>
            </w:pPr>
            <w:r>
              <w:rPr>
                <w:bCs/>
                <w:b/>
              </w:rPr>
              <w:t xml:space="preserve">Value (reference)</w:t>
            </w:r>
          </w:p>
        </w:tc>
        <w:tc>
          <w:tcPr/>
          <w:p>
            <w:pPr>
              <w:pStyle w:val="Compact"/>
              <w:jc w:val="left"/>
            </w:pPr>
            <w:r>
              <w:rPr>
                <w:bCs/>
                <w:b/>
              </w:rPr>
              <w:t xml:space="preserve">Description</w:t>
            </w:r>
          </w:p>
        </w:tc>
      </w:tr>
      <w:tr>
        <w:tc>
          <w:tcPr/>
          <w:p>
            <w:pPr>
              <w:pStyle w:val="Compact"/>
              <w:jc w:val="left"/>
            </w:pPr>
            <w:r>
              <w:t xml:space="preserve">MW</w:t>
            </w:r>
          </w:p>
        </w:tc>
        <w:tc>
          <w:tcPr/>
          <w:p>
            <w:pPr>
              <w:pStyle w:val="Compact"/>
              <w:jc w:val="left"/>
            </w:pPr>
            <w:r>
              <w:t xml:space="preserve">g/mol</w:t>
            </w:r>
          </w:p>
        </w:tc>
        <w:tc>
          <w:tcPr/>
          <w:p>
            <w:pPr>
              <w:pStyle w:val="Compact"/>
              <w:jc w:val="left"/>
            </w:pPr>
            <w:r>
              <w:t xml:space="preserve">588.6 (</w:t>
            </w:r>
            <w:hyperlink w:anchor="Xa559bd5247f9128e74e6edcc17de37648e8cde6">
              <w:r>
                <w:rPr>
                  <w:rStyle w:val="Hyperlink"/>
                </w:rPr>
                <w:t xml:space="preserve">Claassen 2015</w:t>
              </w:r>
            </w:hyperlink>
            <w:r>
              <w:t xml:space="preserve">)</w:t>
            </w:r>
          </w:p>
        </w:tc>
        <w:tc>
          <w:tcPr/>
          <w:p>
            <w:pPr>
              <w:pStyle w:val="Compact"/>
              <w:jc w:val="left"/>
            </w:pPr>
            <w:r>
              <w:t xml:space="preserve">Molecular weight</w:t>
            </w:r>
          </w:p>
        </w:tc>
      </w:tr>
      <w:tr>
        <w:tc>
          <w:tcPr/>
          <w:p>
            <w:pPr>
              <w:pStyle w:val="Compact"/>
              <w:jc w:val="left"/>
            </w:pPr>
            <w:r>
              <w:t xml:space="preserve">pKa</w:t>
            </w:r>
          </w:p>
        </w:tc>
        <w:tc>
          <w:tcPr/>
          <w:p>
            <w:pPr>
              <w:pStyle w:val="Compact"/>
            </w:pPr>
          </w:p>
        </w:tc>
        <w:tc>
          <w:tcPr/>
          <w:p>
            <w:pPr>
              <w:pStyle w:val="Compact"/>
              <w:jc w:val="left"/>
            </w:pPr>
            <w:r>
              <w:t xml:space="preserve">9.7, 8.92, 8.13 (</w:t>
            </w:r>
            <w:hyperlink w:anchor="Xa559bd5247f9128e74e6edcc17de37648e8cde6">
              <w:r>
                <w:rPr>
                  <w:rStyle w:val="Hyperlink"/>
                </w:rPr>
                <w:t xml:space="preserve">Claassen 2015</w:t>
              </w:r>
            </w:hyperlink>
            <w:r>
              <w:t xml:space="preserve">)</w:t>
            </w:r>
          </w:p>
        </w:tc>
        <w:tc>
          <w:tcPr/>
          <w:p>
            <w:pPr>
              <w:pStyle w:val="Compact"/>
              <w:jc w:val="left"/>
            </w:pPr>
            <w:r>
              <w:t xml:space="preserve">Acid dissociation constants</w:t>
            </w:r>
          </w:p>
        </w:tc>
      </w:tr>
      <w:tr>
        <w:tc>
          <w:tcPr/>
          <w:p>
            <w:pPr>
              <w:pStyle w:val="Compact"/>
              <w:jc w:val="left"/>
            </w:pPr>
            <w:r>
              <w:t xml:space="preserve">Solubility (pH)</w:t>
            </w:r>
          </w:p>
        </w:tc>
        <w:tc>
          <w:tcPr/>
          <w:p>
            <w:pPr>
              <w:pStyle w:val="Compact"/>
              <w:jc w:val="left"/>
            </w:pPr>
            <w:r>
              <w:t xml:space="preserve">mg/L</w:t>
            </w:r>
          </w:p>
        </w:tc>
        <w:tc>
          <w:tcPr/>
          <w:p>
            <w:pPr>
              <w:pStyle w:val="Compact"/>
              <w:jc w:val="left"/>
            </w:pPr>
            <w:r>
              <w:t xml:space="preserve">50 (7) (</w:t>
            </w:r>
            <w:hyperlink w:anchor="Xa559bd5247f9128e74e6edcc17de37648e8cde6">
              <w:r>
                <w:rPr>
                  <w:rStyle w:val="Hyperlink"/>
                </w:rPr>
                <w:t xml:space="preserve">Drugbank.ca</w:t>
              </w:r>
            </w:hyperlink>
            <w:r>
              <w:t xml:space="preserve">)</w:t>
            </w:r>
          </w:p>
        </w:tc>
        <w:tc>
          <w:tcPr/>
          <w:p>
            <w:pPr>
              <w:pStyle w:val="Compact"/>
              <w:jc w:val="left"/>
            </w:pPr>
            <w:r>
              <w:t xml:space="preserve">Solubility</w:t>
            </w:r>
          </w:p>
        </w:tc>
      </w:tr>
      <w:tr>
        <w:tc>
          <w:tcPr/>
          <w:p>
            <w:pPr>
              <w:pStyle w:val="Compact"/>
              <w:jc w:val="left"/>
            </w:pPr>
            <w:r>
              <w:t xml:space="preserve">logMA</w:t>
            </w:r>
          </w:p>
        </w:tc>
        <w:tc>
          <w:tcPr/>
          <w:p>
            <w:pPr>
              <w:pStyle w:val="Compact"/>
            </w:pPr>
          </w:p>
        </w:tc>
        <w:tc>
          <w:tcPr/>
          <w:p>
            <w:pPr>
              <w:pStyle w:val="Compact"/>
              <w:jc w:val="left"/>
            </w:pPr>
            <w:r>
              <w:t xml:space="preserve">-0.48 (</w:t>
            </w:r>
            <w:hyperlink w:anchor="Xa559bd5247f9128e74e6edcc17de37648e8cde6">
              <w:r>
                <w:rPr>
                  <w:rStyle w:val="Hyperlink"/>
                </w:rPr>
                <w:t xml:space="preserve">Claassen 2015</w:t>
              </w:r>
            </w:hyperlink>
            <w:r>
              <w:t xml:space="preserve">)</w:t>
            </w:r>
          </w:p>
        </w:tc>
        <w:tc>
          <w:tcPr/>
          <w:p>
            <w:pPr>
              <w:pStyle w:val="Compact"/>
              <w:jc w:val="left"/>
            </w:pPr>
            <w:r>
              <w:t xml:space="preserve">The logarithm of the membrane affinity</w:t>
            </w:r>
          </w:p>
        </w:tc>
      </w:tr>
      <w:tr>
        <w:tc>
          <w:tcPr/>
          <w:p>
            <w:pPr>
              <w:pStyle w:val="Compact"/>
              <w:jc w:val="left"/>
            </w:pPr>
            <w:r>
              <w:t xml:space="preserve">fu</w:t>
            </w:r>
          </w:p>
        </w:tc>
        <w:tc>
          <w:tcPr/>
          <w:p>
            <w:pPr>
              <w:pStyle w:val="Compact"/>
            </w:pPr>
          </w:p>
        </w:tc>
        <w:tc>
          <w:tcPr/>
          <w:p>
            <w:pPr>
              <w:pStyle w:val="Compact"/>
              <w:jc w:val="left"/>
            </w:pPr>
            <w:r>
              <w:t xml:space="preserve">1 (</w:t>
            </w:r>
            <w:hyperlink w:anchor="Xa559bd5247f9128e74e6edcc17de37648e8cde6">
              <w:r>
                <w:rPr>
                  <w:rStyle w:val="Hyperlink"/>
                </w:rPr>
                <w:t xml:space="preserve">Claassen 2015</w:t>
              </w:r>
            </w:hyperlink>
            <w:r>
              <w:t xml:space="preserve">)</w:t>
            </w:r>
          </w:p>
        </w:tc>
        <w:tc>
          <w:tcPr/>
          <w:p>
            <w:pPr>
              <w:pStyle w:val="Compact"/>
              <w:jc w:val="left"/>
            </w:pPr>
            <w:r>
              <w:t xml:space="preserve">Fraction unbound</w:t>
            </w:r>
          </w:p>
        </w:tc>
      </w:tr>
      <w:tr>
        <w:tc>
          <w:tcPr/>
          <w:p>
            <w:pPr>
              <w:pStyle w:val="Compact"/>
              <w:jc w:val="left"/>
            </w:pPr>
            <w:r>
              <w:t xml:space="preserve">GFR fraction</w:t>
            </w:r>
          </w:p>
        </w:tc>
        <w:tc>
          <w:tcPr/>
          <w:p>
            <w:pPr>
              <w:pStyle w:val="Compact"/>
            </w:pPr>
          </w:p>
        </w:tc>
        <w:tc>
          <w:tcPr/>
          <w:p>
            <w:pPr>
              <w:pStyle w:val="Compact"/>
              <w:jc w:val="left"/>
            </w:pPr>
            <w:r>
              <w:t xml:space="preserve">1 (</w:t>
            </w:r>
            <w:hyperlink w:anchor="Xa559bd5247f9128e74e6edcc17de37648e8cde6">
              <w:r>
                <w:rPr>
                  <w:rStyle w:val="Hyperlink"/>
                </w:rPr>
                <w:t xml:space="preserve">Claassen 2015</w:t>
              </w:r>
            </w:hyperlink>
            <w:r>
              <w:t xml:space="preserve">)</w:t>
            </w:r>
          </w:p>
        </w:tc>
        <w:tc>
          <w:tcPr/>
          <w:p>
            <w:pPr>
              <w:pStyle w:val="Compact"/>
              <w:jc w:val="left"/>
            </w:pPr>
            <w:r>
              <w:t xml:space="preserve">Glomerular Filtration Rate fraction</w:t>
            </w:r>
          </w:p>
        </w:tc>
      </w:tr>
    </w:tbl>
    <w:bookmarkEnd w:id="22"/>
    <w:bookmarkStart w:id="23" w:name="clinical-data"/>
    <w:p>
      <w:pPr>
        <w:pStyle w:val="Heading3"/>
      </w:pPr>
      <w:r>
        <w:t xml:space="preserve">2.2.2 Clinical data</w:t>
      </w:r>
    </w:p>
    <w:p>
      <w:pPr>
        <w:pStyle w:val="FirstParagraph"/>
      </w:pPr>
      <w:r>
        <w:t xml:space="preserve">A literature search was performed to collect available clinical data on amikacin in adults.</w:t>
      </w:r>
    </w:p>
    <w:p>
      <w:pPr>
        <w:pStyle w:val="BodyText"/>
      </w:pPr>
      <w:r>
        <w:t xml:space="preserve">The following publication was found in adults for the evaluation of the reported amikacin PBPK model:</w:t>
      </w:r>
    </w:p>
    <w:tbl>
      <w:tblPr>
        <w:tblStyle w:val="Table"/>
        <w:tblW w:type="pct" w:w="5000"/>
        <w:tblLook w:firstRow="1" w:lastRow="0" w:firstColumn="0" w:lastColumn="0" w:noHBand="0" w:noVBand="0" w:val="0020"/>
        <w:jc w:val="start"/>
      </w:tblPr>
      <w:tblGrid>
        <w:gridCol w:w="2810"/>
        <w:gridCol w:w="5109"/>
      </w:tblGrid>
      <w:tr>
        <w:trPr>
          <w:tblHeader w:val="true"/>
        </w:trPr>
        <w:tc>
          <w:tcPr/>
          <w:p>
            <w:pPr>
              <w:pStyle w:val="Compact"/>
              <w:jc w:val="left"/>
            </w:pPr>
            <w:r>
              <w:t xml:space="preserve">Publication</w:t>
            </w:r>
          </w:p>
        </w:tc>
        <w:tc>
          <w:tcPr/>
          <w:p>
            <w:pPr>
              <w:pStyle w:val="Compact"/>
              <w:jc w:val="left"/>
            </w:pPr>
            <w:r>
              <w:t xml:space="preserve">Study description</w:t>
            </w:r>
          </w:p>
        </w:tc>
      </w:tr>
      <w:tr>
        <w:tc>
          <w:tcPr/>
          <w:p>
            <w:pPr>
              <w:pStyle w:val="Compact"/>
              <w:jc w:val="left"/>
            </w:pPr>
            <w:hyperlink w:anchor="Xa559bd5247f9128e74e6edcc17de37648e8cde6">
              <w:r>
                <w:rPr>
                  <w:rStyle w:val="Hyperlink"/>
                </w:rPr>
                <w:t xml:space="preserve">Walker 1979</w:t>
              </w:r>
            </w:hyperlink>
          </w:p>
        </w:tc>
        <w:tc>
          <w:tcPr/>
          <w:p>
            <w:pPr>
              <w:pStyle w:val="Compact"/>
              <w:jc w:val="left"/>
            </w:pPr>
            <w:r>
              <w:t xml:space="preserve">The pharmacokinetics of amikacin and gentamicin in healthy volunteers</w:t>
            </w:r>
          </w:p>
        </w:tc>
      </w:tr>
    </w:tbl>
    <w:bookmarkEnd w:id="23"/>
    <w:bookmarkEnd w:id="24"/>
    <w:bookmarkStart w:id="28" w:name="model-parameters-and-assumptions"/>
    <w:p>
      <w:pPr>
        <w:pStyle w:val="Heading2"/>
      </w:pPr>
      <w:r>
        <w:t xml:space="preserve">Model Parameters and Assumptions</w:t>
      </w:r>
      <w:bookmarkStart w:id="model-parameters-and-assumptions" w:name="model-parameters-and-assumptions"/>
      <w:bookmarkEnd w:id="model-parameters-and-assumptions"/>
    </w:p>
    <w:bookmarkStart w:id="25" w:name="absorption"/>
    <w:p>
      <w:pPr>
        <w:pStyle w:val="Heading3"/>
      </w:pPr>
      <w:r>
        <w:t xml:space="preserve">2.3.1 Absorption</w:t>
      </w:r>
    </w:p>
    <w:p>
      <w:pPr>
        <w:pStyle w:val="FirstParagraph"/>
      </w:pPr>
      <w:r>
        <w:t xml:space="preserve">As amikacin was administered only intravenously, absorption did not play a role in the PK of amikacin.</w:t>
      </w:r>
    </w:p>
    <w:bookmarkEnd w:id="25"/>
    <w:bookmarkStart w:id="26" w:name="distribution"/>
    <w:p>
      <w:pPr>
        <w:pStyle w:val="Heading3"/>
      </w:pPr>
      <w:r>
        <w:t xml:space="preserve">2.3.2 Distribution</w:t>
      </w:r>
    </w:p>
    <w:p>
      <w:pPr>
        <w:pStyle w:val="FirstParagraph"/>
      </w:pPr>
      <w:r>
        <w:t xml:space="preserve">Amikacin is a renally cleared antibiotic with relatively low distribution volume (approximately 0.25 –0.50 L/kg in adults) (</w:t>
      </w:r>
      <w:hyperlink w:anchor="Xa559bd5247f9128e74e6edcc17de37648e8cde6">
        <w:r>
          <w:rPr>
            <w:rStyle w:val="Hyperlink"/>
          </w:rPr>
          <w:t xml:space="preserve">Lanao 1982</w:t>
        </w:r>
      </w:hyperlink>
      <w:r>
        <w:t xml:space="preserve">).</w:t>
      </w:r>
    </w:p>
    <w:p>
      <w:pPr>
        <w:pStyle w:val="BodyText"/>
      </w:pPr>
      <w:r>
        <w:t xml:space="preserve">As the FDA (</w:t>
      </w:r>
      <w:hyperlink w:anchor="Xa559bd5247f9128e74e6edcc17de37648e8cde6">
        <w:r>
          <w:rPr>
            <w:rStyle w:val="Hyperlink"/>
          </w:rPr>
          <w:t xml:space="preserve">FDA Label</w:t>
        </w:r>
      </w:hyperlink>
      <w:r>
        <w:t xml:space="preserve">) and the US national library of medicine (</w:t>
      </w:r>
      <w:hyperlink w:anchor="Xa559bd5247f9128e74e6edcc17de37648e8cde6">
        <w:r>
          <w:rPr>
            <w:rStyle w:val="Hyperlink"/>
          </w:rPr>
          <w:t xml:space="preserve">DailyMed</w:t>
        </w:r>
      </w:hyperlink>
      <w:r>
        <w:t xml:space="preserve">) report a serum protein binding ≤ 10% and range from 0 to 11% respectively, Claassen et al. (</w:t>
      </w:r>
      <w:hyperlink w:anchor="Xa559bd5247f9128e74e6edcc17de37648e8cde6">
        <w:r>
          <w:rPr>
            <w:rStyle w:val="Hyperlink"/>
          </w:rPr>
          <w:t xml:space="preserve">Claassen 2015</w:t>
        </w:r>
      </w:hyperlink>
      <w:r>
        <w:t xml:space="preserve">) have applied a fraction unbound of 1 in the reported amikacin PBPK model.</w:t>
      </w:r>
    </w:p>
    <w:p>
      <w:pPr>
        <w:pStyle w:val="BodyText"/>
      </w:pPr>
      <w:r>
        <w:t xml:space="preserve">The PK-Sim standard organ-plasma partition coefficient and cell permeability calculation methods that are built in PK-Sim were applied to evaluate the observed clinical data. Specific organ permeability normalized to surface area was automatically calculated by PK-Sim.</w:t>
      </w:r>
    </w:p>
    <w:bookmarkEnd w:id="26"/>
    <w:bookmarkStart w:id="27" w:name="metabolism-and-elimination"/>
    <w:p>
      <w:pPr>
        <w:pStyle w:val="Heading3"/>
      </w:pPr>
      <w:r>
        <w:t xml:space="preserve">2.3.3 Metabolism and Elimination</w:t>
      </w:r>
    </w:p>
    <w:p>
      <w:pPr>
        <w:pStyle w:val="FirstParagraph"/>
      </w:pPr>
      <w:r>
        <w:t xml:space="preserve">Amikacin is eliminated by the kidneys without metabolism. In adults with normal renal function, 94-98% of a single IM or IV dose of amikacin is excreted unchanged by glomerular filtration in the kidney within 24 hours. (</w:t>
      </w:r>
      <w:hyperlink w:anchor="Xa559bd5247f9128e74e6edcc17de37648e8cde6">
        <w:r>
          <w:rPr>
            <w:rStyle w:val="Hyperlink"/>
          </w:rPr>
          <w:t xml:space="preserve">DailyMed</w:t>
        </w:r>
      </w:hyperlink>
      <w:r>
        <w:t xml:space="preserve">)</w:t>
      </w:r>
    </w:p>
    <w:bookmarkEnd w:id="27"/>
    <w:bookmarkEnd w:id="28"/>
    <w:bookmarkEnd w:id="29"/>
    <w:bookmarkStart w:id="63" w:name="results-and-discussion"/>
    <w:p>
      <w:pPr>
        <w:pStyle w:val="Heading1"/>
      </w:pPr>
      <w:r>
        <w:t xml:space="preserve">Results and Discussion</w:t>
      </w:r>
      <w:bookmarkStart w:id="results-and-discussion" w:name="results-and-discussion"/>
      <w:bookmarkEnd w:id="results-and-discussion"/>
    </w:p>
    <w:p>
      <w:pPr>
        <w:pStyle w:val="FirstParagraph"/>
      </w:pPr>
      <w:r>
        <w:t xml:space="preserve">The previously developed PBPK model for amikacin was evaluated with available with clinical pharmacokinetic data in healthy adults after intravenous amikacin administration.</w:t>
      </w:r>
    </w:p>
    <w:p>
      <w:pPr>
        <w:pStyle w:val="BodyText"/>
      </w:pPr>
      <w:r>
        <w:t xml:space="preserve">The fit resulted in an adequate description of the available data.</w:t>
      </w:r>
    </w:p>
    <w:bookmarkStart w:id="36" w:name="final-input-parameters"/>
    <w:p>
      <w:pPr>
        <w:pStyle w:val="Heading2"/>
      </w:pPr>
      <w:r>
        <w:t xml:space="preserve">Final input parameters</w:t>
      </w:r>
      <w:bookmarkStart w:id="final-input-parameters" w:name="final-input-parameters"/>
      <w:bookmarkEnd w:id="final-input-parameters"/>
    </w:p>
    <w:p>
      <w:pPr>
        <w:pStyle w:val="FirstParagraph"/>
      </w:pPr>
      <w:r>
        <w:t xml:space="preserve">The compound parameter values of the final amikacin PBPK model are illustrated below.</w:t>
      </w:r>
    </w:p>
    <w:bookmarkStart w:id="35" w:name="compound-amikacin"/>
    <w:p>
      <w:pPr>
        <w:pStyle w:val="Heading3"/>
      </w:pPr>
      <w:r>
        <w:t xml:space="preserve">Compound: Amikacin</w:t>
      </w:r>
    </w:p>
    <w:bookmarkStart w:id="30" w:name="parameters"/>
    <w:p>
      <w:pPr>
        <w:pStyle w:val="Heading4"/>
      </w:pPr>
      <w:r>
        <w:t xml:space="preserve">Parameters</w:t>
      </w:r>
    </w:p>
    <w:tbl>
      <w:tblPr>
        <w:tblStyle w:val="Table"/>
        <w:tblW w:type="pct" w:w="5000"/>
        <w:tblLook w:firstRow="1" w:lastRow="0" w:firstColumn="0" w:lastColumn="0" w:noHBand="0" w:noVBand="0" w:val="0020"/>
        <w:jc w:val="start"/>
      </w:tblPr>
      <w:tblGrid>
        <w:gridCol w:w="2970"/>
        <w:gridCol w:w="1060"/>
        <w:gridCol w:w="2616"/>
        <w:gridCol w:w="777"/>
        <w:gridCol w:w="495"/>
      </w:tblGrid>
      <w:tr>
        <w:trPr>
          <w:tblHeader w:val="true"/>
        </w:trPr>
        <w:tc>
          <w:tcPr/>
          <w:p>
            <w:pPr>
              <w:pStyle w:val="Compact"/>
              <w:jc w:val="left"/>
            </w:pPr>
            <w:r>
              <w:t xml:space="preserve">Name</w:t>
            </w:r>
          </w:p>
        </w:tc>
        <w:tc>
          <w:tcPr/>
          <w:p>
            <w:pPr>
              <w:pStyle w:val="Compact"/>
              <w:jc w:val="left"/>
            </w:pPr>
            <w:r>
              <w:t xml:space="preserve">Value</w:t>
            </w:r>
          </w:p>
        </w:tc>
        <w:tc>
          <w:tcPr/>
          <w:p>
            <w:pPr>
              <w:pStyle w:val="Compact"/>
              <w:jc w:val="left"/>
            </w:pPr>
            <w:r>
              <w:t xml:space="preserve">Value Origin</w:t>
            </w:r>
          </w:p>
        </w:tc>
        <w:tc>
          <w:tcPr/>
          <w:p>
            <w:pPr>
              <w:pStyle w:val="Compact"/>
              <w:jc w:val="left"/>
            </w:pPr>
            <w:r>
              <w:t xml:space="preserve">Alternative</w:t>
            </w:r>
          </w:p>
        </w:tc>
        <w:tc>
          <w:tcPr/>
          <w:p>
            <w:pPr>
              <w:pStyle w:val="Compact"/>
              <w:jc w:val="left"/>
            </w:pPr>
            <w:r>
              <w:t xml:space="preserve">Default</w:t>
            </w:r>
          </w:p>
        </w:tc>
      </w:tr>
      <w:tr>
        <w:tc>
          <w:tcPr/>
          <w:p>
            <w:pPr>
              <w:pStyle w:val="Compact"/>
              <w:jc w:val="left"/>
            </w:pPr>
            <w:r>
              <w:t xml:space="preserve">Solubility at reference pH</w:t>
            </w:r>
          </w:p>
        </w:tc>
        <w:tc>
          <w:tcPr/>
          <w:p>
            <w:pPr>
              <w:pStyle w:val="Compact"/>
              <w:jc w:val="left"/>
            </w:pPr>
            <w:r>
              <w:t xml:space="preserve">50 mg/l</w:t>
            </w:r>
          </w:p>
        </w:tc>
        <w:tc>
          <w:tcPr/>
          <w:p>
            <w:pPr>
              <w:pStyle w:val="Compact"/>
              <w:jc w:val="left"/>
            </w:pPr>
            <w:r>
              <w:t xml:space="preserve">Publication-In Vitro-Drugbank.de</w:t>
            </w:r>
          </w:p>
        </w:tc>
        <w:tc>
          <w:tcPr/>
          <w:p>
            <w:pPr>
              <w:pStyle w:val="Compact"/>
              <w:jc w:val="left"/>
            </w:pPr>
            <w:r>
              <w:t xml:space="preserve">Measurement</w:t>
            </w:r>
          </w:p>
        </w:tc>
        <w:tc>
          <w:tcPr/>
          <w:p>
            <w:pPr>
              <w:pStyle w:val="Compact"/>
              <w:jc w:val="left"/>
            </w:pPr>
            <w:r>
              <w:t xml:space="preserve">True</w:t>
            </w:r>
          </w:p>
        </w:tc>
      </w:tr>
      <w:tr>
        <w:tc>
          <w:tcPr/>
          <w:p>
            <w:pPr>
              <w:pStyle w:val="Compact"/>
              <w:jc w:val="left"/>
            </w:pPr>
            <w:r>
              <w:t xml:space="preserve">Reference pH</w:t>
            </w:r>
          </w:p>
        </w:tc>
        <w:tc>
          <w:tcPr/>
          <w:p>
            <w:pPr>
              <w:pStyle w:val="Compact"/>
              <w:jc w:val="left"/>
            </w:pPr>
            <w:r>
              <w:t xml:space="preserve">7</w:t>
            </w:r>
          </w:p>
        </w:tc>
        <w:tc>
          <w:tcPr/>
          <w:p>
            <w:pPr>
              <w:pStyle w:val="Compact"/>
              <w:jc w:val="left"/>
            </w:pPr>
            <w:r>
              <w:t xml:space="preserve">Publication-In Vitro-Drugbank.de</w:t>
            </w:r>
          </w:p>
        </w:tc>
        <w:tc>
          <w:tcPr/>
          <w:p>
            <w:pPr>
              <w:pStyle w:val="Compact"/>
              <w:jc w:val="left"/>
            </w:pPr>
            <w:r>
              <w:t xml:space="preserve">Measurement</w:t>
            </w:r>
          </w:p>
        </w:tc>
        <w:tc>
          <w:tcPr/>
          <w:p>
            <w:pPr>
              <w:pStyle w:val="Compact"/>
              <w:jc w:val="left"/>
            </w:pPr>
            <w:r>
              <w:t xml:space="preserve">True</w:t>
            </w:r>
          </w:p>
        </w:tc>
      </w:tr>
      <w:tr>
        <w:tc>
          <w:tcPr/>
          <w:p>
            <w:pPr>
              <w:pStyle w:val="Compact"/>
              <w:jc w:val="left"/>
            </w:pPr>
            <w:r>
              <w:t xml:space="preserve">Lipophilicity</w:t>
            </w:r>
          </w:p>
        </w:tc>
        <w:tc>
          <w:tcPr/>
          <w:p>
            <w:pPr>
              <w:pStyle w:val="Compact"/>
              <w:jc w:val="left"/>
            </w:pPr>
            <w:r>
              <w:t xml:space="preserve">-0.48 Log Units</w:t>
            </w:r>
          </w:p>
        </w:tc>
        <w:tc>
          <w:tcPr/>
          <w:p>
            <w:pPr>
              <w:pStyle w:val="Compact"/>
              <w:jc w:val="left"/>
            </w:pPr>
            <w:r>
              <w:t xml:space="preserve">Publication-Other-Claassen et al 2015</w:t>
            </w:r>
          </w:p>
        </w:tc>
        <w:tc>
          <w:tcPr/>
          <w:p>
            <w:pPr>
              <w:pStyle w:val="Compact"/>
              <w:jc w:val="left"/>
            </w:pPr>
            <w:r>
              <w:t xml:space="preserve">Measurement</w:t>
            </w:r>
          </w:p>
        </w:tc>
        <w:tc>
          <w:tcPr/>
          <w:p>
            <w:pPr>
              <w:pStyle w:val="Compact"/>
              <w:jc w:val="left"/>
            </w:pPr>
            <w:r>
              <w:t xml:space="preserve">True</w:t>
            </w:r>
          </w:p>
        </w:tc>
      </w:tr>
      <w:tr>
        <w:tc>
          <w:tcPr/>
          <w:p>
            <w:pPr>
              <w:pStyle w:val="Compact"/>
              <w:jc w:val="left"/>
            </w:pPr>
            <w:r>
              <w:t xml:space="preserve">Fraction unbound (plasma, reference value)</w:t>
            </w:r>
          </w:p>
        </w:tc>
        <w:tc>
          <w:tcPr/>
          <w:p>
            <w:pPr>
              <w:pStyle w:val="Compact"/>
              <w:jc w:val="left"/>
            </w:pPr>
            <w:r>
              <w:t xml:space="preserve">1</w:t>
            </w:r>
          </w:p>
        </w:tc>
        <w:tc>
          <w:tcPr/>
          <w:p>
            <w:pPr>
              <w:pStyle w:val="Compact"/>
              <w:jc w:val="left"/>
            </w:pPr>
            <w:r>
              <w:t xml:space="preserve">Publication-Other-Claassen et al 2015</w:t>
            </w:r>
          </w:p>
        </w:tc>
        <w:tc>
          <w:tcPr/>
          <w:p>
            <w:pPr>
              <w:pStyle w:val="Compact"/>
              <w:jc w:val="left"/>
            </w:pPr>
            <w:r>
              <w:t xml:space="preserve">Measurement</w:t>
            </w:r>
          </w:p>
        </w:tc>
        <w:tc>
          <w:tcPr/>
          <w:p>
            <w:pPr>
              <w:pStyle w:val="Compact"/>
              <w:jc w:val="left"/>
            </w:pPr>
            <w:r>
              <w:t xml:space="preserve">True</w:t>
            </w:r>
          </w:p>
        </w:tc>
      </w:tr>
      <w:tr>
        <w:tc>
          <w:tcPr/>
          <w:p>
            <w:pPr>
              <w:pStyle w:val="Compact"/>
              <w:jc w:val="left"/>
            </w:pPr>
            <w:r>
              <w:t xml:space="preserve">Is small molecule</w:t>
            </w:r>
          </w:p>
        </w:tc>
        <w:tc>
          <w:tcPr/>
          <w:p>
            <w:pPr>
              <w:pStyle w:val="Compact"/>
              <w:jc w:val="left"/>
            </w:pPr>
            <w:r>
              <w:t xml:space="preserve">Yes</w:t>
            </w:r>
          </w:p>
        </w:tc>
        <w:tc>
          <w:tcPr/>
          <w:p>
            <w:pPr>
              <w:pStyle w:val="Compact"/>
            </w:pPr>
          </w:p>
        </w:tc>
        <w:tc>
          <w:tcPr/>
          <w:p>
            <w:pPr>
              <w:pStyle w:val="Compact"/>
            </w:pPr>
          </w:p>
        </w:tc>
        <w:tc>
          <w:tcPr/>
          <w:p>
            <w:pPr>
              <w:pStyle w:val="Compact"/>
            </w:pPr>
          </w:p>
        </w:tc>
      </w:tr>
      <w:tr>
        <w:tc>
          <w:tcPr/>
          <w:p>
            <w:pPr>
              <w:pStyle w:val="Compact"/>
              <w:jc w:val="left"/>
            </w:pPr>
            <w:r>
              <w:t xml:space="preserve">Molecular weight</w:t>
            </w:r>
          </w:p>
        </w:tc>
        <w:tc>
          <w:tcPr/>
          <w:p>
            <w:pPr>
              <w:pStyle w:val="Compact"/>
              <w:jc w:val="left"/>
            </w:pPr>
            <w:r>
              <w:t xml:space="preserve">588.6 g/mol</w:t>
            </w:r>
          </w:p>
        </w:tc>
        <w:tc>
          <w:tcPr/>
          <w:p>
            <w:pPr>
              <w:pStyle w:val="Compact"/>
              <w:jc w:val="left"/>
            </w:pPr>
            <w:r>
              <w:t xml:space="preserve">Publication-Claassen et al 2015</w:t>
            </w:r>
          </w:p>
        </w:tc>
        <w:tc>
          <w:tcPr/>
          <w:p>
            <w:pPr>
              <w:pStyle w:val="Compact"/>
            </w:pPr>
          </w:p>
        </w:tc>
        <w:tc>
          <w:tcPr/>
          <w:p>
            <w:pPr>
              <w:pStyle w:val="Compact"/>
            </w:pPr>
          </w:p>
        </w:tc>
      </w:tr>
      <w:tr>
        <w:tc>
          <w:tcPr/>
          <w:p>
            <w:pPr>
              <w:pStyle w:val="Compact"/>
              <w:jc w:val="left"/>
            </w:pPr>
            <w:r>
              <w:t xml:space="preserve">Plasma protein binding partner</w:t>
            </w:r>
          </w:p>
        </w:tc>
        <w:tc>
          <w:tcPr/>
          <w:p>
            <w:pPr>
              <w:pStyle w:val="Compact"/>
              <w:jc w:val="left"/>
            </w:pPr>
            <w:r>
              <w:t xml:space="preserve">Albumin</w:t>
            </w:r>
          </w:p>
        </w:tc>
        <w:tc>
          <w:tcPr/>
          <w:p>
            <w:pPr>
              <w:pStyle w:val="Compact"/>
            </w:pPr>
          </w:p>
        </w:tc>
        <w:tc>
          <w:tcPr/>
          <w:p>
            <w:pPr>
              <w:pStyle w:val="Compact"/>
            </w:pPr>
          </w:p>
        </w:tc>
        <w:tc>
          <w:tcPr/>
          <w:p>
            <w:pPr>
              <w:pStyle w:val="Compact"/>
            </w:pPr>
          </w:p>
        </w:tc>
      </w:tr>
    </w:tbl>
    <w:bookmarkEnd w:id="30"/>
    <w:bookmarkStart w:id="31" w:name="calculation-methods"/>
    <w:p>
      <w:pPr>
        <w:pStyle w:val="Heading4"/>
      </w:pPr>
      <w:r>
        <w:t xml:space="preserve">Calculation methods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Name</w:t>
            </w:r>
          </w:p>
        </w:tc>
        <w:tc>
          <w:tcPr/>
          <w:p>
            <w:pPr>
              <w:pStyle w:val="Compact"/>
              <w:jc w:val="left"/>
            </w:pPr>
            <w:r>
              <w:t xml:space="preserve">Value</w:t>
            </w:r>
          </w:p>
        </w:tc>
      </w:tr>
      <w:tr>
        <w:tc>
          <w:tcPr/>
          <w:p>
            <w:pPr>
              <w:pStyle w:val="Compact"/>
              <w:jc w:val="left"/>
            </w:pPr>
            <w:r>
              <w:t xml:space="preserve">Partition coefficients</w:t>
            </w:r>
          </w:p>
        </w:tc>
        <w:tc>
          <w:tcPr/>
          <w:p>
            <w:pPr>
              <w:pStyle w:val="Compact"/>
              <w:jc w:val="left"/>
            </w:pPr>
            <w:r>
              <w:t xml:space="preserve">PK-Sim Standard</w:t>
            </w:r>
          </w:p>
        </w:tc>
      </w:tr>
      <w:tr>
        <w:tc>
          <w:tcPr/>
          <w:p>
            <w:pPr>
              <w:pStyle w:val="Compact"/>
              <w:jc w:val="left"/>
            </w:pPr>
            <w:r>
              <w:t xml:space="preserve">Cellular permeabilities</w:t>
            </w:r>
          </w:p>
        </w:tc>
        <w:tc>
          <w:tcPr/>
          <w:p>
            <w:pPr>
              <w:pStyle w:val="Compact"/>
              <w:jc w:val="left"/>
            </w:pPr>
            <w:r>
              <w:t xml:space="preserve">PK-Sim Standard</w:t>
            </w:r>
          </w:p>
        </w:tc>
      </w:tr>
    </w:tbl>
    <w:bookmarkEnd w:id="31"/>
    <w:bookmarkStart w:id="34" w:name="processes"/>
    <w:p>
      <w:pPr>
        <w:pStyle w:val="Heading4"/>
      </w:pPr>
      <w:r>
        <w:t xml:space="preserve">Processes</w:t>
      </w:r>
    </w:p>
    <w:bookmarkStart w:id="33" w:name="X288960a1024eff3003616610c422e638bbf5748"/>
    <w:p>
      <w:pPr>
        <w:pStyle w:val="Heading5"/>
      </w:pPr>
      <w:r>
        <w:t xml:space="preserve">Systemic Process: Glomerular Filtration-Claassen et al 2015</w:t>
      </w:r>
    </w:p>
    <w:p>
      <w:pPr>
        <w:pStyle w:val="FirstParagraph"/>
      </w:pPr>
      <w:r>
        <w:t xml:space="preserve">Species: Human</w:t>
      </w:r>
    </w:p>
    <w:bookmarkStart w:id="32" w:name="parameters-1"/>
    <w:p>
      <w:pPr>
        <w:pStyle w:val="Heading6"/>
      </w:pPr>
      <w:r>
        <w:t xml:space="preserve">Parameters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Name</w:t>
            </w:r>
          </w:p>
        </w:tc>
        <w:tc>
          <w:tcPr/>
          <w:p>
            <w:pPr>
              <w:pStyle w:val="Compact"/>
              <w:jc w:val="right"/>
            </w:pPr>
            <w:r>
              <w:t xml:space="preserve">Value</w:t>
            </w:r>
          </w:p>
        </w:tc>
        <w:tc>
          <w:tcPr/>
          <w:p>
            <w:pPr>
              <w:pStyle w:val="Compact"/>
              <w:jc w:val="left"/>
            </w:pPr>
            <w:r>
              <w:t xml:space="preserve">Value Origin</w:t>
            </w:r>
          </w:p>
        </w:tc>
      </w:tr>
      <w:tr>
        <w:tc>
          <w:tcPr/>
          <w:p>
            <w:pPr>
              <w:pStyle w:val="Compact"/>
              <w:jc w:val="left"/>
            </w:pPr>
            <w:r>
              <w:t xml:space="preserve">GFR fraction</w:t>
            </w:r>
          </w:p>
        </w:tc>
        <w:tc>
          <w:tcPr/>
          <w:p>
            <w:pPr>
              <w:pStyle w:val="Compact"/>
              <w:jc w:val="right"/>
            </w:pPr>
            <w:r>
              <w:t xml:space="preserve">1</w:t>
            </w:r>
          </w:p>
        </w:tc>
        <w:tc>
          <w:tcPr/>
          <w:p>
            <w:pPr>
              <w:pStyle w:val="Compact"/>
              <w:jc w:val="left"/>
            </w:pPr>
            <w:r>
              <w:t xml:space="preserve">Publication-Claassen et al 2015</w:t>
            </w:r>
          </w:p>
        </w:tc>
      </w:tr>
    </w:tbl>
    <w:bookmarkEnd w:id="32"/>
    <w:bookmarkEnd w:id="33"/>
    <w:bookmarkEnd w:id="34"/>
    <w:bookmarkEnd w:id="35"/>
    <w:bookmarkEnd w:id="36"/>
    <w:bookmarkStart w:id="43" w:name="diagnostics-plots"/>
    <w:p>
      <w:pPr>
        <w:pStyle w:val="Heading2"/>
      </w:pPr>
      <w:r>
        <w:t xml:space="preserve">Diagnostics Plots</w:t>
      </w:r>
      <w:bookmarkStart w:id="diagnostics-plots" w:name="diagnostics-plots"/>
      <w:bookmarkEnd w:id="diagnostics-plots"/>
    </w:p>
    <w:p>
      <w:pPr>
        <w:pStyle w:val="FirstParagraph"/>
      </w:pPr>
      <w:r>
        <w:t xml:space="preserve">Below you find the goodness-of-fit visual diagnostic plots for amikacin PBPK model performance (Individually simulated versus observed plasma concentration) and residuals versus time of all data used for model building.</w:t>
      </w:r>
    </w:p>
    <w:br w:type="page"/>
    <w:p>
      <w:pPr>
        <w:pStyle w:val="BodyText"/>
      </w:pPr>
      <w:bookmarkStart w:id="table-3-1" w:name="table-3-1"/>
      <w:bookmarkEnd w:id="table-3-1"/>
    </w:p>
    <w:p>
      <w:pPr>
        <w:pStyle w:val="BodyText"/>
      </w:pPr>
      <w:r>
        <w:rPr>
          <w:bCs/>
          <w:b/>
        </w:rPr>
        <w:t xml:space="preserve">Table 3-1: GMFE for Goodness of fit plot for concentration in plasma.</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Group</w:t>
            </w:r>
          </w:p>
        </w:tc>
        <w:tc>
          <w:tcPr/>
          <w:p>
            <w:pPr>
              <w:pStyle w:val="Compact"/>
              <w:jc w:val="left"/>
            </w:pPr>
            <w:r>
              <w:t xml:space="preserve">GMFE</w:t>
            </w:r>
          </w:p>
        </w:tc>
      </w:tr>
      <w:tr>
        <w:tc>
          <w:tcPr/>
          <w:p>
            <w:pPr>
              <w:pStyle w:val="Compact"/>
              <w:jc w:val="left"/>
            </w:pPr>
            <w:r>
              <w:t xml:space="preserve">Amikacin iv</w:t>
            </w:r>
          </w:p>
        </w:tc>
        <w:tc>
          <w:tcPr/>
          <w:p>
            <w:pPr>
              <w:pStyle w:val="Compact"/>
              <w:jc w:val="left"/>
            </w:pPr>
            <w:r>
              <w:t xml:space="preserve">1.21</w:t>
            </w:r>
          </w:p>
        </w:tc>
      </w:tr>
    </w:tbl>
    <w:p>
      <w:pPr>
        <w:pStyle w:val="BodyText"/>
      </w:pPr>
      <w:r>
        <w:t xml:space="preserve"> </w:t>
      </w:r>
    </w:p>
    <w:br w:type="page"/>
    <w:p>
      <w:pPr>
        <w:pStyle w:val="BodyText"/>
      </w:pPr>
      <w:bookmarkStart w:id="figure-3-1" w:name="figure-3-1"/>
      <w:bookmarkEnd w:id="figure-3-1"/>
    </w:p>
    <w:p>
      <w:pPr>
        <w:pStyle w:val="BodyText"/>
      </w:pPr>
      <w:r>
        <w:drawing>
          <wp:inline>
            <wp:extent cx="5969000" cy="6306507"/>
            <wp:effectExtent b="0" l="0" r="0" t="0"/>
            <wp:docPr descr="" title="" id="38" name="Picture"/>
            <a:graphic>
              <a:graphicData uri="http://schemas.openxmlformats.org/drawingml/2006/picture">
                <pic:pic>
                  <pic:nvPicPr>
                    <pic:cNvPr descr="images/006_section_results-and-discussion/008_section_diagnostics-plots/2_gof_plot_predictedVsObserved.png" id="39" name="Picture"/>
                    <pic:cNvPicPr>
                      <a:picLocks noChangeArrowheads="1" noChangeAspect="1"/>
                    </pic:cNvPicPr>
                  </pic:nvPicPr>
                  <pic:blipFill>
                    <a:blip r:embed="rId37"/>
                    <a:stretch>
                      <a:fillRect/>
                    </a:stretch>
                  </pic:blipFill>
                  <pic:spPr bwMode="auto">
                    <a:xfrm>
                      <a:off x="0" y="0"/>
                      <a:ext cx="5969000" cy="6306507"/>
                    </a:xfrm>
                    <a:prstGeom prst="rect">
                      <a:avLst/>
                    </a:prstGeom>
                    <a:noFill/>
                    <a:ln w="9525">
                      <a:noFill/>
                      <a:headEnd/>
                      <a:tailEnd/>
                    </a:ln>
                  </pic:spPr>
                </pic:pic>
              </a:graphicData>
            </a:graphic>
          </wp:inline>
        </w:drawing>
      </w:r>
    </w:p>
    <w:p>
      <w:pPr>
        <w:pStyle w:val="BodyText"/>
      </w:pPr>
      <w:r>
        <w:rPr>
          <w:bCs/>
          <w:b/>
        </w:rPr>
        <w:t xml:space="preserve">Figure 3-1: Goodness of fit plot for concentration in plasma.</w:t>
      </w:r>
    </w:p>
    <w:p>
      <w:pPr>
        <w:pStyle w:val="BodyText"/>
      </w:pPr>
      <w:r>
        <w:t xml:space="preserve"> </w:t>
      </w:r>
    </w:p>
    <w:br w:type="page"/>
    <w:p>
      <w:pPr>
        <w:pStyle w:val="BodyText"/>
      </w:pPr>
      <w:bookmarkStart w:id="figure-3-2" w:name="figure-3-2"/>
      <w:bookmarkEnd w:id="figure-3-2"/>
    </w:p>
    <w:p>
      <w:pPr>
        <w:pStyle w:val="BodyText"/>
      </w:pPr>
      <w:r>
        <w:drawing>
          <wp:inline>
            <wp:extent cx="5969000" cy="4123862"/>
            <wp:effectExtent b="0" l="0" r="0" t="0"/>
            <wp:docPr descr="" title="" id="41" name="Picture"/>
            <a:graphic>
              <a:graphicData uri="http://schemas.openxmlformats.org/drawingml/2006/picture">
                <pic:pic>
                  <pic:nvPicPr>
                    <pic:cNvPr descr="images/006_section_results-and-discussion/008_section_diagnostics-plots/3_gof_plot_residualsOverTime.png" id="42" name="Picture"/>
                    <pic:cNvPicPr>
                      <a:picLocks noChangeArrowheads="1" noChangeAspect="1"/>
                    </pic:cNvPicPr>
                  </pic:nvPicPr>
                  <pic:blipFill>
                    <a:blip r:embed="rId40"/>
                    <a:stretch>
                      <a:fillRect/>
                    </a:stretch>
                  </pic:blipFill>
                  <pic:spPr bwMode="auto">
                    <a:xfrm>
                      <a:off x="0" y="0"/>
                      <a:ext cx="5969000" cy="4123862"/>
                    </a:xfrm>
                    <a:prstGeom prst="rect">
                      <a:avLst/>
                    </a:prstGeom>
                    <a:noFill/>
                    <a:ln w="9525">
                      <a:noFill/>
                      <a:headEnd/>
                      <a:tailEnd/>
                    </a:ln>
                  </pic:spPr>
                </pic:pic>
              </a:graphicData>
            </a:graphic>
          </wp:inline>
        </w:drawing>
      </w:r>
    </w:p>
    <w:p>
      <w:pPr>
        <w:pStyle w:val="BodyText"/>
      </w:pPr>
      <w:r>
        <w:rPr>
          <w:bCs/>
          <w:b/>
        </w:rPr>
        <w:t xml:space="preserve">Figure 3-2: Goodness of fit plot for concentration in plasma.</w:t>
      </w:r>
    </w:p>
    <w:p>
      <w:pPr>
        <w:pStyle w:val="BodyText"/>
      </w:pPr>
      <w:r>
        <w:t xml:space="preserve"> </w:t>
      </w:r>
    </w:p>
    <w:bookmarkEnd w:id="43"/>
    <w:bookmarkStart w:id="62" w:name="concentration-time-profiles"/>
    <w:p>
      <w:pPr>
        <w:pStyle w:val="Heading2"/>
      </w:pPr>
      <w:r>
        <w:t xml:space="preserve">Concentration-Time Profiles</w:t>
      </w:r>
      <w:bookmarkStart w:id="concentration-time-profiles" w:name="concentration-time-profiles"/>
      <w:bookmarkEnd w:id="concentration-time-profiles"/>
    </w:p>
    <w:p>
      <w:pPr>
        <w:pStyle w:val="FirstParagraph"/>
      </w:pPr>
      <w:r>
        <w:t xml:space="preserve">Simulated versus observed plasma concentration-time profiles of all data listed in</w:t>
      </w:r>
      <w:r>
        <w:t xml:space="preserve"> </w:t>
      </w:r>
      <w:hyperlink w:anchor="X7ecbd1fd734a207de60ff9705c88346a68b0398">
        <w:r>
          <w:rPr>
            <w:rStyle w:val="Hyperlink"/>
          </w:rPr>
          <w:t xml:space="preserve">Section 2.2.2</w:t>
        </w:r>
      </w:hyperlink>
      <w:r>
        <w:t xml:space="preserve"> </w:t>
      </w:r>
      <w:r>
        <w:t xml:space="preserve">are presented below.</w:t>
      </w:r>
    </w:p>
    <w:br w:type="page"/>
    <w:p>
      <w:pPr>
        <w:pStyle w:val="BodyText"/>
      </w:pPr>
      <w:bookmarkStart w:id="figure-3-3" w:name="figure-3-3"/>
      <w:bookmarkEnd w:id="figure-3-3"/>
    </w:p>
    <w:p>
      <w:pPr>
        <w:pStyle w:val="BodyText"/>
      </w:pPr>
      <w:r>
        <w:drawing>
          <wp:inline>
            <wp:extent cx="5969000" cy="3514547"/>
            <wp:effectExtent b="0" l="0" r="0" t="0"/>
            <wp:docPr descr="" title="" id="45" name="Picture"/>
            <a:graphic>
              <a:graphicData uri="http://schemas.openxmlformats.org/drawingml/2006/picture">
                <pic:pic>
                  <pic:nvPicPr>
                    <pic:cNvPr descr="images/006_section_results-and-discussion/009_section_concentration-time-profiles/1_time_profile_plot_Amikacin_Walker_1979_Volunteer_6.png" id="46" name="Picture"/>
                    <pic:cNvPicPr>
                      <a:picLocks noChangeArrowheads="1" noChangeAspect="1"/>
                    </pic:cNvPicPr>
                  </pic:nvPicPr>
                  <pic:blipFill>
                    <a:blip r:embed="rId44"/>
                    <a:stretch>
                      <a:fillRect/>
                    </a:stretch>
                  </pic:blipFill>
                  <pic:spPr bwMode="auto">
                    <a:xfrm>
                      <a:off x="0" y="0"/>
                      <a:ext cx="5969000" cy="3514547"/>
                    </a:xfrm>
                    <a:prstGeom prst="rect">
                      <a:avLst/>
                    </a:prstGeom>
                    <a:noFill/>
                    <a:ln w="9525">
                      <a:noFill/>
                      <a:headEnd/>
                      <a:tailEnd/>
                    </a:ln>
                  </pic:spPr>
                </pic:pic>
              </a:graphicData>
            </a:graphic>
          </wp:inline>
        </w:drawing>
      </w:r>
    </w:p>
    <w:p>
      <w:pPr>
        <w:pStyle w:val="BodyText"/>
      </w:pPr>
      <w:r>
        <w:rPr>
          <w:bCs/>
          <w:b/>
        </w:rPr>
        <w:t xml:space="preserve">Figure 3-3: Time Profile Analysis</w:t>
      </w:r>
    </w:p>
    <w:p>
      <w:pPr>
        <w:pStyle w:val="BodyText"/>
      </w:pPr>
      <w:r>
        <w:t xml:space="preserve"> </w:t>
      </w:r>
    </w:p>
    <w:br w:type="page"/>
    <w:p>
      <w:pPr>
        <w:pStyle w:val="BodyText"/>
      </w:pPr>
      <w:bookmarkStart w:id="figure-3-4" w:name="figure-3-4"/>
      <w:bookmarkEnd w:id="figure-3-4"/>
    </w:p>
    <w:p>
      <w:pPr>
        <w:pStyle w:val="BodyText"/>
      </w:pPr>
      <w:r>
        <w:drawing>
          <wp:inline>
            <wp:extent cx="5969000" cy="3514547"/>
            <wp:effectExtent b="0" l="0" r="0" t="0"/>
            <wp:docPr descr="" title="" id="48" name="Picture"/>
            <a:graphic>
              <a:graphicData uri="http://schemas.openxmlformats.org/drawingml/2006/picture">
                <pic:pic>
                  <pic:nvPicPr>
                    <pic:cNvPr descr="images/006_section_results-and-discussion/009_section_concentration-time-profiles/2_time_profile_plot_Amikacin_Walker_1979_Volunteer_6.png" id="49" name="Picture"/>
                    <pic:cNvPicPr>
                      <a:picLocks noChangeArrowheads="1" noChangeAspect="1"/>
                    </pic:cNvPicPr>
                  </pic:nvPicPr>
                  <pic:blipFill>
                    <a:blip r:embed="rId47"/>
                    <a:stretch>
                      <a:fillRect/>
                    </a:stretch>
                  </pic:blipFill>
                  <pic:spPr bwMode="auto">
                    <a:xfrm>
                      <a:off x="0" y="0"/>
                      <a:ext cx="5969000" cy="3514547"/>
                    </a:xfrm>
                    <a:prstGeom prst="rect">
                      <a:avLst/>
                    </a:prstGeom>
                    <a:noFill/>
                    <a:ln w="9525">
                      <a:noFill/>
                      <a:headEnd/>
                      <a:tailEnd/>
                    </a:ln>
                  </pic:spPr>
                </pic:pic>
              </a:graphicData>
            </a:graphic>
          </wp:inline>
        </w:drawing>
      </w:r>
    </w:p>
    <w:p>
      <w:pPr>
        <w:pStyle w:val="BodyText"/>
      </w:pPr>
      <w:r>
        <w:rPr>
          <w:bCs/>
          <w:b/>
        </w:rPr>
        <w:t xml:space="preserve">Figure 3-4: Time Profile Analysis 1</w:t>
      </w:r>
    </w:p>
    <w:p>
      <w:pPr>
        <w:pStyle w:val="BodyText"/>
      </w:pPr>
      <w:r>
        <w:t xml:space="preserve"> </w:t>
      </w:r>
    </w:p>
    <w:br w:type="page"/>
    <w:p>
      <w:pPr>
        <w:pStyle w:val="BodyText"/>
      </w:pPr>
      <w:bookmarkStart w:id="figure-3-5" w:name="figure-3-5"/>
      <w:bookmarkEnd w:id="figure-3-5"/>
    </w:p>
    <w:p>
      <w:pPr>
        <w:pStyle w:val="BodyText"/>
      </w:pPr>
      <w:r>
        <w:drawing>
          <wp:inline>
            <wp:extent cx="5969000" cy="3514547"/>
            <wp:effectExtent b="0" l="0" r="0" t="0"/>
            <wp:docPr descr="" title="" id="51" name="Picture"/>
            <a:graphic>
              <a:graphicData uri="http://schemas.openxmlformats.org/drawingml/2006/picture">
                <pic:pic>
                  <pic:nvPicPr>
                    <pic:cNvPr descr="images/006_section_results-and-discussion/009_section_concentration-time-profiles/3_time_profile_plot_Amikacin_Walker_1979_Volunteer_9.png" id="52" name="Picture"/>
                    <pic:cNvPicPr>
                      <a:picLocks noChangeArrowheads="1" noChangeAspect="1"/>
                    </pic:cNvPicPr>
                  </pic:nvPicPr>
                  <pic:blipFill>
                    <a:blip r:embed="rId50"/>
                    <a:stretch>
                      <a:fillRect/>
                    </a:stretch>
                  </pic:blipFill>
                  <pic:spPr bwMode="auto">
                    <a:xfrm>
                      <a:off x="0" y="0"/>
                      <a:ext cx="5969000" cy="3514547"/>
                    </a:xfrm>
                    <a:prstGeom prst="rect">
                      <a:avLst/>
                    </a:prstGeom>
                    <a:noFill/>
                    <a:ln w="9525">
                      <a:noFill/>
                      <a:headEnd/>
                      <a:tailEnd/>
                    </a:ln>
                  </pic:spPr>
                </pic:pic>
              </a:graphicData>
            </a:graphic>
          </wp:inline>
        </w:drawing>
      </w:r>
    </w:p>
    <w:p>
      <w:pPr>
        <w:pStyle w:val="BodyText"/>
      </w:pPr>
      <w:r>
        <w:rPr>
          <w:bCs/>
          <w:b/>
        </w:rPr>
        <w:t xml:space="preserve">Figure 3-5: Time Profile Analysis</w:t>
      </w:r>
    </w:p>
    <w:p>
      <w:pPr>
        <w:pStyle w:val="BodyText"/>
      </w:pPr>
      <w:r>
        <w:t xml:space="preserve"> </w:t>
      </w:r>
    </w:p>
    <w:br w:type="page"/>
    <w:p>
      <w:pPr>
        <w:pStyle w:val="BodyText"/>
      </w:pPr>
      <w:bookmarkStart w:id="figure-3-6" w:name="figure-3-6"/>
      <w:bookmarkEnd w:id="figure-3-6"/>
    </w:p>
    <w:p>
      <w:pPr>
        <w:pStyle w:val="BodyText"/>
      </w:pPr>
      <w:r>
        <w:drawing>
          <wp:inline>
            <wp:extent cx="5969000" cy="3514547"/>
            <wp:effectExtent b="0" l="0" r="0" t="0"/>
            <wp:docPr descr="" title="" id="54" name="Picture"/>
            <a:graphic>
              <a:graphicData uri="http://schemas.openxmlformats.org/drawingml/2006/picture">
                <pic:pic>
                  <pic:nvPicPr>
                    <pic:cNvPr descr="images/006_section_results-and-discussion/009_section_concentration-time-profiles/4_time_profile_plot_Amikacin_Walker_1979_Volunteer_9.png" id="55" name="Picture"/>
                    <pic:cNvPicPr>
                      <a:picLocks noChangeArrowheads="1" noChangeAspect="1"/>
                    </pic:cNvPicPr>
                  </pic:nvPicPr>
                  <pic:blipFill>
                    <a:blip r:embed="rId53"/>
                    <a:stretch>
                      <a:fillRect/>
                    </a:stretch>
                  </pic:blipFill>
                  <pic:spPr bwMode="auto">
                    <a:xfrm>
                      <a:off x="0" y="0"/>
                      <a:ext cx="5969000" cy="3514547"/>
                    </a:xfrm>
                    <a:prstGeom prst="rect">
                      <a:avLst/>
                    </a:prstGeom>
                    <a:noFill/>
                    <a:ln w="9525">
                      <a:noFill/>
                      <a:headEnd/>
                      <a:tailEnd/>
                    </a:ln>
                  </pic:spPr>
                </pic:pic>
              </a:graphicData>
            </a:graphic>
          </wp:inline>
        </w:drawing>
      </w:r>
    </w:p>
    <w:p>
      <w:pPr>
        <w:pStyle w:val="BodyText"/>
      </w:pPr>
      <w:r>
        <w:rPr>
          <w:bCs/>
          <w:b/>
        </w:rPr>
        <w:t xml:space="preserve">Figure 3-6: Time Profile Analysis 1</w:t>
      </w:r>
    </w:p>
    <w:p>
      <w:pPr>
        <w:pStyle w:val="BodyText"/>
      </w:pPr>
      <w:r>
        <w:t xml:space="preserve"> </w:t>
      </w:r>
    </w:p>
    <w:br w:type="page"/>
    <w:p>
      <w:pPr>
        <w:pStyle w:val="BodyText"/>
      </w:pPr>
      <w:bookmarkStart w:id="figure-3-7" w:name="figure-3-7"/>
      <w:bookmarkEnd w:id="figure-3-7"/>
    </w:p>
    <w:p>
      <w:pPr>
        <w:pStyle w:val="BodyText"/>
      </w:pPr>
      <w:r>
        <w:drawing>
          <wp:inline>
            <wp:extent cx="5969000" cy="3450877"/>
            <wp:effectExtent b="0" l="0" r="0" t="0"/>
            <wp:docPr descr="" title="" id="57" name="Picture"/>
            <a:graphic>
              <a:graphicData uri="http://schemas.openxmlformats.org/drawingml/2006/picture">
                <pic:pic>
                  <pic:nvPicPr>
                    <pic:cNvPr descr="images/006_section_results-and-discussion/009_section_concentration-time-profiles/5_time_profile_plot_Amikacin_Walker_1979_POP.png" id="58" name="Picture"/>
                    <pic:cNvPicPr>
                      <a:picLocks noChangeArrowheads="1" noChangeAspect="1"/>
                    </pic:cNvPicPr>
                  </pic:nvPicPr>
                  <pic:blipFill>
                    <a:blip r:embed="rId56"/>
                    <a:stretch>
                      <a:fillRect/>
                    </a:stretch>
                  </pic:blipFill>
                  <pic:spPr bwMode="auto">
                    <a:xfrm>
                      <a:off x="0" y="0"/>
                      <a:ext cx="5969000" cy="3450877"/>
                    </a:xfrm>
                    <a:prstGeom prst="rect">
                      <a:avLst/>
                    </a:prstGeom>
                    <a:noFill/>
                    <a:ln w="9525">
                      <a:noFill/>
                      <a:headEnd/>
                      <a:tailEnd/>
                    </a:ln>
                  </pic:spPr>
                </pic:pic>
              </a:graphicData>
            </a:graphic>
          </wp:inline>
        </w:drawing>
      </w:r>
    </w:p>
    <w:p>
      <w:pPr>
        <w:pStyle w:val="BodyText"/>
      </w:pPr>
      <w:r>
        <w:rPr>
          <w:bCs/>
          <w:b/>
        </w:rPr>
        <w:t xml:space="preserve">Figure 3-7: Time Profile Analysis</w:t>
      </w:r>
    </w:p>
    <w:p>
      <w:pPr>
        <w:pStyle w:val="BodyText"/>
      </w:pPr>
      <w:r>
        <w:t xml:space="preserve"> </w:t>
      </w:r>
    </w:p>
    <w:br w:type="page"/>
    <w:p>
      <w:pPr>
        <w:pStyle w:val="BodyText"/>
      </w:pPr>
      <w:bookmarkStart w:id="figure-3-8" w:name="figure-3-8"/>
      <w:bookmarkEnd w:id="figure-3-8"/>
    </w:p>
    <w:p>
      <w:pPr>
        <w:pStyle w:val="BodyText"/>
      </w:pPr>
      <w:r>
        <w:drawing>
          <wp:inline>
            <wp:extent cx="5969000" cy="3450877"/>
            <wp:effectExtent b="0" l="0" r="0" t="0"/>
            <wp:docPr descr="" title="" id="60" name="Picture"/>
            <a:graphic>
              <a:graphicData uri="http://schemas.openxmlformats.org/drawingml/2006/picture">
                <pic:pic>
                  <pic:nvPicPr>
                    <pic:cNvPr descr="images/006_section_results-and-discussion/009_section_concentration-time-profiles/6_time_profile_plot_Amikacin_Walker_1979_POP.png" id="61" name="Picture"/>
                    <pic:cNvPicPr>
                      <a:picLocks noChangeArrowheads="1" noChangeAspect="1"/>
                    </pic:cNvPicPr>
                  </pic:nvPicPr>
                  <pic:blipFill>
                    <a:blip r:embed="rId59"/>
                    <a:stretch>
                      <a:fillRect/>
                    </a:stretch>
                  </pic:blipFill>
                  <pic:spPr bwMode="auto">
                    <a:xfrm>
                      <a:off x="0" y="0"/>
                      <a:ext cx="5969000" cy="3450877"/>
                    </a:xfrm>
                    <a:prstGeom prst="rect">
                      <a:avLst/>
                    </a:prstGeom>
                    <a:noFill/>
                    <a:ln w="9525">
                      <a:noFill/>
                      <a:headEnd/>
                      <a:tailEnd/>
                    </a:ln>
                  </pic:spPr>
                </pic:pic>
              </a:graphicData>
            </a:graphic>
          </wp:inline>
        </w:drawing>
      </w:r>
    </w:p>
    <w:p>
      <w:pPr>
        <w:pStyle w:val="BodyText"/>
      </w:pPr>
      <w:r>
        <w:rPr>
          <w:bCs/>
          <w:b/>
        </w:rPr>
        <w:t xml:space="preserve">Figure 3-8: Time Profile Analysis 1</w:t>
      </w:r>
    </w:p>
    <w:p>
      <w:pPr>
        <w:pStyle w:val="BodyText"/>
      </w:pPr>
      <w:r>
        <w:t xml:space="preserve"> </w:t>
      </w:r>
    </w:p>
    <w:bookmarkEnd w:id="62"/>
    <w:bookmarkEnd w:id="63"/>
    <w:bookmarkStart w:id="64" w:name="conclusion"/>
    <w:p>
      <w:pPr>
        <w:pStyle w:val="Heading1"/>
      </w:pPr>
      <w:r>
        <w:t xml:space="preserve">Conclusion</w:t>
      </w:r>
      <w:bookmarkStart w:id="conclusion" w:name="conclusion"/>
      <w:bookmarkEnd w:id="conclusion"/>
    </w:p>
    <w:p>
      <w:pPr>
        <w:pStyle w:val="FirstParagraph"/>
      </w:pPr>
      <w:r>
        <w:t xml:space="preserve">The amikacin PBPK model applies glomerular filtration and adequately describes the pharmacokinetics of amikacin in adults receiving intravenous administration of amikacin.</w:t>
      </w:r>
    </w:p>
    <w:p>
      <w:pPr>
        <w:pStyle w:val="BodyText"/>
      </w:pPr>
      <w:r>
        <w:t xml:space="preserve">This model could be applied for the translation to special populations such as pediatrics with regard to renal elimination via glomerular filtration.</w:t>
      </w:r>
    </w:p>
    <w:bookmarkEnd w:id="64"/>
    <w:bookmarkStart w:id="65" w:name="references"/>
    <w:p>
      <w:pPr>
        <w:pStyle w:val="Heading1"/>
      </w:pPr>
      <w:r>
        <w:t xml:space="preserve">References</w:t>
      </w:r>
      <w:bookmarkStart w:id="references" w:name="references"/>
      <w:bookmarkEnd w:id="references"/>
    </w:p>
    <w:p>
      <w:pPr>
        <w:pStyle w:val="FirstParagraph"/>
      </w:pPr>
      <w:r>
        <w:rPr>
          <w:bCs/>
          <w:b/>
        </w:rPr>
        <w:t xml:space="preserve">Claassen 2015</w:t>
      </w:r>
      <w:r>
        <w:t xml:space="preserve"> </w:t>
      </w:r>
      <w:r>
        <w:t xml:space="preserve">Claassen K, Thelen K, Coboeken K, Gaub T, Lippert J, Allegaert K, Willmann S1. Development of a Physiologically-Based Pharmacokinetic Model for Preterm Neonates: Evaluation with In Vivo Data. Curr Pharm Des. 2015;21(39):5688-98.</w:t>
      </w:r>
    </w:p>
    <w:p>
      <w:pPr>
        <w:pStyle w:val="BodyText"/>
      </w:pPr>
      <w:r>
        <w:rPr>
          <w:bCs/>
          <w:b/>
        </w:rPr>
        <w:t xml:space="preserve">DailyMed</w:t>
      </w:r>
      <w:r>
        <w:t xml:space="preserve"> </w:t>
      </w:r>
      <w:r>
        <w:t xml:space="preserve">(https://dailymed.nlm.nih.gov/dailymed/fda/fdaDrugXsl.cfm?setid=6ec3129b-c53b-4bdb-913d-a2d0060fa140&amp;type=display)</w:t>
      </w:r>
    </w:p>
    <w:p>
      <w:pPr>
        <w:pStyle w:val="BodyText"/>
      </w:pPr>
      <w:r>
        <w:rPr>
          <w:bCs/>
          <w:b/>
        </w:rPr>
        <w:t xml:space="preserve">Drugbank.ca</w:t>
      </w:r>
      <w:r>
        <w:t xml:space="preserve"> </w:t>
      </w:r>
      <w:r>
        <w:t xml:space="preserve">(https://go.drugbank.com/drugs/DB00479 )</w:t>
      </w:r>
    </w:p>
    <w:p>
      <w:pPr>
        <w:pStyle w:val="BodyText"/>
      </w:pPr>
      <w:r>
        <w:rPr>
          <w:bCs/>
          <w:b/>
        </w:rPr>
        <w:t xml:space="preserve">FDA Label</w:t>
      </w:r>
      <w:r>
        <w:t xml:space="preserve"> </w:t>
      </w:r>
      <w:r>
        <w:t xml:space="preserve">(https://s3-us-west-2.amazonaws.com/drugbank/fda_labels/DB00479.pdf?1540245531)</w:t>
      </w:r>
    </w:p>
    <w:p>
      <w:pPr>
        <w:pStyle w:val="BodyText"/>
      </w:pPr>
      <w:r>
        <w:rPr>
          <w:bCs/>
          <w:b/>
        </w:rPr>
        <w:t xml:space="preserve">Kuepfer 2016</w:t>
      </w:r>
      <w:r>
        <w:t xml:space="preserve"> </w:t>
      </w:r>
      <w:r>
        <w:t xml:space="preserve">Kuepfer L, Niederalt C, Wendl T, Schlender JF, Willmann S, Lippert J, Block M, Eissing T, Teutonico D. Applied Concepts in PBPK Modeling: How to Build a PBPK/PD Model. CPT Pharmacometrics Syst Pharmacol. 2016 Oct;5(10):516-531. doi: 10.1002/psp4.12134. Epub 2016 Oct 19.</w:t>
      </w:r>
    </w:p>
    <w:p>
      <w:pPr>
        <w:pStyle w:val="BodyText"/>
      </w:pPr>
      <w:r>
        <w:rPr>
          <w:bCs/>
          <w:b/>
        </w:rPr>
        <w:t xml:space="preserve">Lanao 1982</w:t>
      </w:r>
      <w:r>
        <w:t xml:space="preserve"> </w:t>
      </w:r>
      <w:r>
        <w:t xml:space="preserve">Lanao JM, Dominguez-Gil A, Dominguez-Gil AA, et al. Modification in the pharmacokinetics of amikacin during development. Eur J Clin Pharmacol 1982; 23(2): 155-60.</w:t>
      </w:r>
    </w:p>
    <w:p>
      <w:pPr>
        <w:pStyle w:val="BodyText"/>
      </w:pPr>
      <w:r>
        <w:rPr>
          <w:bCs/>
          <w:b/>
        </w:rPr>
        <w:t xml:space="preserve">PK-Sim Ontogeny Database Version 7.3</w:t>
      </w:r>
      <w:r>
        <w:t xml:space="preserve"> </w:t>
      </w:r>
      <w:r>
        <w:t xml:space="preserve">(https://github.com/Open-Systems-Pharmacology/OSPSuite.Documentation/blob/38cf71b384cfc25cfa0ce4d2f3addfd32757e13b/PK-Sim%20Ontogeny%20Database%20Version%207.3.pdf)</w:t>
      </w:r>
    </w:p>
    <w:p>
      <w:pPr>
        <w:pStyle w:val="BodyText"/>
      </w:pPr>
      <w:r>
        <w:rPr>
          <w:bCs/>
          <w:b/>
        </w:rPr>
        <w:t xml:space="preserve">Walker 1979</w:t>
      </w:r>
      <w:r>
        <w:t xml:space="preserve"> </w:t>
      </w:r>
      <w:r>
        <w:t xml:space="preserve">Walker JM, Wise R, Mitchard M. The pharmacokinetics of amikacin and gentamicin in volunteers: a comparison of individual differences. J Antimicrob Chemother. 1979 Jan;5(1):95-9.</w:t>
      </w:r>
    </w:p>
    <w:p>
      <w:pPr>
        <w:pStyle w:val="BodyText"/>
      </w:pPr>
      <w:r>
        <w:rPr>
          <w:bCs/>
          <w:b/>
        </w:rPr>
        <w:t xml:space="preserve">Wendl 2011</w:t>
      </w:r>
      <w:r>
        <w:t xml:space="preserve"> </w:t>
      </w:r>
      <w:r>
        <w:t xml:space="preserve">Wendl T, Niederalt C, Becker C, et al. Modeling of renal failure, dialysis, inhalation and mechanical ventilation: Development of a whole-body physiologically-based pharmacokinetic (PBPK) model for ICU patients with and without renal failure receiving inhalatively administered Amikacin via a tracheal tube. Presented at:</w:t>
      </w:r>
      <w:r>
        <w:t xml:space="preserve"> </w:t>
      </w:r>
      <w:r>
        <w:rPr>
          <w:iCs/>
          <w:i/>
        </w:rPr>
        <w:t xml:space="preserve">The Annual Meeting of the Population Approach Group in Europe</w:t>
      </w:r>
      <w:r>
        <w:t xml:space="preserve"> </w:t>
      </w:r>
      <w:r>
        <w:t xml:space="preserve">Athens. 2011; Abstr. 2194.</w:t>
      </w:r>
    </w:p>
    <w:bookmarkEnd w:id="65"/>
    <w:sectPr w:rsidR="00B470D9">
      <w:headerReference r:id="rId9" w:type="default"/>
      <w:footerReference r:id="rId10" w:type="default"/>
      <w:pgSz w:h="15840" w:w="12240"/>
      <w:pgMar w:bottom="1134" w:footer="720" w:gutter="0" w:header="720" w:left="1417" w:right="1417" w:top="1417"/>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37720" w:rsidRDefault="00237720">
    <w:pPr>
      <w:pStyle w:val="Footer"/>
      <w:jc w:val="center"/>
    </w:pPr>
  </w:p>
  <w:p w:rsidR="00237720" w:rsidRDefault="00237720">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Times New Roman" w:hAnsi="Times New Roman" w:cs="Times New Roman"/>
      </w:rPr>
      <w:id w:val="-620381891"/>
      <w:docPartObj>
        <w:docPartGallery w:val="Page Numbers (Top of Page)"/>
        <w:docPartUnique/>
      </w:docPartObj>
    </w:sdtPr>
    <w:sdtEndPr/>
    <w:sdtContent>
      <w:p w:rsidR="000F07F1" w:rsidRPr="007E2361" w:rsidRDefault="000F07F1" w:rsidP="000F07F1">
        <w:pPr>
          <w:pStyle w:val="Header"/>
          <w:jc w:val="right"/>
          <w:rPr>
            <w:rFonts w:ascii="Times New Roman" w:hAnsi="Times New Roman" w:cs="Times New Roman"/>
          </w:rPr>
        </w:pPr>
        <w:r w:rsidRPr="007E2361">
          <w:rPr>
            <w:rFonts w:ascii="Times New Roman" w:hAnsi="Times New Roman" w:cs="Times New Roman"/>
            <w:lang w:val="de-DE"/>
          </w:rPr>
          <w:t xml:space="preserve">Page </w:t>
        </w:r>
        <w:r w:rsidRPr="007E2361">
          <w:rPr>
            <w:rFonts w:ascii="Times New Roman" w:hAnsi="Times New Roman" w:cs="Times New Roman"/>
          </w:rPr>
          <w:fldChar w:fldCharType="begin"/>
        </w:r>
        <w:r w:rsidRPr="007E2361">
          <w:rPr>
            <w:rFonts w:ascii="Times New Roman" w:hAnsi="Times New Roman" w:cs="Times New Roman"/>
          </w:rPr>
          <w:instrText>PAGE  \* Arabic  \* MERGEFORMAT</w:instrText>
        </w:r>
        <w:r w:rsidRPr="007E2361">
          <w:rPr>
            <w:rFonts w:ascii="Times New Roman" w:hAnsi="Times New Roman" w:cs="Times New Roman"/>
          </w:rPr>
          <w:fldChar w:fldCharType="separate"/>
        </w:r>
        <w:r w:rsidR="00B034F3">
          <w:rPr>
            <w:rFonts w:ascii="Times New Roman" w:hAnsi="Times New Roman" w:cs="Times New Roman"/>
            <w:noProof/>
          </w:rPr>
          <w:t>2</w:t>
        </w:r>
        <w:r w:rsidRPr="007E2361">
          <w:rPr>
            <w:rFonts w:ascii="Times New Roman" w:hAnsi="Times New Roman" w:cs="Times New Roman"/>
          </w:rPr>
          <w:fldChar w:fldCharType="end"/>
        </w:r>
        <w:r w:rsidRPr="007E2361">
          <w:rPr>
            <w:rFonts w:ascii="Times New Roman" w:hAnsi="Times New Roman" w:cs="Times New Roman"/>
            <w:lang w:val="de-DE"/>
          </w:rPr>
          <w:t xml:space="preserve"> of </w:t>
        </w:r>
        <w:r w:rsidRPr="007E2361">
          <w:rPr>
            <w:rFonts w:ascii="Times New Roman" w:hAnsi="Times New Roman" w:cs="Times New Roman"/>
          </w:rPr>
          <w:fldChar w:fldCharType="begin"/>
        </w:r>
        <w:r w:rsidRPr="007E2361">
          <w:rPr>
            <w:rFonts w:ascii="Times New Roman" w:hAnsi="Times New Roman" w:cs="Times New Roman"/>
          </w:rPr>
          <w:instrText>NUMPAGES  \* Arabic  \* MERGEFORMAT</w:instrText>
        </w:r>
        <w:r w:rsidRPr="007E2361">
          <w:rPr>
            <w:rFonts w:ascii="Times New Roman" w:hAnsi="Times New Roman" w:cs="Times New Roman"/>
          </w:rPr>
          <w:fldChar w:fldCharType="separate"/>
        </w:r>
        <w:r w:rsidR="00B034F3">
          <w:rPr>
            <w:rFonts w:ascii="Times New Roman" w:hAnsi="Times New Roman" w:cs="Times New Roman"/>
            <w:noProof/>
          </w:rPr>
          <w:t>2</w:t>
        </w:r>
        <w:r w:rsidRPr="007E2361">
          <w:rPr>
            <w:rFonts w:ascii="Times New Roman" w:hAnsi="Times New Roman" w:cs="Times New Roman"/>
            <w:lang w:val="de-DE"/>
          </w:rPr>
          <w:fldChar w:fldCharType="end"/>
        </w:r>
      </w:p>
    </w:sdtContent>
  </w:sdt>
  <w:p w:rsidR="000F07F1" w:rsidRDefault="000F07F1">
    <w:pPr>
      <w:pStyle w:val="Header"/>
    </w:pPr>
  </w:p>
</w:hdr>
</file>

<file path=word/numbering.xml><?xml version="1.0" encoding="utf-8"?>
<w:numbering xmlns:cx="http://schemas.microsoft.com/office/drawing/20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abstractNum w15:restartNumberingAfterBreak="0" w:abstractNumId="0">
    <w:nsid w:val="FFFFFF7C"/>
    <w:multiLevelType w:val="singleLevel"/>
    <w:tmpl w:val="52D2BCA0"/>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AD6823F2"/>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FD149514"/>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EB281228"/>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C966F838"/>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9746C576"/>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51D61164"/>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46DCFC36"/>
    <w:lvl w:ilvl="0">
      <w:start w:val="1"/>
      <w:numFmt w:val="bullet"/>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8EB43C62"/>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83B06E4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170CD2DE"/>
    <w:multiLevelType w:val="multilevel"/>
    <w:tmpl w:val="0E7ACBA0"/>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15:restartNumberingAfterBreak="0" w:abstractNumId="11">
    <w:nsid w:val="2E6E7027"/>
    <w:multiLevelType w:val="multilevel"/>
    <w:tmpl w:val="CFB603AE"/>
    <w:styleLink w:val="REVersuch2"/>
    <w:lvl w:ilvl="0">
      <w:start w:val="1"/>
      <w:numFmt w:val="decimal"/>
      <w:lvlText w:val="%1"/>
      <w:lvlJc w:val="left"/>
      <w:pPr>
        <w:ind w:hanging="360" w:left="360"/>
      </w:pPr>
      <w:rPr>
        <w:rFonts w:hint="default"/>
      </w:rPr>
    </w:lvl>
    <w:lvl w:ilvl="1">
      <w:start w:val="1"/>
      <w:numFmt w:val="decimal"/>
      <w:lvlText w:val="%1.%2"/>
      <w:lvlJc w:val="left"/>
      <w:pPr>
        <w:ind w:hanging="360" w:left="720"/>
      </w:pPr>
      <w:rPr>
        <w:rFonts w:hint="default"/>
      </w:rPr>
    </w:lvl>
    <w:lvl w:ilvl="2">
      <w:start w:val="1"/>
      <w:numFmt w:val="decimal"/>
      <w:lvlText w:val="%1.%2.%3"/>
      <w:lvlJc w:val="left"/>
      <w:pPr>
        <w:ind w:hanging="360" w:left="1080"/>
      </w:pPr>
      <w:rPr>
        <w:rFonts w:hint="default"/>
      </w:rPr>
    </w:lvl>
    <w:lvl w:ilvl="3">
      <w:start w:val="1"/>
      <w:numFmt w:val="decimal"/>
      <w:lvlText w:val="%1.%2.%3.%4"/>
      <w:lvlJc w:val="left"/>
      <w:pPr>
        <w:ind w:hanging="360" w:left="1440"/>
      </w:pPr>
      <w:rPr>
        <w:rFonts w:hint="default"/>
      </w:rPr>
    </w:lvl>
    <w:lvl w:ilvl="4">
      <w:start w:val="1"/>
      <w:numFmt w:val="decimal"/>
      <w:lvlText w:val="%1.%2.%3.%4.%5"/>
      <w:lvlJc w:val="left"/>
      <w:pPr>
        <w:ind w:hanging="360" w:left="1800"/>
      </w:pPr>
      <w:rPr>
        <w:rFonts w:hint="default"/>
      </w:rPr>
    </w:lvl>
    <w:lvl w:ilvl="5">
      <w:start w:val="1"/>
      <w:numFmt w:val="decimal"/>
      <w:lvlText w:val="%1.%2.%3.%4.%5.%6"/>
      <w:lvlJc w:val="left"/>
      <w:pPr>
        <w:ind w:hanging="360" w:left="2160"/>
      </w:pPr>
      <w:rPr>
        <w:rFonts w:hint="default"/>
      </w:rPr>
    </w:lvl>
    <w:lvl w:ilvl="6">
      <w:start w:val="1"/>
      <w:numFmt w:val="decimal"/>
      <w:lvlText w:val="%1.%2.%3.%4.%5.%6.%7"/>
      <w:lvlJc w:val="left"/>
      <w:pPr>
        <w:ind w:hanging="360" w:left="2520"/>
      </w:pPr>
      <w:rPr>
        <w:rFonts w:hint="default"/>
      </w:rPr>
    </w:lvl>
    <w:lvl w:ilvl="7">
      <w:start w:val="1"/>
      <w:numFmt w:val="decimal"/>
      <w:lvlText w:val="%1.%2.%3.%4.%5.%6.%7.%8"/>
      <w:lvlJc w:val="left"/>
      <w:pPr>
        <w:ind w:hanging="360" w:left="2880"/>
      </w:pPr>
      <w:rPr>
        <w:rFonts w:hint="default"/>
      </w:rPr>
    </w:lvl>
    <w:lvl w:ilvl="8">
      <w:start w:val="1"/>
      <w:numFmt w:val="decimal"/>
      <w:lvlText w:val="%1.%2.%3.%4.%5.%6.%7.%8.%9"/>
      <w:lvlJc w:val="left"/>
      <w:pPr>
        <w:ind w:hanging="360" w:left="3240"/>
      </w:pPr>
      <w:rPr>
        <w:rFonts w:hint="default"/>
      </w:rPr>
    </w:lvl>
  </w:abstractNum>
  <w:abstractNum w15:restartNumberingAfterBreak="0" w:abstractNumId="12">
    <w:nsid w:val="2F4367A2"/>
    <w:multiLevelType w:val="hybridMultilevel"/>
    <w:tmpl w:val="0E94A3F2"/>
    <w:lvl w:ilvl="0" w:tplc="6FFEDB94">
      <w:start w:val="1"/>
      <w:numFmt w:val="decimal"/>
      <w:lvlText w:val="Figure %1: "/>
      <w:lvlJc w:val="left"/>
      <w:pPr>
        <w:ind w:hanging="360" w:left="720"/>
      </w:pPr>
      <w:rPr>
        <w:rFonts w:hint="default"/>
      </w:rPr>
    </w:lvl>
    <w:lvl w:ilvl="1" w:tentative="1" w:tplc="04070019">
      <w:start w:val="1"/>
      <w:numFmt w:val="lowerLetter"/>
      <w:lvlText w:val="%2."/>
      <w:lvlJc w:val="left"/>
      <w:pPr>
        <w:ind w:hanging="360" w:left="1440"/>
      </w:pPr>
    </w:lvl>
    <w:lvl w:ilvl="2" w:tentative="1" w:tplc="0407001B">
      <w:start w:val="1"/>
      <w:numFmt w:val="lowerRoman"/>
      <w:lvlText w:val="%3."/>
      <w:lvlJc w:val="right"/>
      <w:pPr>
        <w:ind w:hanging="180" w:left="2160"/>
      </w:pPr>
    </w:lvl>
    <w:lvl w:ilvl="3" w:tentative="1" w:tplc="0407000F">
      <w:start w:val="1"/>
      <w:numFmt w:val="decimal"/>
      <w:lvlText w:val="%4."/>
      <w:lvlJc w:val="left"/>
      <w:pPr>
        <w:ind w:hanging="360" w:left="2880"/>
      </w:pPr>
    </w:lvl>
    <w:lvl w:ilvl="4" w:tentative="1" w:tplc="04070019">
      <w:start w:val="1"/>
      <w:numFmt w:val="lowerLetter"/>
      <w:lvlText w:val="%5."/>
      <w:lvlJc w:val="left"/>
      <w:pPr>
        <w:ind w:hanging="360" w:left="3600"/>
      </w:pPr>
    </w:lvl>
    <w:lvl w:ilvl="5" w:tentative="1" w:tplc="0407001B">
      <w:start w:val="1"/>
      <w:numFmt w:val="lowerRoman"/>
      <w:lvlText w:val="%6."/>
      <w:lvlJc w:val="right"/>
      <w:pPr>
        <w:ind w:hanging="180" w:left="4320"/>
      </w:pPr>
    </w:lvl>
    <w:lvl w:ilvl="6" w:tentative="1" w:tplc="0407000F">
      <w:start w:val="1"/>
      <w:numFmt w:val="decimal"/>
      <w:lvlText w:val="%7."/>
      <w:lvlJc w:val="left"/>
      <w:pPr>
        <w:ind w:hanging="360" w:left="5040"/>
      </w:pPr>
    </w:lvl>
    <w:lvl w:ilvl="7" w:tentative="1" w:tplc="04070019">
      <w:start w:val="1"/>
      <w:numFmt w:val="lowerLetter"/>
      <w:lvlText w:val="%8."/>
      <w:lvlJc w:val="left"/>
      <w:pPr>
        <w:ind w:hanging="360" w:left="5760"/>
      </w:pPr>
    </w:lvl>
    <w:lvl w:ilvl="8" w:tentative="1" w:tplc="0407001B">
      <w:start w:val="1"/>
      <w:numFmt w:val="lowerRoman"/>
      <w:lvlText w:val="%9."/>
      <w:lvlJc w:val="right"/>
      <w:pPr>
        <w:ind w:hanging="180" w:left="6480"/>
      </w:pPr>
    </w:lvl>
  </w:abstractNum>
  <w:abstractNum w15:restartNumberingAfterBreak="0" w:abstractNumId="13">
    <w:nsid w:val="439D272C"/>
    <w:multiLevelType w:val="multilevel"/>
    <w:tmpl w:val="5E8A4980"/>
    <w:lvl w:ilvl="0">
      <w:start w:val="1"/>
      <w:numFmt w:val="decimal"/>
      <w:pStyle w:val="Heading1"/>
      <w:lvlText w:val="%1"/>
      <w:lvlJc w:val="left"/>
      <w:pPr>
        <w:ind w:hanging="1134" w:left="1134"/>
      </w:pPr>
      <w:rPr>
        <w:rFonts w:hint="default"/>
      </w:rPr>
    </w:lvl>
    <w:lvl w:ilvl="1">
      <w:start w:val="1"/>
      <w:numFmt w:val="decimal"/>
      <w:pStyle w:val="Heading2"/>
      <w:lvlText w:val="%1.%2"/>
      <w:lvlJc w:val="left"/>
      <w:pPr>
        <w:ind w:hanging="1134" w:left="1134"/>
      </w:pPr>
      <w:rPr>
        <w:rFonts w:hint="default"/>
      </w:rPr>
    </w:lvl>
    <w:lvl w:ilvl="2">
      <w:start w:val="1"/>
      <w:numFmt w:val="decimal"/>
      <w:pStyle w:val="Heading3"/>
      <w:lvlText w:val="%1.%2.%3"/>
      <w:lvlJc w:val="left"/>
      <w:pPr>
        <w:ind w:hanging="1134" w:left="1134"/>
      </w:pPr>
      <w:rPr>
        <w:rFonts w:hint="default"/>
      </w:rPr>
    </w:lvl>
    <w:lvl w:ilvl="3">
      <w:start w:val="1"/>
      <w:numFmt w:val="decimal"/>
      <w:pStyle w:val="Heading4"/>
      <w:lvlText w:val="%1.%2.%3.%4"/>
      <w:lvlJc w:val="left"/>
      <w:pPr>
        <w:ind w:hanging="1134" w:left="1134"/>
      </w:pPr>
      <w:rPr>
        <w:rFonts w:hint="default"/>
      </w:rPr>
    </w:lvl>
    <w:lvl w:ilvl="4">
      <w:start w:val="1"/>
      <w:numFmt w:val="decimal"/>
      <w:pStyle w:val="Heading5"/>
      <w:lvlText w:val="%1.%2.%3.%4.%5"/>
      <w:lvlJc w:val="left"/>
      <w:pPr>
        <w:ind w:hanging="1134" w:left="1134"/>
      </w:pPr>
      <w:rPr>
        <w:rFonts w:hint="default"/>
      </w:rPr>
    </w:lvl>
    <w:lvl w:ilvl="5">
      <w:start w:val="1"/>
      <w:numFmt w:val="decimal"/>
      <w:pStyle w:val="Heading6"/>
      <w:lvlText w:val="%1.%2.%3.%4.%5.%6"/>
      <w:lvlJc w:val="left"/>
      <w:pPr>
        <w:ind w:hanging="1134" w:left="1134"/>
      </w:pPr>
      <w:rPr>
        <w:rFonts w:hint="default"/>
      </w:rPr>
    </w:lvl>
    <w:lvl w:ilvl="6">
      <w:start w:val="1"/>
      <w:numFmt w:val="decimal"/>
      <w:pStyle w:val="Heading7"/>
      <w:lvlText w:val="%1.%2.%3.%4.%5.%6.%7"/>
      <w:lvlJc w:val="left"/>
      <w:pPr>
        <w:ind w:hanging="1134" w:left="1134"/>
      </w:pPr>
      <w:rPr>
        <w:rFonts w:hint="default"/>
      </w:rPr>
    </w:lvl>
    <w:lvl w:ilvl="7">
      <w:start w:val="1"/>
      <w:numFmt w:val="decimal"/>
      <w:pStyle w:val="Heading8"/>
      <w:lvlText w:val="%1.%2.%3.%4.%5.%6.%7.%8"/>
      <w:lvlJc w:val="left"/>
      <w:pPr>
        <w:ind w:hanging="1134" w:left="1134"/>
      </w:pPr>
      <w:rPr>
        <w:rFonts w:hint="default"/>
      </w:rPr>
    </w:lvl>
    <w:lvl w:ilvl="8">
      <w:start w:val="1"/>
      <w:numFmt w:val="decimal"/>
      <w:pStyle w:val="Heading9"/>
      <w:lvlText w:val="%1.%2.%3.%4.%5.%6.%7.%8.%9"/>
      <w:lvlJc w:val="left"/>
      <w:pPr>
        <w:ind w:hanging="1134" w:left="1134"/>
      </w:pPr>
      <w:rPr>
        <w:rFonts w:hint="default"/>
      </w:rPr>
    </w:lvl>
  </w:abstractNum>
  <w:abstractNum w15:restartNumberingAfterBreak="0" w:abstractNumId="14">
    <w:nsid w:val="4E027060"/>
    <w:multiLevelType w:val="hybridMultilevel"/>
    <w:tmpl w:val="BDE6AA42"/>
    <w:lvl w:ilvl="0" w:tplc="9976DFBA">
      <w:start w:val="1"/>
      <w:numFmt w:val="decimal"/>
      <w:lvlText w:val="Table %1: "/>
      <w:lvlJc w:val="left"/>
      <w:pPr>
        <w:ind w:hanging="360" w:left="720"/>
      </w:pPr>
      <w:rPr>
        <w:rFonts w:hint="default"/>
      </w:rPr>
    </w:lvl>
    <w:lvl w:ilvl="1" w:tentative="1" w:tplc="04070019">
      <w:start w:val="1"/>
      <w:numFmt w:val="lowerLetter"/>
      <w:lvlText w:val="%2."/>
      <w:lvlJc w:val="left"/>
      <w:pPr>
        <w:ind w:hanging="360" w:left="1440"/>
      </w:pPr>
    </w:lvl>
    <w:lvl w:ilvl="2" w:tentative="1" w:tplc="0407001B">
      <w:start w:val="1"/>
      <w:numFmt w:val="lowerRoman"/>
      <w:lvlText w:val="%3."/>
      <w:lvlJc w:val="right"/>
      <w:pPr>
        <w:ind w:hanging="180" w:left="2160"/>
      </w:pPr>
    </w:lvl>
    <w:lvl w:ilvl="3" w:tentative="1" w:tplc="0407000F">
      <w:start w:val="1"/>
      <w:numFmt w:val="decimal"/>
      <w:lvlText w:val="%4."/>
      <w:lvlJc w:val="left"/>
      <w:pPr>
        <w:ind w:hanging="360" w:left="2880"/>
      </w:pPr>
    </w:lvl>
    <w:lvl w:ilvl="4" w:tentative="1" w:tplc="04070019">
      <w:start w:val="1"/>
      <w:numFmt w:val="lowerLetter"/>
      <w:lvlText w:val="%5."/>
      <w:lvlJc w:val="left"/>
      <w:pPr>
        <w:ind w:hanging="360" w:left="3600"/>
      </w:pPr>
    </w:lvl>
    <w:lvl w:ilvl="5" w:tentative="1" w:tplc="0407001B">
      <w:start w:val="1"/>
      <w:numFmt w:val="lowerRoman"/>
      <w:lvlText w:val="%6."/>
      <w:lvlJc w:val="right"/>
      <w:pPr>
        <w:ind w:hanging="180" w:left="4320"/>
      </w:pPr>
    </w:lvl>
    <w:lvl w:ilvl="6" w:tentative="1" w:tplc="0407000F">
      <w:start w:val="1"/>
      <w:numFmt w:val="decimal"/>
      <w:lvlText w:val="%7."/>
      <w:lvlJc w:val="left"/>
      <w:pPr>
        <w:ind w:hanging="360" w:left="5040"/>
      </w:pPr>
    </w:lvl>
    <w:lvl w:ilvl="7" w:tentative="1" w:tplc="04070019">
      <w:start w:val="1"/>
      <w:numFmt w:val="lowerLetter"/>
      <w:lvlText w:val="%8."/>
      <w:lvlJc w:val="left"/>
      <w:pPr>
        <w:ind w:hanging="360" w:left="5760"/>
      </w:pPr>
    </w:lvl>
    <w:lvl w:ilvl="8" w:tentative="1" w:tplc="0407001B">
      <w:start w:val="1"/>
      <w:numFmt w:val="lowerRoman"/>
      <w:lvlText w:val="%9."/>
      <w:lvlJc w:val="right"/>
      <w:pPr>
        <w:ind w:hanging="180" w:left="6480"/>
      </w:pPr>
    </w:lvl>
  </w:abstractNum>
  <w:abstractNum w15:restartNumberingAfterBreak="0" w:abstractNumId="15">
    <w:nsid w:val="57675838"/>
    <w:multiLevelType w:val="multilevel"/>
    <w:tmpl w:val="CFB603AE"/>
    <w:numStyleLink w:val="REVersuch2"/>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10"/>
  </w:num>
  <w:num w:numId="2">
    <w:abstractNumId w:val="9"/>
  </w:num>
  <w:num w:numId="3">
    <w:abstractNumId w:val="7"/>
  </w:num>
  <w:num w:numId="4">
    <w:abstractNumId w:val="6"/>
  </w:num>
  <w:num w:numId="5">
    <w:abstractNumId w:val="5"/>
  </w:num>
  <w:num w:numId="6">
    <w:abstractNumId w:val="4"/>
  </w:num>
  <w:num w:numId="7">
    <w:abstractNumId w:val="8"/>
  </w:num>
  <w:num w:numId="8">
    <w:abstractNumId w:val="3"/>
  </w:num>
  <w:num w:numId="9">
    <w:abstractNumId w:val="2"/>
  </w:num>
  <w:num w:numId="10">
    <w:abstractNumId w:val="1"/>
  </w:num>
  <w:num w:numId="11">
    <w:abstractNumId w:val="0"/>
  </w:num>
  <w:num w:numId="12">
    <w:abstractNumId w:val="11"/>
  </w:num>
  <w:num w:numId="13">
    <w:abstractNumId w:val="15"/>
  </w:num>
  <w:num w:numId="14">
    <w:abstractNumId w:val="13"/>
  </w:num>
  <w:num w:numId="15">
    <w:abstractNumId w:val="12"/>
  </w:num>
  <w:num w:numId="16">
    <w:abstractNumId w:val="14"/>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savePreviewPicture/>
  <w:rsids>
  </w:rsids>
  <w:clrSchemeMapping w:accent1="accent1" w:accent2="accent2" w:accent3="accent3" w:accent4="accent4" w:accent5="accent5" w:accent6="accent6" w:bg1="light1" w:bg2="light2" w:followedHyperlink="followedHyperlink" w:hyperlink="hyperlink" w:t1="dark1" w:t2="dark2"/>
  <w:zoom w:percent="100"/>
  <w:embedSystemFonts/>
  <w:defaultTabStop w:val="720"/>
  <w:hyphenationZone w:val="425"/>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
  <m:mathPr>
    <m:mathFont m:val="Cambria Math"/>
    <m:brkBin m:val="before"/>
    <m:brkBinSub m:val="--"/>
    <m:smallFrac m:val="0"/>
    <m:dispDef m:val="0"/>
    <m:lMargin m:val="0"/>
    <m:rMargin m:val="0"/>
    <m:defJc m:val="centerGroup"/>
    <m:wrapRight/>
    <m:intLim m:val="subSup"/>
    <m:naryLim m:val="subSup"/>
  </m:mathPr>
  <w:themeFontLang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1" w:defLockedState="0" w:defQFormat="0" w:defSemiHidden="0" w:defUIPriority="0" w:defUnhideWhenUsed="0">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default="1" w:styleId="Normal" w:type="paragraph">
    <w:name w:val="Normal"/>
    <w:qFormat/>
  </w:style>
  <w:style w:styleId="Heading1" w:type="paragraph">
    <w:name w:val="heading 1"/>
    <w:basedOn w:val="Normal"/>
    <w:next w:val="BodyText"/>
    <w:uiPriority w:val="9"/>
    <w:qFormat/>
    <w:rsid w:val="00DF4C3C"/>
    <w:pPr>
      <w:keepNext/>
      <w:keepLines/>
      <w:pageBreakBefore/>
      <w:numPr>
        <w:numId w:val="14"/>
      </w:numPr>
      <w:spacing w:after="0" w:before="480"/>
      <w:outlineLvl w:val="0"/>
    </w:pPr>
    <w:rPr>
      <w:rFonts w:ascii="Times New Roman" w:cstheme="majorBidi" w:eastAsiaTheme="majorEastAsia" w:hAnsi="Times New Roman"/>
      <w:b/>
      <w:bCs/>
      <w:sz w:val="28"/>
      <w:szCs w:val="32"/>
    </w:rPr>
  </w:style>
  <w:style w:styleId="Heading2" w:type="paragraph">
    <w:name w:val="heading 2"/>
    <w:basedOn w:val="Normal"/>
    <w:next w:val="BodyText"/>
    <w:uiPriority w:val="9"/>
    <w:unhideWhenUsed/>
    <w:qFormat/>
    <w:rsid w:val="00D500C1"/>
    <w:pPr>
      <w:keepNext/>
      <w:keepLines/>
      <w:numPr>
        <w:ilvl w:val="1"/>
        <w:numId w:val="14"/>
      </w:numPr>
      <w:spacing w:after="0" w:before="200"/>
      <w:outlineLvl w:val="1"/>
    </w:pPr>
    <w:rPr>
      <w:rFonts w:ascii="Times New Roman" w:cstheme="majorBidi" w:eastAsiaTheme="majorEastAsia" w:hAnsi="Times New Roman"/>
      <w:b/>
      <w:bCs/>
      <w:sz w:val="26"/>
      <w:szCs w:val="28"/>
    </w:rPr>
  </w:style>
  <w:style w:styleId="Heading3" w:type="paragraph">
    <w:name w:val="heading 3"/>
    <w:basedOn w:val="Normal"/>
    <w:next w:val="BodyText"/>
    <w:uiPriority w:val="9"/>
    <w:unhideWhenUsed/>
    <w:qFormat/>
    <w:rsid w:val="00D500C1"/>
    <w:pPr>
      <w:keepNext/>
      <w:keepLines/>
      <w:numPr>
        <w:ilvl w:val="2"/>
        <w:numId w:val="14"/>
      </w:numPr>
      <w:spacing w:after="0" w:before="200"/>
      <w:outlineLvl w:val="2"/>
    </w:pPr>
    <w:rPr>
      <w:rFonts w:ascii="Times New Roman" w:cstheme="majorBidi" w:eastAsiaTheme="majorEastAsia" w:hAnsi="Times New Roman"/>
      <w:b/>
      <w:bCs/>
      <w:sz w:val="26"/>
    </w:rPr>
  </w:style>
  <w:style w:styleId="Heading4" w:type="paragraph">
    <w:name w:val="heading 4"/>
    <w:basedOn w:val="Normal"/>
    <w:next w:val="BodyText"/>
    <w:uiPriority w:val="9"/>
    <w:unhideWhenUsed/>
    <w:qFormat/>
    <w:rsid w:val="00D500C1"/>
    <w:pPr>
      <w:keepNext/>
      <w:keepLines/>
      <w:numPr>
        <w:ilvl w:val="3"/>
        <w:numId w:val="14"/>
      </w:numPr>
      <w:spacing w:after="0" w:before="200"/>
      <w:outlineLvl w:val="3"/>
    </w:pPr>
    <w:rPr>
      <w:rFonts w:ascii="Times New Roman" w:cstheme="majorBidi" w:eastAsiaTheme="majorEastAsia" w:hAnsi="Times New Roman"/>
      <w:b/>
      <w:bCs/>
      <w:sz w:val="26"/>
    </w:rPr>
  </w:style>
  <w:style w:styleId="Heading5" w:type="paragraph">
    <w:name w:val="heading 5"/>
    <w:basedOn w:val="Normal"/>
    <w:next w:val="BodyText"/>
    <w:uiPriority w:val="9"/>
    <w:unhideWhenUsed/>
    <w:qFormat/>
    <w:rsid w:val="00D500C1"/>
    <w:pPr>
      <w:keepNext/>
      <w:keepLines/>
      <w:numPr>
        <w:ilvl w:val="4"/>
        <w:numId w:val="14"/>
      </w:numPr>
      <w:spacing w:after="0" w:before="200"/>
      <w:outlineLvl w:val="4"/>
    </w:pPr>
    <w:rPr>
      <w:rFonts w:ascii="Times New Roman" w:cstheme="majorBidi" w:eastAsiaTheme="majorEastAsia" w:hAnsi="Times New Roman"/>
      <w:b/>
      <w:iCs/>
      <w:sz w:val="26"/>
    </w:rPr>
  </w:style>
  <w:style w:styleId="Heading6" w:type="paragraph">
    <w:name w:val="heading 6"/>
    <w:basedOn w:val="Normal"/>
    <w:next w:val="BodyText"/>
    <w:uiPriority w:val="9"/>
    <w:unhideWhenUsed/>
    <w:qFormat/>
    <w:rsid w:val="00D500C1"/>
    <w:pPr>
      <w:keepNext/>
      <w:keepLines/>
      <w:numPr>
        <w:ilvl w:val="5"/>
        <w:numId w:val="14"/>
      </w:numPr>
      <w:spacing w:after="0" w:before="200"/>
      <w:outlineLvl w:val="5"/>
    </w:pPr>
    <w:rPr>
      <w:rFonts w:ascii="Times New Roman" w:cstheme="majorBidi" w:eastAsiaTheme="majorEastAsia" w:hAnsi="Times New Roman"/>
      <w:b/>
      <w:sz w:val="26"/>
    </w:rPr>
  </w:style>
  <w:style w:styleId="Heading7" w:type="paragraph">
    <w:name w:val="heading 7"/>
    <w:basedOn w:val="Normal"/>
    <w:next w:val="BodyText"/>
    <w:uiPriority w:val="9"/>
    <w:unhideWhenUsed/>
    <w:qFormat/>
    <w:rsid w:val="00D500C1"/>
    <w:pPr>
      <w:keepNext/>
      <w:keepLines/>
      <w:numPr>
        <w:ilvl w:val="6"/>
        <w:numId w:val="14"/>
      </w:numPr>
      <w:spacing w:after="0" w:before="200"/>
      <w:outlineLvl w:val="6"/>
    </w:pPr>
    <w:rPr>
      <w:rFonts w:ascii="Times New Roman" w:cstheme="majorBidi" w:eastAsiaTheme="majorEastAsia" w:hAnsi="Times New Roman"/>
      <w:b/>
      <w:sz w:val="26"/>
    </w:rPr>
  </w:style>
  <w:style w:styleId="Heading8" w:type="paragraph">
    <w:name w:val="heading 8"/>
    <w:basedOn w:val="Normal"/>
    <w:next w:val="BodyText"/>
    <w:uiPriority w:val="9"/>
    <w:unhideWhenUsed/>
    <w:qFormat/>
    <w:rsid w:val="00D500C1"/>
    <w:pPr>
      <w:keepNext/>
      <w:keepLines/>
      <w:numPr>
        <w:ilvl w:val="7"/>
        <w:numId w:val="14"/>
      </w:numPr>
      <w:spacing w:after="0" w:before="200"/>
      <w:outlineLvl w:val="7"/>
    </w:pPr>
    <w:rPr>
      <w:rFonts w:ascii="Times New Roman" w:cstheme="majorBidi" w:eastAsiaTheme="majorEastAsia" w:hAnsi="Times New Roman"/>
      <w:b/>
      <w:sz w:val="26"/>
    </w:rPr>
  </w:style>
  <w:style w:styleId="Heading9" w:type="paragraph">
    <w:name w:val="heading 9"/>
    <w:basedOn w:val="Normal"/>
    <w:next w:val="BodyText"/>
    <w:uiPriority w:val="9"/>
    <w:unhideWhenUsed/>
    <w:qFormat/>
    <w:rsid w:val="00D500C1"/>
    <w:pPr>
      <w:keepNext/>
      <w:keepLines/>
      <w:numPr>
        <w:ilvl w:val="8"/>
        <w:numId w:val="14"/>
      </w:numPr>
      <w:spacing w:after="0" w:before="200"/>
      <w:outlineLvl w:val="8"/>
    </w:pPr>
    <w:rPr>
      <w:rFonts w:ascii="Times New Roman" w:cstheme="majorBidi" w:eastAsiaTheme="majorEastAsia" w:hAnsi="Times New Roman"/>
      <w:b/>
      <w:sz w:val="26"/>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autoRedefine/>
    <w:qFormat/>
    <w:rsid w:val="00B034F3"/>
    <w:pPr>
      <w:spacing w:after="180" w:before="180" w:line="360" w:lineRule="auto"/>
    </w:pPr>
    <w:rPr>
      <w:rFonts w:ascii="Arial" w:hAnsi="Arial"/>
      <w:sz w:val="20"/>
    </w:rPr>
  </w:style>
  <w:style w:customStyle="1" w:styleId="FirstParagraph" w:type="paragraph">
    <w:name w:val="First Paragraph"/>
    <w:basedOn w:val="BodyText"/>
    <w:next w:val="BodyText"/>
    <w:autoRedefine/>
    <w:qFormat/>
    <w:rsid w:val="008D31A4"/>
  </w:style>
  <w:style w:customStyle="1" w:styleId="Compact" w:type="paragraph">
    <w:name w:val="Compact"/>
    <w:basedOn w:val="BodyText"/>
    <w:autoRedefine/>
    <w:qFormat/>
    <w:rsid w:val="008D31A4"/>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spacing w:before="240"/>
    </w:pPr>
    <w:rPr>
      <w:sz w:val="30"/>
      <w:szCs w:val="30"/>
    </w:rPr>
  </w:style>
  <w:style w:customStyle="1" w:styleId="Author" w:type="paragraph">
    <w:name w:val="Author"/>
    <w:next w:val="BodyText"/>
    <w:autoRedefine/>
    <w:qFormat/>
    <w:rsid w:val="008D31A4"/>
    <w:pPr>
      <w:keepNext/>
      <w:keepLines/>
      <w:jc w:val="center"/>
    </w:pPr>
    <w:rPr>
      <w:rFonts w:ascii="Arial" w:hAnsi="Arial"/>
    </w:rPr>
  </w:style>
  <w:style w:styleId="Date" w:type="paragraph">
    <w:name w:val="Date"/>
    <w:next w:val="BodyText"/>
    <w:autoRedefine/>
    <w:qFormat/>
    <w:rsid w:val="008D31A4"/>
    <w:pPr>
      <w:keepNext/>
      <w:keepLines/>
      <w:jc w:val="center"/>
    </w:pPr>
    <w:rPr>
      <w:rFonts w:ascii="Arial" w:hAnsi="Arial"/>
    </w:rPr>
  </w:style>
  <w:style w:customStyle="1" w:styleId="Abstract" w:type="paragraph">
    <w:name w:val="Abstract"/>
    <w:basedOn w:val="Normal"/>
    <w:next w:val="BodyText"/>
    <w:autoRedefine/>
    <w:qFormat/>
    <w:rsid w:val="008D31A4"/>
    <w:pPr>
      <w:keepNext/>
      <w:keepLines/>
      <w:spacing w:after="300" w:before="300"/>
      <w:jc w:val="both"/>
    </w:pPr>
    <w:rPr>
      <w:rFonts w:ascii="Arial" w:hAnsi="Arial"/>
      <w:sz w:val="20"/>
      <w:szCs w:val="20"/>
    </w:rPr>
  </w:style>
  <w:style w:styleId="Bibliography" w:type="paragraph">
    <w:name w:val="Bibliography"/>
    <w:basedOn w:val="Normal"/>
    <w:qFormat/>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Table" w:type="table">
    <w:name w:val="Table"/>
    <w:basedOn w:val="GridTable1Light"/>
    <w:semiHidden/>
    <w:unhideWhenUsed/>
    <w:qFormat/>
    <w:rsid w:val="008F3A26"/>
    <w:rPr>
      <w:rFonts w:ascii="Arial" w:hAnsi="Arial"/>
      <w:sz w:val="20"/>
      <w:szCs w:val="20"/>
      <w:lang w:eastAsia="en-CA" w:val="en-CA"/>
    </w:rPr>
    <w:tblPr/>
    <w:tcPr>
      <w:vAlign w:val="center"/>
    </w:tcPr>
    <w:tblStylePr w:type="firstRow">
      <w:rPr>
        <w:b/>
        <w:bCs/>
      </w:rPr>
      <w:tblPr/>
      <w:tcPr>
        <w:tcBorders>
          <w:bottom w:color="666666" w:space="0" w:sz="12" w:themeColor="text1" w:themeTint="99" w:val="single"/>
        </w:tcBorders>
      </w:tcPr>
    </w:tblStylePr>
    <w:tblStylePr w:type="lastRow">
      <w:rPr>
        <w:b w:val="0"/>
        <w:bCs/>
      </w:rPr>
      <w:tblPr/>
      <w:tcPr>
        <w:tcBorders>
          <w:top w:color="BFBFBF" w:space="0" w:sz="4" w:themeColor="background1" w:themeShade="BF" w:val="single"/>
        </w:tcBorders>
      </w:tcPr>
    </w:tblStylePr>
    <w:tblStylePr w:type="firstCol">
      <w:rPr>
        <w:b/>
        <w:bCs/>
      </w:rPr>
    </w:tblStylePr>
    <w:tblStylePr w:type="lastCol">
      <w:rPr>
        <w:b w:val="0"/>
        <w:bCs/>
      </w:rPr>
    </w:tblStylePr>
    <w:tblStylePr w:type="swCell">
      <w:rPr>
        <w:b/>
      </w:r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rsid w:val="00CB69FF"/>
    <w:pPr>
      <w:keepNext/>
      <w:spacing w:before="120"/>
    </w:pPr>
    <w:rPr>
      <w:rFonts w:ascii="Arial" w:hAnsi="Arial"/>
      <w:b/>
      <w:i w:val="0"/>
      <w:sz w:val="20"/>
    </w:rPr>
  </w:style>
  <w:style w:customStyle="1" w:styleId="ImageCaption" w:type="paragraph">
    <w:name w:val="Image Caption"/>
    <w:basedOn w:val="Caption"/>
    <w:rsid w:val="00CB69FF"/>
    <w:rPr>
      <w:rFonts w:ascii="Arial" w:hAnsi="Arial"/>
      <w:b/>
      <w:i w:val="0"/>
      <w:sz w:val="20"/>
    </w:rPr>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hAnsi="Consolas"/>
      <w:sz w:val="22"/>
    </w:rPr>
  </w:style>
  <w:style w:styleId="FootnoteReference" w:type="character">
    <w:name w:val="footnote reference"/>
    <w:basedOn w:val="CaptionChar"/>
    <w:rPr>
      <w:vertAlign w:val="superscript"/>
    </w:rPr>
  </w:style>
  <w:style w:styleId="Hyperlink" w:type="character">
    <w:name w:val="Hyperlink"/>
    <w:uiPriority w:val="99"/>
    <w:rsid w:val="007E2361"/>
    <w:rPr>
      <w:color w:val="0000FF"/>
    </w:rPr>
  </w:style>
  <w:style w:styleId="TOCHeading" w:type="paragraph">
    <w:name w:val="TOC Heading"/>
    <w:aliases w:val="RE_TableOfContent"/>
    <w:next w:val="BodyText"/>
    <w:uiPriority w:val="39"/>
    <w:unhideWhenUsed/>
    <w:qFormat/>
    <w:rsid w:val="00D500C1"/>
    <w:pPr>
      <w:spacing w:before="240" w:line="259" w:lineRule="auto"/>
    </w:pPr>
    <w:rPr>
      <w:rFonts w:ascii="Times New Roman" w:cstheme="majorBidi" w:eastAsiaTheme="majorEastAsia" w:hAnsi="Times New Roman"/>
      <w:b/>
      <w:szCs w:val="32"/>
    </w:rPr>
  </w:style>
  <w:style w:styleId="Header" w:type="paragraph">
    <w:name w:val="header"/>
    <w:basedOn w:val="Normal"/>
    <w:link w:val="HeaderChar"/>
    <w:unhideWhenUsed/>
    <w:rsid w:val="00237720"/>
    <w:pPr>
      <w:tabs>
        <w:tab w:pos="4536" w:val="center"/>
        <w:tab w:pos="9072" w:val="right"/>
      </w:tabs>
      <w:spacing w:after="0"/>
    </w:pPr>
  </w:style>
  <w:style w:customStyle="1" w:styleId="HeaderChar" w:type="character">
    <w:name w:val="Header Char"/>
    <w:basedOn w:val="DefaultParagraphFont"/>
    <w:link w:val="Header"/>
    <w:rsid w:val="00237720"/>
  </w:style>
  <w:style w:styleId="Footer" w:type="paragraph">
    <w:name w:val="footer"/>
    <w:basedOn w:val="Normal"/>
    <w:link w:val="FooterChar"/>
    <w:uiPriority w:val="99"/>
    <w:unhideWhenUsed/>
    <w:rsid w:val="00237720"/>
    <w:pPr>
      <w:tabs>
        <w:tab w:pos="4536" w:val="center"/>
        <w:tab w:pos="9072" w:val="right"/>
      </w:tabs>
      <w:spacing w:after="0"/>
    </w:pPr>
  </w:style>
  <w:style w:customStyle="1" w:styleId="FooterChar" w:type="character">
    <w:name w:val="Footer Char"/>
    <w:basedOn w:val="DefaultParagraphFont"/>
    <w:link w:val="Footer"/>
    <w:uiPriority w:val="99"/>
    <w:rsid w:val="00237720"/>
  </w:style>
  <w:style w:customStyle="1" w:styleId="REVersuch2" w:type="numbering">
    <w:name w:val="RE_Versuch_2"/>
    <w:uiPriority w:val="99"/>
    <w:rsid w:val="00F5435A"/>
    <w:pPr>
      <w:numPr>
        <w:numId w:val="12"/>
      </w:numPr>
    </w:pPr>
  </w:style>
  <w:style w:customStyle="1" w:styleId="BodyTextChar" w:type="character">
    <w:name w:val="Body Text Char"/>
    <w:basedOn w:val="DefaultParagraphFont"/>
    <w:link w:val="BodyText"/>
    <w:rsid w:val="00B034F3"/>
    <w:rPr>
      <w:rFonts w:ascii="Arial" w:hAnsi="Arial"/>
      <w:sz w:val="20"/>
    </w:rPr>
  </w:style>
  <w:style w:styleId="TOC2" w:type="paragraph">
    <w:name w:val="toc 2"/>
    <w:basedOn w:val="Normal"/>
    <w:next w:val="Normal"/>
    <w:autoRedefine/>
    <w:uiPriority w:val="39"/>
    <w:unhideWhenUsed/>
    <w:rsid w:val="00F45D3A"/>
    <w:pPr>
      <w:tabs>
        <w:tab w:pos="880" w:val="left"/>
        <w:tab w:leader="dot" w:pos="9396" w:val="right"/>
      </w:tabs>
      <w:spacing w:after="0"/>
      <w:ind w:hanging="624" w:left="624" w:right="284"/>
    </w:pPr>
    <w:rPr>
      <w:rFonts w:ascii="Times New Roman" w:hAnsi="Times New Roman"/>
      <w:color w:val="0000FF"/>
    </w:rPr>
  </w:style>
  <w:style w:styleId="TOC1" w:type="paragraph">
    <w:name w:val="toc 1"/>
    <w:basedOn w:val="Normal"/>
    <w:next w:val="Normal"/>
    <w:autoRedefine/>
    <w:uiPriority w:val="39"/>
    <w:unhideWhenUsed/>
    <w:rsid w:val="00F45D3A"/>
    <w:pPr>
      <w:spacing w:after="0" w:before="120"/>
      <w:ind w:hanging="425" w:left="425" w:right="284"/>
    </w:pPr>
    <w:rPr>
      <w:rFonts w:ascii="Times New Roman" w:hAnsi="Times New Roman"/>
      <w:b/>
      <w:color w:val="0000FF"/>
    </w:rPr>
  </w:style>
  <w:style w:styleId="TOC3" w:type="paragraph">
    <w:name w:val="toc 3"/>
    <w:basedOn w:val="Normal"/>
    <w:next w:val="Normal"/>
    <w:autoRedefine/>
    <w:uiPriority w:val="39"/>
    <w:unhideWhenUsed/>
    <w:rsid w:val="00F45D3A"/>
    <w:pPr>
      <w:tabs>
        <w:tab w:pos="1320" w:val="left"/>
        <w:tab w:leader="dot" w:pos="9396" w:val="right"/>
      </w:tabs>
      <w:spacing w:after="0"/>
      <w:ind w:hanging="822" w:left="822" w:right="284"/>
    </w:pPr>
    <w:rPr>
      <w:rFonts w:ascii="Times New Roman" w:hAnsi="Times New Roman"/>
      <w:color w:val="0000FF"/>
    </w:rPr>
  </w:style>
  <w:style w:styleId="TOC4" w:type="paragraph">
    <w:name w:val="toc 4"/>
    <w:basedOn w:val="Normal"/>
    <w:next w:val="Normal"/>
    <w:autoRedefine/>
    <w:uiPriority w:val="39"/>
    <w:unhideWhenUsed/>
    <w:rsid w:val="00F45D3A"/>
    <w:pPr>
      <w:tabs>
        <w:tab w:pos="1540" w:val="left"/>
        <w:tab w:leader="dot" w:pos="9396" w:val="right"/>
      </w:tabs>
      <w:spacing w:after="0"/>
      <w:ind w:hanging="1021" w:left="1021" w:right="284"/>
    </w:pPr>
    <w:rPr>
      <w:rFonts w:ascii="Times New Roman" w:hAnsi="Times New Roman"/>
      <w:color w:val="0000FF"/>
    </w:rPr>
  </w:style>
  <w:style w:styleId="TOC5" w:type="paragraph">
    <w:name w:val="toc 5"/>
    <w:basedOn w:val="Normal"/>
    <w:next w:val="Normal"/>
    <w:autoRedefine/>
    <w:uiPriority w:val="39"/>
    <w:unhideWhenUsed/>
    <w:rsid w:val="00F45D3A"/>
    <w:pPr>
      <w:tabs>
        <w:tab w:pos="1880" w:val="left"/>
        <w:tab w:leader="dot" w:pos="9396" w:val="right"/>
      </w:tabs>
      <w:spacing w:after="0"/>
      <w:ind w:hanging="1219" w:left="1219" w:right="284"/>
    </w:pPr>
    <w:rPr>
      <w:rFonts w:ascii="Times New Roman" w:hAnsi="Times New Roman"/>
      <w:color w:val="0000FF"/>
    </w:rPr>
  </w:style>
  <w:style w:styleId="Index1" w:type="paragraph">
    <w:name w:val="index 1"/>
    <w:basedOn w:val="Normal"/>
    <w:next w:val="Normal"/>
    <w:autoRedefine/>
    <w:rsid w:val="00830389"/>
    <w:pPr>
      <w:spacing w:after="0"/>
      <w:ind w:hanging="240" w:left="240"/>
    </w:pPr>
  </w:style>
  <w:style w:styleId="TableofFigures" w:type="paragraph">
    <w:name w:val="table of figures"/>
    <w:basedOn w:val="Normal"/>
    <w:next w:val="Normal"/>
    <w:uiPriority w:val="99"/>
    <w:unhideWhenUsed/>
    <w:rsid w:val="00162E8B"/>
    <w:pPr>
      <w:spacing w:after="0"/>
    </w:pPr>
    <w:rPr>
      <w:rFonts w:ascii="Times New Roman" w:hAnsi="Times New Roman"/>
      <w:color w:val="0000FF"/>
    </w:rPr>
  </w:style>
  <w:style w:styleId="GridTable1Light" w:type="table">
    <w:name w:val="Grid Table 1 Light"/>
    <w:basedOn w:val="TableNormal"/>
    <w:rsid w:val="008D31A4"/>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 Type="http://schemas.openxmlformats.org/officeDocument/2006/relationships/image" Id="rId37" Target="media/rId37.png" /><Relationship Type="http://schemas.openxmlformats.org/officeDocument/2006/relationships/image" Id="rId40" Target="media/rId40.png" /><Relationship Type="http://schemas.openxmlformats.org/officeDocument/2006/relationships/image" Id="rId44" Target="media/rId44.png" /><Relationship Type="http://schemas.openxmlformats.org/officeDocument/2006/relationships/image" Id="rId47" Target="media/rId47.png" /><Relationship Type="http://schemas.openxmlformats.org/officeDocument/2006/relationships/image" Id="rId50" Target="media/rId50.png" /><Relationship Type="http://schemas.openxmlformats.org/officeDocument/2006/relationships/image" Id="rId53" Target="media/rId53.png" /><Relationship Type="http://schemas.openxmlformats.org/officeDocument/2006/relationships/image" Id="rId56" Target="media/rId56.png" /><Relationship Type="http://schemas.openxmlformats.org/officeDocument/2006/relationships/image" Id="rId59" Target="media/rId5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TotalTime>
  <Pages>2</Pages>
  <Words>118</Words>
  <Characters>679</Characters>
  <Application>Microsoft Office Word</Application>
  <DocSecurity>0</DocSecurity>
  <Lines>5</Lines>
  <Paragraphs>1</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Title</vt:lpstr>
      <vt:lpstr>Title</vt:lpstr>
    </vt:vector>
  </TitlesOfParts>
  <Company/>
  <LinksUpToDate>false</LinksUpToDate>
  <CharactersWithSpaces>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Building and evaluation of a PBPK model for amikacin in adults</dc:title>
  <dc:creator/>
  <cp:keywords/>
  <dcterms:created xsi:type="dcterms:W3CDTF">2025-04-30T16:23:24Z</dcterms:created>
  <dcterms:modified xsi:type="dcterms:W3CDTF">2025-04-30T16:23:24Z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Version1.0-OSP12.0based on Model Snapshot and Evaluation Planhttps://github.com/Open-Systems-Pharmacology/Amikacin-Model/releases/tag/v1.0OSP Version12.0Qualification Framework Version3.3This evaluation report and the corresponding PK-Sim project file are filed at:https://github.com/Open-Systems-Pharmacology/OSP-PBPK-Model-Library/</vt:lpwstr>
  </property>
  <property fmtid="{D5CDD505-2E9C-101B-9397-08002B2CF9AE}" pid="3" name="subtitle">
    <vt:lpwstr/>
  </property>
</Properties>
</file>