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3.png" ContentType="image/png"/>
  <Override PartName="/word/media/rId7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80.png" ContentType="image/png"/>
  <Override PartName="/word/media/rId137.png" ContentType="image/png"/>
  <Override PartName="/word/media/rId140.png" ContentType="image/png"/>
  <Override PartName="/word/media/rId143.png" ContentType="image/png"/>
  <Override PartName="/word/media/rId146.png" ContentType="image/png"/>
  <Override PartName="/word/media/rId149.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83.png" ContentType="image/png"/>
  <Override PartName="/word/media/rId167.png" ContentType="image/png"/>
  <Override PartName="/word/media/rId170.png" ContentType="image/png"/>
  <Override PartName="/word/media/rId173.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91.png" ContentType="image/png"/>
  <Override PartName="/word/media/rId194.png" ContentType="image/png"/>
  <Override PartName="/word/media/rId86.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18.png" ContentType="image/png"/>
  <Override PartName="/word/media/rId221.png" ContentType="image/png"/>
  <Override PartName="/word/media/rId224.png" ContentType="image/png"/>
  <Override PartName="/word/media/rId89.png" ContentType="image/png"/>
  <Override PartName="/word/media/rId227.png" ContentType="image/png"/>
  <Override PartName="/word/media/rId230.png" ContentType="image/png"/>
  <Override PartName="/word/media/rId233.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92.png" ContentType="image/png"/>
  <Override PartName="/word/media/rId257.png" ContentType="image/png"/>
  <Override PartName="/word/media/rId260.png" ContentType="image/png"/>
  <Override PartName="/word/media/rId263.png" ContentType="image/png"/>
  <Override PartName="/word/media/rId95.png" ContentType="image/png"/>
  <Override PartName="/word/media/rId98.png" ContentType="image/png"/>
  <Override PartName="/word/media/rId101.png" ContentType="image/png"/>
  <Override PartName="/word/media/rId1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carbamazepine</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https://github.com/Open-Systems-Pharmacology/Carbamazepine-Model/releases/tag/v1.0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stored</w:t>
      </w:r>
      <w:r>
        <w:t xml:space="preserve"> </w:t>
      </w:r>
      <w:r>
        <w:t xml:space="preserve">at:</w:t>
      </w:r>
    </w:p>
    <w:p>
      <w:pPr>
        <w:pStyle w:val="Abstract"/>
      </w:pPr>
      <w:hyperlink r:id="rId20">
        <w:r>
          <w:rPr>
            <w:rStyle w:val="Hyperlink"/>
          </w:rPr>
          <w:t xml:space="preserve">https://github.com/Open-Systems-Pharmacology/OSP-PBPK-Model-Library</w:t>
        </w:r>
      </w:hyperlink>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t xml:space="preserve">Introduction</w:t>
      </w:r>
      <w:bookmarkStart w:id="introduction" w:name="introduction"/>
      <w:bookmarkEnd w:id="introduction"/>
    </w:p>
    <w:p>
      <w:pPr>
        <w:pStyle w:val="FirstParagraph"/>
      </w:pPr>
      <w:r>
        <w:t xml:space="preserve">Carbamazepine, sold under the trade name Tegretol</w:t>
      </w:r>
      <w:r>
        <w:rPr>
          <w:vertAlign w:val="superscript"/>
        </w:rPr>
        <w:t xml:space="preserve">®</w:t>
      </w:r>
      <w:r>
        <w:t xml:space="preserve"> </w:t>
      </w:r>
      <w:r>
        <w:t xml:space="preserve">among others, is an anticonvulsant medication used primarily to treat epilepsy and neuropathic pain. Other indications include schizophrenia where it is used as an adjunctive treatment along with other medications, and bipolar disorder where it is used as a second-line agent. Carbamazepine is typically taken by mouth on empty stomach or together with meals, depending on the administered formulation.</w:t>
      </w:r>
    </w:p>
    <w:p>
      <w:pPr>
        <w:pStyle w:val="BodyText"/>
      </w:pPr>
      <w:r>
        <w:t xml:space="preserve">Carbamazepine is extensively metabolized by various enzymes including CYP2B6, 2C8, 3A4, and UGT2B7 (</w:t>
      </w:r>
      <w:hyperlink w:anchor="Xa559bd5247f9128e74e6edcc17de37648e8cde6">
        <w:r>
          <w:rPr>
            <w:rStyle w:val="Hyperlink"/>
          </w:rPr>
          <w:t xml:space="preserve">Kerr 1994</w:t>
        </w:r>
      </w:hyperlink>
      <w:r>
        <w:t xml:space="preserve">,</w:t>
      </w:r>
      <w:r>
        <w:t xml:space="preserve"> </w:t>
      </w:r>
      <w:hyperlink w:anchor="Xa559bd5247f9128e74e6edcc17de37648e8cde6">
        <w:r>
          <w:rPr>
            <w:rStyle w:val="Hyperlink"/>
          </w:rPr>
          <w:t xml:space="preserve">Pelkonen 2001</w:t>
        </w:r>
      </w:hyperlink>
      <w:r>
        <w:t xml:space="preserve">,</w:t>
      </w:r>
      <w:r>
        <w:t xml:space="preserve"> </w:t>
      </w:r>
      <w:hyperlink w:anchor="Xa559bd5247f9128e74e6edcc17de37648e8cde6">
        <w:r>
          <w:rPr>
            <w:rStyle w:val="Hyperlink"/>
          </w:rPr>
          <w:t xml:space="preserve">Staines 2004</w:t>
        </w:r>
      </w:hyperlink>
      <w:r>
        <w:t xml:space="preserve">). Following oral administration the major dose fraction is metabolized to carbamazepine-10,11-epoxide (</w:t>
      </w:r>
      <w:hyperlink w:anchor="Xa559bd5247f9128e74e6edcc17de37648e8cde6">
        <w:r>
          <w:rPr>
            <w:rStyle w:val="Hyperlink"/>
          </w:rPr>
          <w:t xml:space="preserve">Eichelbaum 1985</w:t>
        </w:r>
      </w:hyperlink>
      <w:r>
        <w:t xml:space="preserve">,</w:t>
      </w:r>
      <w:r>
        <w:t xml:space="preserve"> </w:t>
      </w:r>
      <w:hyperlink w:anchor="Xa559bd5247f9128e74e6edcc17de37648e8cde6">
        <w:r>
          <w:rPr>
            <w:rStyle w:val="Hyperlink"/>
          </w:rPr>
          <w:t xml:space="preserve">Tomson 1983</w:t>
        </w:r>
      </w:hyperlink>
      <w:r>
        <w:t xml:space="preserve">). This reaction is mainly catalyzed by CYP3A4, with some contribution from CYP2C8 (</w:t>
      </w:r>
      <w:hyperlink w:anchor="Xa559bd5247f9128e74e6edcc17de37648e8cde6">
        <w:r>
          <w:rPr>
            <w:rStyle w:val="Hyperlink"/>
          </w:rPr>
          <w:t xml:space="preserve">Kerr 1994</w:t>
        </w:r>
      </w:hyperlink>
      <w:r>
        <w:t xml:space="preserve">). After oral administration, a minor fraction of the dose (approximately 1 - 3%) is excreted unchanged in urine (</w:t>
      </w:r>
      <w:hyperlink w:anchor="Xa559bd5247f9128e74e6edcc17de37648e8cde6">
        <w:r>
          <w:rPr>
            <w:rStyle w:val="Hyperlink"/>
          </w:rPr>
          <w:t xml:space="preserve">Bernus 1994</w:t>
        </w:r>
      </w:hyperlink>
      <w:r>
        <w:t xml:space="preserve">,</w:t>
      </w:r>
      <w:r>
        <w:t xml:space="preserve"> </w:t>
      </w:r>
      <w:hyperlink w:anchor="Xa559bd5247f9128e74e6edcc17de37648e8cde6">
        <w:r>
          <w:rPr>
            <w:rStyle w:val="Hyperlink"/>
          </w:rPr>
          <w:t xml:space="preserve">Morselli 1975</w:t>
        </w:r>
      </w:hyperlink>
      <w:r>
        <w:t xml:space="preserve">), while approximately 1% of the dose can be recovered as unchanged drug in the bile (</w:t>
      </w:r>
      <w:hyperlink w:anchor="Xa559bd5247f9128e74e6edcc17de37648e8cde6">
        <w:r>
          <w:rPr>
            <w:rStyle w:val="Hyperlink"/>
          </w:rPr>
          <w:t xml:space="preserve">Terhaag 1978</w:t>
        </w:r>
      </w:hyperlink>
      <w:r>
        <w:t xml:space="preserve">).</w:t>
      </w:r>
    </w:p>
    <w:p>
      <w:pPr>
        <w:pStyle w:val="BodyText"/>
      </w:pPr>
      <w:r>
        <w:t xml:space="preserve">Carbamazepine is classified by the U.S. Food and Drug Administration (FDA) as a strong CYP3A4 and CYP2B6 inducer and hence induces its own metabolism.</w:t>
      </w:r>
    </w:p>
    <w:p>
      <w:pPr>
        <w:pStyle w:val="BodyText"/>
      </w:pPr>
      <w:r>
        <w:t xml:space="preserve">The herein presented model was developed independently of the model reported by Fuhr et al. (</w:t>
      </w:r>
      <w:hyperlink w:anchor="Xa559bd5247f9128e74e6edcc17de37648e8cde6">
        <w:r>
          <w:rPr>
            <w:rStyle w:val="Hyperlink"/>
          </w:rPr>
          <w:t xml:space="preserve">Fuhr 2021</w:t>
        </w:r>
      </w:hyperlink>
      <w:r>
        <w:t xml:space="preserve">). The main difference between the two models pertains to the metabolite carbamazepine-10,11-epoxide, which is included as separate compound in the model by Fuhr et al. (</w:t>
      </w:r>
      <w:hyperlink w:anchor="Xa559bd5247f9128e74e6edcc17de37648e8cde6">
        <w:r>
          <w:rPr>
            <w:rStyle w:val="Hyperlink"/>
          </w:rPr>
          <w:t xml:space="preserve">Fuhr 2021</w:t>
        </w:r>
      </w:hyperlink>
      <w:r>
        <w:t xml:space="preserve">), but not modeled in the herein presented model. Another structural model differences concerns the enzymatic elimination pathways of carbamazepine; the model by Fuhr et al. (</w:t>
      </w:r>
      <w:hyperlink w:anchor="Xa559bd5247f9128e74e6edcc17de37648e8cde6">
        <w:r>
          <w:rPr>
            <w:rStyle w:val="Hyperlink"/>
          </w:rPr>
          <w:t xml:space="preserve">Fuhr 2021</w:t>
        </w:r>
      </w:hyperlink>
      <w:r>
        <w:t xml:space="preserve">) includes five different metabolism pathways, whereas the herein presented model includes three different metabolism pathways. Additionally, the parameterization of CYP2B6 and 3A4 induction differs between the two models.</w:t>
      </w:r>
    </w:p>
    <w:bookmarkEnd w:id="21"/>
    <w:bookmarkStart w:id="34" w:name="methods"/>
    <w:p>
      <w:pPr>
        <w:pStyle w:val="Heading1"/>
      </w:pPr>
      <w:r>
        <w:t xml:space="preserve">Methods</w:t>
      </w:r>
      <w:bookmarkStart w:id="methods" w:name="methods"/>
      <w:bookmarkEnd w:id="methods"/>
    </w:p>
    <w:bookmarkStart w:id="22" w:name="modeling-strategy"/>
    <w:p>
      <w:pPr>
        <w:pStyle w:val="Heading2"/>
      </w:pPr>
      <w:r>
        <w:t xml:space="preserve">Modeling Strategy</w:t>
      </w:r>
      <w:bookmarkStart w:id="modeling-strategy" w:name="modeling-strategy"/>
      <w:bookmarkEnd w:id="modeling-strategy"/>
    </w:p>
    <w:p>
      <w:pPr>
        <w:pStyle w:val="FirstParagraph"/>
      </w:pPr>
      <w:r>
        <w:t xml:space="preserve">The general workflow for building an adult PBPK model has been described by Kuepfer et al. (</w:t>
      </w:r>
      <w:hyperlink w:anchor="Xa559bd5247f9128e74e6edcc17de37648e8cde6">
        <w:r>
          <w:rPr>
            <w:rStyle w:val="Hyperlink"/>
          </w:rPr>
          <w:t xml:space="preserve">Kuepfer 2016</w:t>
        </w:r>
      </w:hyperlink>
      <w:r>
        <w:t xml:space="preserve">). Relevant information on the anthropometry (height, weight) was gathered from the respective clinical study, if reported. Information on physiological parameters (e.g. blood flows, organ volumes, hematocrit) in adults was gathered from the literature and has been incorporated in PK-Sim</w:t>
      </w:r>
      <w:r>
        <w:rPr>
          <w:vertAlign w:val="superscript"/>
        </w:rPr>
        <w:t xml:space="preserve">®</w:t>
      </w:r>
      <w:r>
        <w:t xml:space="preserve">) as described previously (</w:t>
      </w:r>
      <w:hyperlink w:anchor="Xa559bd5247f9128e74e6edcc17de37648e8cde6">
        <w:r>
          <w:rPr>
            <w:rStyle w:val="Hyperlink"/>
          </w:rPr>
          <w:t xml:space="preserve">Willmann 2007</w:t>
        </w:r>
      </w:hyperlink>
      <w:r>
        <w:t xml:space="preserve">). The applied activity and variability of plasma proteins and active processes that are integrated into PK-Sim</w:t>
      </w:r>
      <w:r>
        <w:rPr>
          <w:vertAlign w:val="superscript"/>
        </w:rPr>
        <w:t xml:space="preserve">®</w:t>
      </w:r>
      <w:r>
        <w:t xml:space="preserve"> </w:t>
      </w:r>
      <w:r>
        <w:t xml:space="preserve">are described in the publicly available</w:t>
      </w:r>
      <w:r>
        <w:t xml:space="preserve"> </w:t>
      </w:r>
      <w:r>
        <w:t xml:space="preserve">‘</w:t>
      </w:r>
      <w:r>
        <w:t xml:space="preserve">PK-Sim</w:t>
      </w:r>
      <w:r>
        <w:rPr>
          <w:vertAlign w:val="superscript"/>
        </w:rPr>
        <w:t xml:space="preserve">®</w:t>
      </w:r>
      <w:r>
        <w:t xml:space="preserve"> </w:t>
      </w:r>
      <w:r>
        <w:t xml:space="preserve">Ontogeny Database Version 7.3</w:t>
      </w:r>
      <w:r>
        <w:t xml:space="preserve">’</w:t>
      </w:r>
      <w:r>
        <w:t xml:space="preserve"> </w:t>
      </w:r>
      <w:r>
        <w:t xml:space="preserve">(</w:t>
      </w:r>
      <w:hyperlink w:anchor="Xa559bd5247f9128e74e6edcc17de37648e8cde6">
        <w:r>
          <w:rPr>
            <w:rStyle w:val="Hyperlink"/>
          </w:rPr>
          <w:t xml:space="preserve">PK-Sim Ontogeny Database Version 7.3</w:t>
        </w:r>
      </w:hyperlink>
      <w:r>
        <w:t xml:space="preserve">).</w:t>
      </w:r>
    </w:p>
    <w:p>
      <w:pPr>
        <w:pStyle w:val="BodyText"/>
      </w:pPr>
      <w:r>
        <w:t xml:space="preserve">The PBPK model was developed based on publicly available pharmacokinetic data of adult healthy subjects covering a carbamazepine dose range from 10 to 800 mg following intravenous administration or oral administration as liquid oral dosage form, immediate release (IR) tablet or extended release (XR) formulations in the fasted state. The carbamazepine PBPK model includes metabolism by CYP2B6, CYP3A4, and UGT2B7, unchanged renal excretion, and induction of CYP2B6 and 3A4 by carbamazepine. Pharmacokinetics of carbamazepine following administration in the fed state was not considered in the herein presented model. Furthermore, the metabolite carbamazepine-10,11-epoxide was not modeled as separate compound.</w:t>
      </w:r>
    </w:p>
    <w:p>
      <w:pPr>
        <w:pStyle w:val="BodyText"/>
      </w:pPr>
      <w:r>
        <w:t xml:space="preserve">Unknown parameters (see below) were identified using the Parameter Identification module provided in PK-Sim</w:t>
      </w:r>
      <w:r>
        <w:rPr>
          <w:vertAlign w:val="superscript"/>
        </w:rPr>
        <w:t xml:space="preserve">®</w:t>
      </w:r>
      <w:r>
        <w:t xml:space="preserve">. Structural model selection was mainly guided by visual inspection of the resulting description of data and biological plausibility. Several parameter identifications were conducted to optimize unknown parameters. In a first step, lipophilicity and enzymatic clearances (catalyzed by CYP3A4, CYP2B6 and UGT2B7) were optimized using observed plasma concentration-time profile data following administration of carbamazepine intravenously or orally as syrup. In a second parameter identification, enzymatic clearances were refined and optimized together with the glomerular filtration rate fraction of carbamazepine and the dissolution kinetics of the IR tablet using observed plasma concentration-time profiles and the dose fraction excreted unchanged in urine after single dose administration of various doses as IR tablet. Subsequently, the EC</w:t>
      </w:r>
      <w:r>
        <w:rPr>
          <w:vertAlign w:val="subscript"/>
        </w:rPr>
        <w:t xml:space="preserve">50</w:t>
      </w:r>
      <w:r>
        <w:t xml:space="preserve"> </w:t>
      </w:r>
      <w:r>
        <w:t xml:space="preserve">value of CYP3A4 induction was optimized using observed plasma concentration-time profile data after multiple dose administration of carbamazepine. In a final parameter identification, the dissolution kinetics and carbamazepine solubility of XR formulations were optimized.</w:t>
      </w:r>
    </w:p>
    <w:p>
      <w:pPr>
        <w:pStyle w:val="BodyText"/>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2"/>
    <w:bookmarkStart w:id="25" w:name="data"/>
    <w:p>
      <w:pPr>
        <w:pStyle w:val="Heading2"/>
      </w:pPr>
      <w:r>
        <w:t xml:space="preserve">Data</w:t>
      </w:r>
      <w:bookmarkStart w:id="data" w:name="data"/>
      <w:bookmarkEnd w:id="data"/>
    </w:p>
    <w:bookmarkStart w:id="23" w:name="in-vitro-physicochemical-data"/>
    <w:p>
      <w:pPr>
        <w:pStyle w:val="Heading3"/>
      </w:pPr>
      <w:r>
        <w:t xml:space="preserve">2.2.1 In vitro / physicochemical Data</w:t>
      </w:r>
    </w:p>
    <w:p>
      <w:pPr>
        <w:pStyle w:val="FirstParagraph"/>
      </w:pPr>
      <w:r>
        <w:t xml:space="preserve">A literature search was performed to collect available information on physicochemical properties of carbamazepine. The information is summarized in the table below.</w:t>
      </w:r>
    </w:p>
    <w:tbl>
      <w:tblPr>
        <w:tblStyle w:val="Table"/>
        <w:tblW w:type="pct" w:w="5000"/>
        <w:tblLook w:firstRow="1" w:lastRow="0" w:firstColumn="0" w:lastColumn="0" w:noHBand="0" w:noVBand="0" w:val="0020"/>
        <w:jc w:val="start"/>
      </w:tblPr>
      <w:tblGrid>
        <w:gridCol w:w="1673"/>
        <w:gridCol w:w="979"/>
        <w:gridCol w:w="1673"/>
        <w:gridCol w:w="1347"/>
        <w:gridCol w:w="2245"/>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236.27</w:t>
            </w:r>
          </w:p>
        </w:tc>
        <w:tc>
          <w:tcPr/>
          <w:p>
            <w:pPr>
              <w:pStyle w:val="Compact"/>
              <w:jc w:val="left"/>
            </w:pPr>
            <w:hyperlink w:anchor="Xa559bd5247f9128e74e6edcc17de37648e8cde6">
              <w:r>
                <w:rPr>
                  <w:rStyle w:val="Hyperlink"/>
                </w:rPr>
                <w:t xml:space="preserve">DrugBank DB00564</w:t>
              </w:r>
            </w:hyperlink>
          </w:p>
        </w:tc>
        <w:tc>
          <w:tcPr/>
          <w:p>
            <w:pPr>
              <w:pStyle w:val="Compact"/>
              <w:jc w:val="left"/>
            </w:pPr>
            <w:r>
              <w:t xml:space="preserve">Molecular weight</w:t>
            </w:r>
          </w:p>
        </w:tc>
      </w:tr>
      <w:tr>
        <w:tc>
          <w:tcPr/>
          <w:p>
            <w:pPr>
              <w:pStyle w:val="Compact"/>
              <w:jc w:val="left"/>
            </w:pPr>
            <w:r>
              <w:t xml:space="preserve">logP (calculated)</w:t>
            </w:r>
          </w:p>
        </w:tc>
        <w:tc>
          <w:tcPr/>
          <w:p>
            <w:pPr>
              <w:pStyle w:val="Compact"/>
            </w:pPr>
          </w:p>
        </w:tc>
        <w:tc>
          <w:tcPr/>
          <w:p>
            <w:pPr>
              <w:pStyle w:val="Compact"/>
              <w:jc w:val="left"/>
            </w:pPr>
            <w:r>
              <w:t xml:space="preserve">1.54</w:t>
            </w:r>
          </w:p>
        </w:tc>
        <w:tc>
          <w:tcPr/>
          <w:p>
            <w:pPr>
              <w:pStyle w:val="Compact"/>
              <w:jc w:val="left"/>
            </w:pPr>
            <w:hyperlink w:anchor="Xa559bd5247f9128e74e6edcc17de37648e8cde6">
              <w:r>
                <w:rPr>
                  <w:rStyle w:val="Hyperlink"/>
                </w:rPr>
                <w:t xml:space="preserve">Austin 2002</w:t>
              </w:r>
            </w:hyperlink>
          </w:p>
        </w:tc>
        <w:tc>
          <w:tcPr/>
          <w:p>
            <w:pPr>
              <w:pStyle w:val="Compact"/>
              <w:jc w:val="left"/>
            </w:pPr>
            <w:r>
              <w:t xml:space="preserve">Partition coefficient between octanol and water</w:t>
            </w:r>
          </w:p>
        </w:tc>
      </w:tr>
      <w:tr>
        <w:tc>
          <w:tcPr/>
          <w:p>
            <w:pPr>
              <w:pStyle w:val="Compact"/>
              <w:jc w:val="left"/>
            </w:pPr>
            <w:r>
              <w:t xml:space="preserve">logP (calculated)</w:t>
            </w:r>
          </w:p>
        </w:tc>
        <w:tc>
          <w:tcPr/>
          <w:p>
            <w:pPr>
              <w:pStyle w:val="Compact"/>
            </w:pPr>
          </w:p>
        </w:tc>
        <w:tc>
          <w:tcPr/>
          <w:p>
            <w:pPr>
              <w:pStyle w:val="Compact"/>
              <w:jc w:val="left"/>
            </w:pPr>
            <w:r>
              <w:t xml:space="preserve">2.1</w:t>
            </w:r>
          </w:p>
        </w:tc>
        <w:tc>
          <w:tcPr/>
          <w:p>
            <w:pPr>
              <w:pStyle w:val="Compact"/>
              <w:jc w:val="left"/>
            </w:pPr>
            <w:hyperlink w:anchor="Xa559bd5247f9128e74e6edcc17de37648e8cde6">
              <w:r>
                <w:rPr>
                  <w:rStyle w:val="Hyperlink"/>
                </w:rPr>
                <w:t xml:space="preserve">DrugBank DB00564</w:t>
              </w:r>
            </w:hyperlink>
          </w:p>
        </w:tc>
        <w:tc>
          <w:tcPr/>
          <w:p>
            <w:pPr>
              <w:pStyle w:val="Compact"/>
              <w:jc w:val="left"/>
            </w:pPr>
            <w:r>
              <w:t xml:space="preserve">Partition coefficient between octanol and water</w:t>
            </w:r>
          </w:p>
        </w:tc>
      </w:tr>
      <w:tr>
        <w:tc>
          <w:tcPr/>
          <w:p>
            <w:pPr>
              <w:pStyle w:val="Compact"/>
              <w:jc w:val="left"/>
            </w:pPr>
            <w:r>
              <w:t xml:space="preserve">logP (calculated)</w:t>
            </w:r>
          </w:p>
        </w:tc>
        <w:tc>
          <w:tcPr/>
          <w:p>
            <w:pPr>
              <w:pStyle w:val="Compact"/>
            </w:pPr>
          </w:p>
        </w:tc>
        <w:tc>
          <w:tcPr/>
          <w:p>
            <w:pPr>
              <w:pStyle w:val="Compact"/>
              <w:jc w:val="left"/>
            </w:pPr>
            <w:r>
              <w:t xml:space="preserve">2.45</w:t>
            </w:r>
          </w:p>
        </w:tc>
        <w:tc>
          <w:tcPr/>
          <w:p>
            <w:pPr>
              <w:pStyle w:val="Compact"/>
              <w:jc w:val="left"/>
            </w:pPr>
            <w:hyperlink w:anchor="Xa559bd5247f9128e74e6edcc17de37648e8cde6">
              <w:r>
                <w:rPr>
                  <w:rStyle w:val="Hyperlink"/>
                </w:rPr>
                <w:t xml:space="preserve">Fenet 2012</w:t>
              </w:r>
            </w:hyperlink>
          </w:p>
        </w:tc>
        <w:tc>
          <w:tcPr/>
          <w:p>
            <w:pPr>
              <w:pStyle w:val="Compact"/>
              <w:jc w:val="left"/>
            </w:pPr>
            <w:r>
              <w:t xml:space="preserve">Partition coefficient between octanol and water</w:t>
            </w:r>
          </w:p>
        </w:tc>
      </w:tr>
      <w:tr>
        <w:tc>
          <w:tcPr/>
          <w:p>
            <w:pPr>
              <w:pStyle w:val="Compact"/>
              <w:jc w:val="left"/>
            </w:pPr>
            <w:r>
              <w:t xml:space="preserve">logP (calculated)</w:t>
            </w:r>
          </w:p>
        </w:tc>
        <w:tc>
          <w:tcPr/>
          <w:p>
            <w:pPr>
              <w:pStyle w:val="Compact"/>
            </w:pPr>
          </w:p>
        </w:tc>
        <w:tc>
          <w:tcPr/>
          <w:p>
            <w:pPr>
              <w:pStyle w:val="Compact"/>
              <w:jc w:val="left"/>
            </w:pPr>
            <w:r>
              <w:t xml:space="preserve">2.77</w:t>
            </w:r>
          </w:p>
        </w:tc>
        <w:tc>
          <w:tcPr/>
          <w:p>
            <w:pPr>
              <w:pStyle w:val="Compact"/>
              <w:jc w:val="left"/>
            </w:pPr>
            <w:hyperlink w:anchor="Xa559bd5247f9128e74e6edcc17de37648e8cde6">
              <w:r>
                <w:rPr>
                  <w:rStyle w:val="Hyperlink"/>
                </w:rPr>
                <w:t xml:space="preserve">DrugBank DB00564</w:t>
              </w:r>
            </w:hyperlink>
          </w:p>
        </w:tc>
        <w:tc>
          <w:tcPr/>
          <w:p>
            <w:pPr>
              <w:pStyle w:val="Compact"/>
              <w:jc w:val="left"/>
            </w:pPr>
            <w:r>
              <w:t xml:space="preserve">Partition coefficient between octanol and water</w:t>
            </w:r>
          </w:p>
        </w:tc>
      </w:tr>
      <w:tr>
        <w:tc>
          <w:tcPr/>
          <w:p>
            <w:pPr>
              <w:pStyle w:val="Compact"/>
              <w:jc w:val="left"/>
            </w:pPr>
            <w:r>
              <w:t xml:space="preserve">Solubility (pH)</w:t>
            </w:r>
          </w:p>
        </w:tc>
        <w:tc>
          <w:tcPr/>
          <w:p>
            <w:pPr>
              <w:pStyle w:val="Compact"/>
              <w:jc w:val="left"/>
            </w:pPr>
            <w:r>
              <w:t xml:space="preserve">µg/mL</w:t>
            </w:r>
          </w:p>
        </w:tc>
        <w:tc>
          <w:tcPr/>
          <w:p>
            <w:pPr>
              <w:pStyle w:val="Compact"/>
              <w:jc w:val="left"/>
            </w:pPr>
            <w:r>
              <w:t xml:space="preserve">336 (6.2)</w:t>
            </w:r>
          </w:p>
        </w:tc>
        <w:tc>
          <w:tcPr/>
          <w:p>
            <w:pPr>
              <w:pStyle w:val="Compact"/>
              <w:jc w:val="left"/>
            </w:pPr>
            <w:hyperlink w:anchor="Xa559bd5247f9128e74e6edcc17de37648e8cde6">
              <w:r>
                <w:rPr>
                  <w:rStyle w:val="Hyperlink"/>
                </w:rPr>
                <w:t xml:space="preserve">Annaert 2010</w:t>
              </w:r>
            </w:hyperlink>
          </w:p>
        </w:tc>
        <w:tc>
          <w:tcPr/>
          <w:p>
            <w:pPr>
              <w:pStyle w:val="Compact"/>
              <w:jc w:val="left"/>
            </w:pPr>
            <w:r>
              <w:t xml:space="preserve">Solubility in human intestinal fluid</w:t>
            </w:r>
          </w:p>
        </w:tc>
      </w:tr>
      <w:tr>
        <w:tc>
          <w:tcPr/>
          <w:p>
            <w:pPr>
              <w:pStyle w:val="Compact"/>
              <w:jc w:val="left"/>
            </w:pPr>
            <w:r>
              <w:t xml:space="preserve">Solubility (pH)</w:t>
            </w:r>
          </w:p>
        </w:tc>
        <w:tc>
          <w:tcPr/>
          <w:p>
            <w:pPr>
              <w:pStyle w:val="Compact"/>
              <w:jc w:val="left"/>
            </w:pPr>
            <w:r>
              <w:t xml:space="preserve">µg/mL</w:t>
            </w:r>
          </w:p>
        </w:tc>
        <w:tc>
          <w:tcPr/>
          <w:p>
            <w:pPr>
              <w:pStyle w:val="Compact"/>
              <w:jc w:val="left"/>
            </w:pPr>
            <w:r>
              <w:t xml:space="preserve">283 (7.0)</w:t>
            </w:r>
          </w:p>
        </w:tc>
        <w:tc>
          <w:tcPr/>
          <w:p>
            <w:pPr>
              <w:pStyle w:val="Compact"/>
              <w:jc w:val="left"/>
            </w:pPr>
            <w:hyperlink w:anchor="Xa559bd5247f9128e74e6edcc17de37648e8cde6">
              <w:r>
                <w:rPr>
                  <w:rStyle w:val="Hyperlink"/>
                </w:rPr>
                <w:t xml:space="preserve">Söderlind 2010</w:t>
              </w:r>
            </w:hyperlink>
          </w:p>
        </w:tc>
        <w:tc>
          <w:tcPr/>
          <w:p>
            <w:pPr>
              <w:pStyle w:val="Compact"/>
              <w:jc w:val="left"/>
            </w:pPr>
            <w:r>
              <w:t xml:space="preserve">Solubility in human intestinal fluid</w:t>
            </w:r>
          </w:p>
        </w:tc>
      </w:tr>
      <w:tr>
        <w:tc>
          <w:tcPr/>
          <w:p>
            <w:pPr>
              <w:pStyle w:val="Compact"/>
              <w:jc w:val="left"/>
            </w:pPr>
            <w:r>
              <w:t xml:space="preserve">Solubility (pH)</w:t>
            </w:r>
          </w:p>
        </w:tc>
        <w:tc>
          <w:tcPr/>
          <w:p>
            <w:pPr>
              <w:pStyle w:val="Compact"/>
              <w:jc w:val="left"/>
            </w:pPr>
            <w:r>
              <w:t xml:space="preserve">µg/mL</w:t>
            </w:r>
          </w:p>
        </w:tc>
        <w:tc>
          <w:tcPr/>
          <w:p>
            <w:pPr>
              <w:pStyle w:val="Compact"/>
              <w:jc w:val="left"/>
            </w:pPr>
            <w:r>
              <w:t xml:space="preserve">306 (6.9)</w:t>
            </w:r>
          </w:p>
        </w:tc>
        <w:tc>
          <w:tcPr/>
          <w:p>
            <w:pPr>
              <w:pStyle w:val="Compact"/>
              <w:jc w:val="left"/>
            </w:pPr>
            <w:hyperlink w:anchor="Xa559bd5247f9128e74e6edcc17de37648e8cde6">
              <w:r>
                <w:rPr>
                  <w:rStyle w:val="Hyperlink"/>
                </w:rPr>
                <w:t xml:space="preserve">Clarysse 2011</w:t>
              </w:r>
            </w:hyperlink>
          </w:p>
        </w:tc>
        <w:tc>
          <w:tcPr/>
          <w:p>
            <w:pPr>
              <w:pStyle w:val="Compact"/>
              <w:jc w:val="left"/>
            </w:pPr>
            <w:r>
              <w:t xml:space="preserve">Solubility in fasted human intestinal fluid</w:t>
            </w:r>
          </w:p>
        </w:tc>
      </w:tr>
      <w:tr>
        <w:tc>
          <w:tcPr/>
          <w:p>
            <w:pPr>
              <w:pStyle w:val="Compact"/>
              <w:jc w:val="left"/>
            </w:pPr>
            <w:r>
              <w:t xml:space="preserve">f</w:t>
            </w:r>
            <w:r>
              <w:rPr>
                <w:vertAlign w:val="subscript"/>
              </w:rPr>
              <w:t xml:space="preserve">u</w:t>
            </w:r>
          </w:p>
        </w:tc>
        <w:tc>
          <w:tcPr/>
          <w:p>
            <w:pPr>
              <w:pStyle w:val="Compact"/>
            </w:pPr>
          </w:p>
        </w:tc>
        <w:tc>
          <w:tcPr/>
          <w:p>
            <w:pPr>
              <w:pStyle w:val="Compact"/>
              <w:jc w:val="left"/>
            </w:pPr>
            <w:r>
              <w:t xml:space="preserve">0.25</w:t>
            </w:r>
          </w:p>
        </w:tc>
        <w:tc>
          <w:tcPr/>
          <w:p>
            <w:pPr>
              <w:pStyle w:val="Compact"/>
              <w:jc w:val="left"/>
            </w:pPr>
            <w:hyperlink w:anchor="Xa559bd5247f9128e74e6edcc17de37648e8cde6">
              <w:r>
                <w:rPr>
                  <w:rStyle w:val="Hyperlink"/>
                </w:rPr>
                <w:t xml:space="preserve">Pynnönen 1977</w:t>
              </w:r>
            </w:hyperlink>
          </w:p>
        </w:tc>
        <w:tc>
          <w:tcPr/>
          <w:p>
            <w:pPr>
              <w:pStyle w:val="Compact"/>
              <w:jc w:val="left"/>
            </w:pPr>
            <w:r>
              <w:t xml:space="preserve">Fraction unbound in plasma of healthy subjects</w:t>
            </w:r>
          </w:p>
        </w:tc>
      </w:tr>
      <w:tr>
        <w:tc>
          <w:tcPr/>
          <w:p>
            <w:pPr>
              <w:pStyle w:val="Compact"/>
              <w:jc w:val="left"/>
            </w:pPr>
            <w:r>
              <w:t xml:space="preserve">f</w:t>
            </w:r>
            <w:r>
              <w:rPr>
                <w:vertAlign w:val="subscript"/>
              </w:rPr>
              <w:t xml:space="preserve">u</w:t>
            </w:r>
          </w:p>
        </w:tc>
        <w:tc>
          <w:tcPr/>
          <w:p>
            <w:pPr>
              <w:pStyle w:val="Compact"/>
            </w:pPr>
          </w:p>
        </w:tc>
        <w:tc>
          <w:tcPr/>
          <w:p>
            <w:pPr>
              <w:pStyle w:val="Compact"/>
              <w:jc w:val="left"/>
            </w:pPr>
            <w:r>
              <w:t xml:space="preserve">0.243 ± 0.013 [0.225 - 0.258]</w:t>
            </w:r>
            <w:r>
              <w:rPr>
                <w:vertAlign w:val="superscript"/>
              </w:rPr>
              <w:t xml:space="preserve">a</w:t>
            </w:r>
          </w:p>
        </w:tc>
        <w:tc>
          <w:tcPr/>
          <w:p>
            <w:pPr>
              <w:pStyle w:val="Compact"/>
              <w:jc w:val="left"/>
            </w:pPr>
            <w:hyperlink w:anchor="Xa559bd5247f9128e74e6edcc17de37648e8cde6">
              <w:r>
                <w:rPr>
                  <w:rStyle w:val="Hyperlink"/>
                </w:rPr>
                <w:t xml:space="preserve">Morselli 1975</w:t>
              </w:r>
            </w:hyperlink>
          </w:p>
        </w:tc>
        <w:tc>
          <w:tcPr/>
          <w:p>
            <w:pPr>
              <w:pStyle w:val="Compact"/>
              <w:jc w:val="left"/>
            </w:pPr>
            <w:r>
              <w:t xml:space="preserve">Fraction unbound in plasma of healthy male subjects</w:t>
            </w:r>
          </w:p>
        </w:tc>
      </w:tr>
      <w:tr>
        <w:tc>
          <w:tcPr/>
          <w:p>
            <w:pPr>
              <w:pStyle w:val="Compact"/>
              <w:jc w:val="left"/>
            </w:pPr>
            <w:r>
              <w:t xml:space="preserve">f</w:t>
            </w:r>
            <w:r>
              <w:rPr>
                <w:vertAlign w:val="subscript"/>
              </w:rPr>
              <w:t xml:space="preserve">u</w:t>
            </w:r>
          </w:p>
        </w:tc>
        <w:tc>
          <w:tcPr/>
          <w:p>
            <w:pPr>
              <w:pStyle w:val="Compact"/>
            </w:pPr>
          </w:p>
        </w:tc>
        <w:tc>
          <w:tcPr/>
          <w:p>
            <w:pPr>
              <w:pStyle w:val="Compact"/>
              <w:jc w:val="left"/>
            </w:pPr>
            <w:r>
              <w:t xml:space="preserve">0.239</w:t>
            </w:r>
          </w:p>
        </w:tc>
        <w:tc>
          <w:tcPr/>
          <w:p>
            <w:pPr>
              <w:pStyle w:val="Compact"/>
              <w:jc w:val="left"/>
            </w:pPr>
            <w:hyperlink w:anchor="Xa559bd5247f9128e74e6edcc17de37648e8cde6">
              <w:r>
                <w:rPr>
                  <w:rStyle w:val="Hyperlink"/>
                </w:rPr>
                <w:t xml:space="preserve">Di Salle 1974</w:t>
              </w:r>
            </w:hyperlink>
          </w:p>
        </w:tc>
        <w:tc>
          <w:tcPr/>
          <w:p>
            <w:pPr>
              <w:pStyle w:val="Compact"/>
              <w:jc w:val="left"/>
            </w:pPr>
            <w:r>
              <w:t xml:space="preserve">Fraction unbound in plasma of normal subjects</w:t>
            </w:r>
          </w:p>
        </w:tc>
      </w:tr>
      <w:tr>
        <w:tc>
          <w:tcPr/>
          <w:p>
            <w:pPr>
              <w:pStyle w:val="Compact"/>
              <w:jc w:val="left"/>
            </w:pPr>
            <w:r>
              <w:t xml:space="preserve">f</w:t>
            </w:r>
            <w:r>
              <w:rPr>
                <w:vertAlign w:val="subscript"/>
              </w:rPr>
              <w:t xml:space="preserve">u</w:t>
            </w:r>
          </w:p>
        </w:tc>
        <w:tc>
          <w:tcPr/>
          <w:p>
            <w:pPr>
              <w:pStyle w:val="Compact"/>
            </w:pPr>
          </w:p>
        </w:tc>
        <w:tc>
          <w:tcPr/>
          <w:p>
            <w:pPr>
              <w:pStyle w:val="Compact"/>
              <w:jc w:val="left"/>
            </w:pPr>
            <w:r>
              <w:t xml:space="preserve">0.237 ± 0.031</w:t>
            </w:r>
            <w:r>
              <w:rPr>
                <w:vertAlign w:val="superscript"/>
              </w:rPr>
              <w:t xml:space="preserve">b</w:t>
            </w:r>
          </w:p>
        </w:tc>
        <w:tc>
          <w:tcPr/>
          <w:p>
            <w:pPr>
              <w:pStyle w:val="Compact"/>
              <w:jc w:val="left"/>
            </w:pPr>
            <w:hyperlink w:anchor="Xa559bd5247f9128e74e6edcc17de37648e8cde6">
              <w:r>
                <w:rPr>
                  <w:rStyle w:val="Hyperlink"/>
                </w:rPr>
                <w:t xml:space="preserve">Vinçon 1987</w:t>
              </w:r>
            </w:hyperlink>
          </w:p>
        </w:tc>
        <w:tc>
          <w:tcPr/>
          <w:p>
            <w:pPr>
              <w:pStyle w:val="Compact"/>
              <w:jc w:val="left"/>
            </w:pPr>
            <w:r>
              <w:t xml:space="preserve">Fraction unbound in plasma of epileptic patients</w:t>
            </w:r>
          </w:p>
        </w:tc>
      </w:tr>
      <w:tr>
        <w:tc>
          <w:tcPr/>
          <w:p>
            <w:pPr>
              <w:pStyle w:val="Compact"/>
              <w:jc w:val="left"/>
            </w:pPr>
            <w:r>
              <w:t xml:space="preserve">f</w:t>
            </w:r>
            <w:r>
              <w:rPr>
                <w:vertAlign w:val="subscript"/>
              </w:rPr>
              <w:t xml:space="preserve">u</w:t>
            </w:r>
          </w:p>
        </w:tc>
        <w:tc>
          <w:tcPr/>
          <w:p>
            <w:pPr>
              <w:pStyle w:val="Compact"/>
            </w:pPr>
          </w:p>
        </w:tc>
        <w:tc>
          <w:tcPr/>
          <w:p>
            <w:pPr>
              <w:pStyle w:val="Compact"/>
              <w:jc w:val="left"/>
            </w:pPr>
            <w:r>
              <w:t xml:space="preserve">0.182 ± 0.05 [0.103 - 0.297]</w:t>
            </w:r>
            <w:r>
              <w:rPr>
                <w:vertAlign w:val="superscript"/>
              </w:rPr>
              <w:t xml:space="preserve">a</w:t>
            </w:r>
          </w:p>
        </w:tc>
        <w:tc>
          <w:tcPr/>
          <w:p>
            <w:pPr>
              <w:pStyle w:val="Compact"/>
              <w:jc w:val="left"/>
            </w:pPr>
            <w:hyperlink w:anchor="Xa559bd5247f9128e74e6edcc17de37648e8cde6">
              <w:r>
                <w:rPr>
                  <w:rStyle w:val="Hyperlink"/>
                </w:rPr>
                <w:t xml:space="preserve">Hooper 1975</w:t>
              </w:r>
            </w:hyperlink>
          </w:p>
        </w:tc>
        <w:tc>
          <w:tcPr/>
          <w:p>
            <w:pPr>
              <w:pStyle w:val="Compact"/>
              <w:jc w:val="left"/>
            </w:pPr>
            <w:r>
              <w:t xml:space="preserve">Fraction unbound in plasma of normal subjects</w:t>
            </w:r>
          </w:p>
        </w:tc>
      </w:tr>
      <w:tr>
        <w:tc>
          <w:tcPr/>
          <w:p>
            <w:pPr>
              <w:pStyle w:val="Compact"/>
              <w:jc w:val="left"/>
            </w:pPr>
            <w:r>
              <w:t xml:space="preserve">K</w:t>
            </w:r>
            <w:r>
              <w:rPr>
                <w:vertAlign w:val="subscript"/>
              </w:rPr>
              <w:t xml:space="preserve">m</w:t>
            </w:r>
            <w:r>
              <w:t xml:space="preserve"> </w:t>
            </w:r>
            <w:r>
              <w:t xml:space="preserve">CYP2B6</w:t>
            </w:r>
          </w:p>
        </w:tc>
        <w:tc>
          <w:tcPr/>
          <w:p>
            <w:pPr>
              <w:pStyle w:val="Compact"/>
              <w:jc w:val="left"/>
            </w:pPr>
            <w:r>
              <w:t xml:space="preserve">µM</w:t>
            </w:r>
          </w:p>
        </w:tc>
        <w:tc>
          <w:tcPr/>
          <w:p>
            <w:pPr>
              <w:pStyle w:val="Compact"/>
              <w:jc w:val="left"/>
            </w:pPr>
            <w:r>
              <w:t xml:space="preserve">420</w:t>
            </w:r>
          </w:p>
        </w:tc>
        <w:tc>
          <w:tcPr/>
          <w:p>
            <w:pPr>
              <w:pStyle w:val="Compact"/>
              <w:jc w:val="left"/>
            </w:pPr>
            <w:hyperlink w:anchor="Xa559bd5247f9128e74e6edcc17de37648e8cde6">
              <w:r>
                <w:rPr>
                  <w:rStyle w:val="Hyperlink"/>
                </w:rPr>
                <w:t xml:space="preserve">Pearce 2002</w:t>
              </w:r>
            </w:hyperlink>
          </w:p>
        </w:tc>
        <w:tc>
          <w:tcPr/>
          <w:p>
            <w:pPr>
              <w:pStyle w:val="Compact"/>
              <w:jc w:val="left"/>
            </w:pPr>
            <w:r>
              <w:t xml:space="preserve">CYP2B6 Michaelis-Menten constant</w:t>
            </w:r>
          </w:p>
        </w:tc>
      </w:tr>
      <w:tr>
        <w:tc>
          <w:tcPr/>
          <w:p>
            <w:pPr>
              <w:pStyle w:val="Compact"/>
              <w:jc w:val="left"/>
            </w:pPr>
            <w:r>
              <w:t xml:space="preserve">V</w:t>
            </w:r>
            <w:r>
              <w:rPr>
                <w:vertAlign w:val="subscript"/>
              </w:rPr>
              <w:t xml:space="preserve">max</w:t>
            </w:r>
            <w:r>
              <w:t xml:space="preserve"> </w:t>
            </w:r>
            <w:r>
              <w:t xml:space="preserve">CYP2B6</w:t>
            </w:r>
          </w:p>
        </w:tc>
        <w:tc>
          <w:tcPr/>
          <w:p>
            <w:pPr>
              <w:pStyle w:val="Compact"/>
              <w:jc w:val="left"/>
            </w:pPr>
            <w:r>
              <w:t xml:space="preserve">pmol/min/pmol rec enzyme</w:t>
            </w:r>
          </w:p>
        </w:tc>
        <w:tc>
          <w:tcPr/>
          <w:p>
            <w:pPr>
              <w:pStyle w:val="Compact"/>
              <w:jc w:val="left"/>
            </w:pPr>
            <w:r>
              <w:t xml:space="preserve">0.429</w:t>
            </w:r>
          </w:p>
        </w:tc>
        <w:tc>
          <w:tcPr/>
          <w:p>
            <w:pPr>
              <w:pStyle w:val="Compact"/>
              <w:jc w:val="left"/>
            </w:pPr>
            <w:hyperlink w:anchor="Xa559bd5247f9128e74e6edcc17de37648e8cde6">
              <w:r>
                <w:rPr>
                  <w:rStyle w:val="Hyperlink"/>
                </w:rPr>
                <w:t xml:space="preserve">Pearce 2002</w:t>
              </w:r>
            </w:hyperlink>
          </w:p>
        </w:tc>
        <w:tc>
          <w:tcPr/>
          <w:p>
            <w:pPr>
              <w:pStyle w:val="Compact"/>
              <w:jc w:val="left"/>
            </w:pPr>
            <w:r>
              <w:t xml:space="preserve">in vitro metabolic rate constant for recombinant CYP2B6</w:t>
            </w:r>
          </w:p>
        </w:tc>
      </w:tr>
      <w:tr>
        <w:tc>
          <w:tcPr/>
          <w:p>
            <w:pPr>
              <w:pStyle w:val="Compact"/>
              <w:jc w:val="left"/>
            </w:pPr>
            <w:r>
              <w:t xml:space="preserve">K</w:t>
            </w:r>
            <w:r>
              <w:rPr>
                <w:vertAlign w:val="subscript"/>
              </w:rPr>
              <w:t xml:space="preserve">m</w:t>
            </w:r>
            <w:r>
              <w:t xml:space="preserve"> </w:t>
            </w:r>
            <w:r>
              <w:t xml:space="preserve">CYP2C8</w:t>
            </w:r>
          </w:p>
        </w:tc>
        <w:tc>
          <w:tcPr/>
          <w:p>
            <w:pPr>
              <w:pStyle w:val="Compact"/>
              <w:jc w:val="left"/>
            </w:pPr>
            <w:r>
              <w:t xml:space="preserve">µM</w:t>
            </w:r>
          </w:p>
        </w:tc>
        <w:tc>
          <w:tcPr/>
          <w:p>
            <w:pPr>
              <w:pStyle w:val="Compact"/>
              <w:jc w:val="left"/>
            </w:pPr>
            <w:r>
              <w:t xml:space="preserve">757</w:t>
            </w:r>
          </w:p>
        </w:tc>
        <w:tc>
          <w:tcPr/>
          <w:p>
            <w:pPr>
              <w:pStyle w:val="Compact"/>
              <w:jc w:val="left"/>
            </w:pPr>
            <w:hyperlink w:anchor="Xa559bd5247f9128e74e6edcc17de37648e8cde6">
              <w:r>
                <w:rPr>
                  <w:rStyle w:val="Hyperlink"/>
                </w:rPr>
                <w:t xml:space="preserve">Cazali 2003</w:t>
              </w:r>
            </w:hyperlink>
          </w:p>
        </w:tc>
        <w:tc>
          <w:tcPr/>
          <w:p>
            <w:pPr>
              <w:pStyle w:val="Compact"/>
              <w:jc w:val="left"/>
            </w:pPr>
            <w:r>
              <w:t xml:space="preserve">CYP2C8 Michaelis-Menten constant</w:t>
            </w:r>
          </w:p>
        </w:tc>
      </w:tr>
      <w:tr>
        <w:tc>
          <w:tcPr/>
          <w:p>
            <w:pPr>
              <w:pStyle w:val="Compact"/>
              <w:jc w:val="left"/>
            </w:pPr>
            <w:r>
              <w:t xml:space="preserve">V</w:t>
            </w:r>
            <w:r>
              <w:rPr>
                <w:vertAlign w:val="subscript"/>
              </w:rPr>
              <w:t xml:space="preserve">max</w:t>
            </w:r>
            <w:r>
              <w:t xml:space="preserve"> </w:t>
            </w:r>
            <w:r>
              <w:t xml:space="preserve">CYP2C8</w:t>
            </w:r>
          </w:p>
        </w:tc>
        <w:tc>
          <w:tcPr/>
          <w:p>
            <w:pPr>
              <w:pStyle w:val="Compact"/>
              <w:jc w:val="left"/>
            </w:pPr>
            <w:r>
              <w:t xml:space="preserve">pmol/min/pmol rec enzyme</w:t>
            </w:r>
          </w:p>
        </w:tc>
        <w:tc>
          <w:tcPr/>
          <w:p>
            <w:pPr>
              <w:pStyle w:val="Compact"/>
              <w:jc w:val="left"/>
            </w:pPr>
            <w:r>
              <w:t xml:space="preserve">0.673</w:t>
            </w:r>
          </w:p>
        </w:tc>
        <w:tc>
          <w:tcPr/>
          <w:p>
            <w:pPr>
              <w:pStyle w:val="Compact"/>
              <w:jc w:val="left"/>
            </w:pPr>
            <w:hyperlink w:anchor="Xa559bd5247f9128e74e6edcc17de37648e8cde6">
              <w:r>
                <w:rPr>
                  <w:rStyle w:val="Hyperlink"/>
                </w:rPr>
                <w:t xml:space="preserve">Cazali 2003</w:t>
              </w:r>
            </w:hyperlink>
          </w:p>
        </w:tc>
        <w:tc>
          <w:tcPr/>
          <w:p>
            <w:pPr>
              <w:pStyle w:val="Compact"/>
              <w:jc w:val="left"/>
            </w:pPr>
            <w:r>
              <w:t xml:space="preserve">in vitro metabolic rate constant for recombinant CYP2C8</w:t>
            </w:r>
          </w:p>
        </w:tc>
      </w:tr>
      <w:tr>
        <w:tc>
          <w:tcPr/>
          <w:p>
            <w:pPr>
              <w:pStyle w:val="Compact"/>
              <w:jc w:val="left"/>
            </w:pPr>
            <w:r>
              <w:t xml:space="preserve">K</w:t>
            </w:r>
            <w:r>
              <w:rPr>
                <w:vertAlign w:val="subscript"/>
              </w:rPr>
              <w:t xml:space="preserve">m</w:t>
            </w:r>
            <w:r>
              <w:t xml:space="preserve"> </w:t>
            </w:r>
            <w:r>
              <w:t xml:space="preserve">CYP3A4</w:t>
            </w:r>
            <w:r>
              <w:rPr>
                <w:vertAlign w:val="superscript"/>
              </w:rPr>
              <w:t xml:space="preserve">c</w:t>
            </w:r>
          </w:p>
        </w:tc>
        <w:tc>
          <w:tcPr/>
          <w:p>
            <w:pPr>
              <w:pStyle w:val="Compact"/>
              <w:jc w:val="left"/>
            </w:pPr>
            <w:r>
              <w:t xml:space="preserve">µM</w:t>
            </w:r>
          </w:p>
        </w:tc>
        <w:tc>
          <w:tcPr/>
          <w:p>
            <w:pPr>
              <w:pStyle w:val="Compact"/>
              <w:jc w:val="left"/>
            </w:pPr>
            <w:r>
              <w:t xml:space="preserve">282</w:t>
            </w:r>
          </w:p>
        </w:tc>
        <w:tc>
          <w:tcPr/>
          <w:p>
            <w:pPr>
              <w:pStyle w:val="Compact"/>
              <w:jc w:val="left"/>
            </w:pPr>
            <w:hyperlink w:anchor="Xa559bd5247f9128e74e6edcc17de37648e8cde6">
              <w:r>
                <w:rPr>
                  <w:rStyle w:val="Hyperlink"/>
                </w:rPr>
                <w:t xml:space="preserve">Pearce 2002</w:t>
              </w:r>
            </w:hyperlink>
          </w:p>
        </w:tc>
        <w:tc>
          <w:tcPr/>
          <w:p>
            <w:pPr>
              <w:pStyle w:val="Compact"/>
              <w:jc w:val="left"/>
            </w:pPr>
            <w:r>
              <w:t xml:space="preserve">CYP3A4 Michaelis-Menten constant</w:t>
            </w:r>
          </w:p>
        </w:tc>
      </w:tr>
      <w:tr>
        <w:tc>
          <w:tcPr/>
          <w:p>
            <w:pPr>
              <w:pStyle w:val="Compact"/>
              <w:jc w:val="left"/>
            </w:pPr>
            <w:r>
              <w:t xml:space="preserve">K</w:t>
            </w:r>
            <w:r>
              <w:rPr>
                <w:vertAlign w:val="subscript"/>
              </w:rPr>
              <w:t xml:space="preserve">m</w:t>
            </w:r>
            <w:r>
              <w:t xml:space="preserve"> </w:t>
            </w:r>
            <w:r>
              <w:t xml:space="preserve">CYP3A4 (→CBZE)</w:t>
            </w:r>
            <w:r>
              <w:rPr>
                <w:vertAlign w:val="superscript"/>
              </w:rPr>
              <w:t xml:space="preserve">d</w:t>
            </w:r>
          </w:p>
        </w:tc>
        <w:tc>
          <w:tcPr/>
          <w:p>
            <w:pPr>
              <w:pStyle w:val="Compact"/>
              <w:jc w:val="left"/>
            </w:pPr>
            <w:r>
              <w:t xml:space="preserve">µM</w:t>
            </w:r>
          </w:p>
        </w:tc>
        <w:tc>
          <w:tcPr/>
          <w:p>
            <w:pPr>
              <w:pStyle w:val="Compact"/>
              <w:jc w:val="left"/>
            </w:pPr>
            <w:r>
              <w:t xml:space="preserve">248</w:t>
            </w:r>
          </w:p>
        </w:tc>
        <w:tc>
          <w:tcPr/>
          <w:p>
            <w:pPr>
              <w:pStyle w:val="Compact"/>
              <w:jc w:val="left"/>
            </w:pPr>
            <w:hyperlink w:anchor="Xa559bd5247f9128e74e6edcc17de37648e8cde6">
              <w:r>
                <w:rPr>
                  <w:rStyle w:val="Hyperlink"/>
                </w:rPr>
                <w:t xml:space="preserve">Huang 2004</w:t>
              </w:r>
            </w:hyperlink>
          </w:p>
        </w:tc>
        <w:tc>
          <w:tcPr/>
          <w:p>
            <w:pPr>
              <w:pStyle w:val="Compact"/>
              <w:jc w:val="left"/>
            </w:pPr>
            <w:r>
              <w:t xml:space="preserve">CYP3A4 Michaelis-Menten constant</w:t>
            </w:r>
          </w:p>
        </w:tc>
      </w:tr>
      <w:tr>
        <w:tc>
          <w:tcPr/>
          <w:p>
            <w:pPr>
              <w:pStyle w:val="Compact"/>
              <w:jc w:val="left"/>
            </w:pPr>
            <w:r>
              <w:t xml:space="preserve">K</w:t>
            </w:r>
            <w:r>
              <w:rPr>
                <w:vertAlign w:val="subscript"/>
              </w:rPr>
              <w:t xml:space="preserve">m</w:t>
            </w:r>
            <w:r>
              <w:t xml:space="preserve"> </w:t>
            </w:r>
            <w:r>
              <w:t xml:space="preserve">UGT2B7</w:t>
            </w:r>
          </w:p>
        </w:tc>
        <w:tc>
          <w:tcPr/>
          <w:p>
            <w:pPr>
              <w:pStyle w:val="Compact"/>
              <w:jc w:val="left"/>
            </w:pPr>
            <w:r>
              <w:t xml:space="preserve">µM</w:t>
            </w:r>
          </w:p>
        </w:tc>
        <w:tc>
          <w:tcPr/>
          <w:p>
            <w:pPr>
              <w:pStyle w:val="Compact"/>
              <w:jc w:val="left"/>
            </w:pPr>
            <w:r>
              <w:t xml:space="preserve">214</w:t>
            </w:r>
          </w:p>
        </w:tc>
        <w:tc>
          <w:tcPr/>
          <w:p>
            <w:pPr>
              <w:pStyle w:val="Compact"/>
              <w:jc w:val="left"/>
            </w:pPr>
            <w:hyperlink w:anchor="Xa559bd5247f9128e74e6edcc17de37648e8cde6">
              <w:r>
                <w:rPr>
                  <w:rStyle w:val="Hyperlink"/>
                </w:rPr>
                <w:t xml:space="preserve">Staines 2004</w:t>
              </w:r>
            </w:hyperlink>
          </w:p>
        </w:tc>
        <w:tc>
          <w:tcPr/>
          <w:p>
            <w:pPr>
              <w:pStyle w:val="Compact"/>
              <w:jc w:val="left"/>
            </w:pPr>
            <w:r>
              <w:t xml:space="preserve">UGT2B7 Michaelis-Menten constant</w:t>
            </w:r>
          </w:p>
        </w:tc>
      </w:tr>
      <w:tr>
        <w:tc>
          <w:tcPr/>
          <w:p>
            <w:pPr>
              <w:pStyle w:val="Compact"/>
              <w:jc w:val="left"/>
            </w:pPr>
            <w:r>
              <w:t xml:space="preserve">V</w:t>
            </w:r>
            <w:r>
              <w:rPr>
                <w:vertAlign w:val="subscript"/>
              </w:rPr>
              <w:t xml:space="preserve">max</w:t>
            </w:r>
            <w:r>
              <w:t xml:space="preserve"> </w:t>
            </w:r>
            <w:r>
              <w:t xml:space="preserve">UGT2B7</w:t>
            </w:r>
          </w:p>
        </w:tc>
        <w:tc>
          <w:tcPr/>
          <w:p>
            <w:pPr>
              <w:pStyle w:val="Compact"/>
              <w:jc w:val="left"/>
            </w:pPr>
            <w:r>
              <w:t xml:space="preserve">pmol/min/mg mic enzyme</w:t>
            </w:r>
          </w:p>
        </w:tc>
        <w:tc>
          <w:tcPr/>
          <w:p>
            <w:pPr>
              <w:pStyle w:val="Compact"/>
              <w:jc w:val="left"/>
            </w:pPr>
            <w:r>
              <w:t xml:space="preserve">0.79</w:t>
            </w:r>
          </w:p>
        </w:tc>
        <w:tc>
          <w:tcPr/>
          <w:p>
            <w:pPr>
              <w:pStyle w:val="Compact"/>
              <w:jc w:val="left"/>
            </w:pPr>
            <w:hyperlink w:anchor="Xa559bd5247f9128e74e6edcc17de37648e8cde6">
              <w:r>
                <w:rPr>
                  <w:rStyle w:val="Hyperlink"/>
                </w:rPr>
                <w:t xml:space="preserve">Staines 2004</w:t>
              </w:r>
            </w:hyperlink>
          </w:p>
        </w:tc>
        <w:tc>
          <w:tcPr/>
          <w:p>
            <w:pPr>
              <w:pStyle w:val="Compact"/>
              <w:jc w:val="left"/>
            </w:pPr>
            <w:r>
              <w:t xml:space="preserve">in vitro metabolic rate constant for microsomal enzymes</w:t>
            </w:r>
          </w:p>
        </w:tc>
      </w:tr>
      <w:tr>
        <w:tc>
          <w:tcPr/>
          <w:p>
            <w:pPr>
              <w:pStyle w:val="Compact"/>
              <w:jc w:val="left"/>
            </w:pPr>
            <w:r>
              <w:t xml:space="preserve">Microsomal UGT2B7</w:t>
            </w:r>
          </w:p>
        </w:tc>
        <w:tc>
          <w:tcPr/>
          <w:p>
            <w:pPr>
              <w:pStyle w:val="Compact"/>
              <w:jc w:val="left"/>
            </w:pPr>
            <w:r>
              <w:t xml:space="preserve">pmol/mg mic protein</w:t>
            </w:r>
          </w:p>
        </w:tc>
        <w:tc>
          <w:tcPr/>
          <w:p>
            <w:pPr>
              <w:pStyle w:val="Compact"/>
              <w:jc w:val="left"/>
            </w:pPr>
            <w:r>
              <w:t xml:space="preserve">82.9</w:t>
            </w:r>
          </w:p>
        </w:tc>
        <w:tc>
          <w:tcPr/>
          <w:p>
            <w:pPr>
              <w:pStyle w:val="Compact"/>
              <w:jc w:val="left"/>
            </w:pPr>
            <w:hyperlink w:anchor="Xa559bd5247f9128e74e6edcc17de37648e8cde6">
              <w:r>
                <w:rPr>
                  <w:rStyle w:val="Hyperlink"/>
                </w:rPr>
                <w:t xml:space="preserve">Achour 2014</w:t>
              </w:r>
            </w:hyperlink>
          </w:p>
        </w:tc>
        <w:tc>
          <w:tcPr/>
          <w:p>
            <w:pPr>
              <w:pStyle w:val="Compact"/>
              <w:jc w:val="left"/>
            </w:pPr>
            <w:r>
              <w:t xml:space="preserve">Content of UGT2B7 proteins in liver microsomes</w:t>
            </w:r>
          </w:p>
        </w:tc>
      </w:tr>
      <w:tr>
        <w:tc>
          <w:tcPr/>
          <w:p>
            <w:pPr>
              <w:pStyle w:val="Compact"/>
              <w:jc w:val="left"/>
            </w:pPr>
            <w:r>
              <w:t xml:space="preserve">Intestinal permeability</w:t>
            </w:r>
          </w:p>
        </w:tc>
        <w:tc>
          <w:tcPr/>
          <w:p>
            <w:pPr>
              <w:pStyle w:val="Compact"/>
              <w:jc w:val="left"/>
            </w:pPr>
            <w:r>
              <w:t xml:space="preserve">cm/min</w:t>
            </w:r>
          </w:p>
        </w:tc>
        <w:tc>
          <w:tcPr/>
          <w:p>
            <w:pPr>
              <w:pStyle w:val="Compact"/>
              <w:jc w:val="left"/>
            </w:pPr>
            <w:r>
              <w:t xml:space="preserve">0.0258</w:t>
            </w:r>
          </w:p>
        </w:tc>
        <w:tc>
          <w:tcPr/>
          <w:p>
            <w:pPr>
              <w:pStyle w:val="Compact"/>
              <w:jc w:val="left"/>
            </w:pPr>
            <w:hyperlink w:anchor="Xa559bd5247f9128e74e6edcc17de37648e8cde6">
              <w:r>
                <w:rPr>
                  <w:rStyle w:val="Hyperlink"/>
                </w:rPr>
                <w:t xml:space="preserve">Lennernäs 2007</w:t>
              </w:r>
            </w:hyperlink>
          </w:p>
        </w:tc>
        <w:tc>
          <w:tcPr/>
          <w:p>
            <w:pPr>
              <w:pStyle w:val="Compact"/>
              <w:jc w:val="left"/>
            </w:pPr>
            <w:r>
              <w:t xml:space="preserve">Transcellular intestinal permeability</w:t>
            </w:r>
          </w:p>
        </w:tc>
      </w:tr>
    </w:tbl>
    <w:p>
      <w:pPr>
        <w:pStyle w:val="BodyText"/>
      </w:pPr>
      <w:r>
        <w:rPr>
          <w:vertAlign w:val="superscript"/>
        </w:rPr>
        <w:t xml:space="preserve">a</w:t>
      </w:r>
      <w:r>
        <w:t xml:space="preserve"> </w:t>
      </w:r>
      <w:r>
        <w:t xml:space="preserve">denotes mean ± standard deviation [range]</w:t>
      </w:r>
    </w:p>
    <w:p>
      <w:pPr>
        <w:pStyle w:val="BodyText"/>
      </w:pPr>
      <w:r>
        <w:rPr>
          <w:vertAlign w:val="superscript"/>
        </w:rPr>
        <w:t xml:space="preserve">b</w:t>
      </w:r>
      <w:r>
        <w:t xml:space="preserve"> </w:t>
      </w:r>
      <w:r>
        <w:t xml:space="preserve">denotes mean ± standard deviation</w:t>
      </w:r>
    </w:p>
    <w:p>
      <w:pPr>
        <w:pStyle w:val="BodyText"/>
      </w:pPr>
      <w:r>
        <w:rPr>
          <w:vertAlign w:val="superscript"/>
        </w:rPr>
        <w:t xml:space="preserve">c</w:t>
      </w:r>
      <w:r>
        <w:t xml:space="preserve"> </w:t>
      </w:r>
      <w:r>
        <w:t xml:space="preserve">refers to CYP3A4-mediated reaction forming other metabolites than carbamazepine-10,11-epoxide</w:t>
      </w:r>
    </w:p>
    <w:p>
      <w:pPr>
        <w:pStyle w:val="BodyText"/>
      </w:pPr>
      <w:r>
        <w:rPr>
          <w:vertAlign w:val="superscript"/>
        </w:rPr>
        <w:t xml:space="preserve">d</w:t>
      </w:r>
      <w:r>
        <w:t xml:space="preserve"> </w:t>
      </w:r>
      <w:r>
        <w:t xml:space="preserve">refers to CYP3A4-mediated reaction forming carbamazepine-10,11-epoxide</w:t>
      </w:r>
    </w:p>
    <w:bookmarkEnd w:id="23"/>
    <w:bookmarkStart w:id="24" w:name="clinical-data"/>
    <w:p>
      <w:pPr>
        <w:pStyle w:val="Heading3"/>
      </w:pPr>
      <w:r>
        <w:t xml:space="preserve">2.2.2 Clinical Data</w:t>
      </w:r>
    </w:p>
    <w:p>
      <w:pPr>
        <w:pStyle w:val="FirstParagraph"/>
      </w:pPr>
      <w:r>
        <w:t xml:space="preserve">A literature search was conducted to collect available data on carbamazepine pharmacokinetics in healthy adult subjects after intravenous or oral administration in the fasted state.</w:t>
      </w:r>
    </w:p>
    <w:p>
      <w:pPr>
        <w:pStyle w:val="BodyText"/>
      </w:pPr>
      <w:r>
        <w:t xml:space="preserve">The following studies were used for model building:</w:t>
      </w:r>
    </w:p>
    <w:tbl>
      <w:tblPr>
        <w:tblStyle w:val="Table"/>
        <w:tblW w:type="pct" w:w="5000"/>
        <w:tblLook w:firstRow="1" w:lastRow="0" w:firstColumn="0" w:lastColumn="0" w:noHBand="0" w:noVBand="0" w:val="0020"/>
        <w:jc w:val="start"/>
      </w:tblPr>
      <w:tblGrid>
        <w:gridCol w:w="1227"/>
        <w:gridCol w:w="6692"/>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Bernus 1994</w:t>
              </w:r>
            </w:hyperlink>
          </w:p>
        </w:tc>
        <w:tc>
          <w:tcPr/>
          <w:p>
            <w:pPr>
              <w:pStyle w:val="Compact"/>
              <w:jc w:val="left"/>
            </w:pPr>
            <w:r>
              <w:t xml:space="preserve">Healthy subjects receiving two oral doses of 600 mg carbamazepine as IR tablet (only pharmacokinetic data following the first dose were used for model building)</w:t>
            </w:r>
          </w:p>
        </w:tc>
      </w:tr>
      <w:tr>
        <w:tc>
          <w:tcPr/>
          <w:p>
            <w:pPr>
              <w:pStyle w:val="Compact"/>
              <w:jc w:val="left"/>
            </w:pPr>
            <w:hyperlink w:anchor="Xa559bd5247f9128e74e6edcc17de37648e8cde6">
              <w:r>
                <w:rPr>
                  <w:rStyle w:val="Hyperlink"/>
                </w:rPr>
                <w:t xml:space="preserve">Gérardin 1976</w:t>
              </w:r>
            </w:hyperlink>
          </w:p>
        </w:tc>
        <w:tc>
          <w:tcPr/>
          <w:p>
            <w:pPr>
              <w:pStyle w:val="Compact"/>
              <w:jc w:val="left"/>
            </w:pPr>
            <w:r>
              <w:t xml:space="preserve">Healthy subjects receiving a single oral dose of 100 mg carbamazepine as IR tablet</w:t>
            </w:r>
          </w:p>
        </w:tc>
      </w:tr>
      <w:tr>
        <w:tc>
          <w:tcPr/>
          <w:p>
            <w:pPr>
              <w:pStyle w:val="Compact"/>
              <w:jc w:val="left"/>
            </w:pPr>
            <w:hyperlink w:anchor="Xa559bd5247f9128e74e6edcc17de37648e8cde6">
              <w:r>
                <w:rPr>
                  <w:rStyle w:val="Hyperlink"/>
                </w:rPr>
                <w:t xml:space="preserve">Gérardin 1990</w:t>
              </w:r>
            </w:hyperlink>
          </w:p>
        </w:tc>
        <w:tc>
          <w:tcPr/>
          <w:p>
            <w:pPr>
              <w:pStyle w:val="Compact"/>
              <w:jc w:val="left"/>
            </w:pPr>
            <w:r>
              <w:t xml:space="preserve">Healthy subjects receiving a single oral dose of 100 mg [^15^N]-carbamazepine as suspension concomitantly with a single intravenous dose of 10 mg carbamazepine</w:t>
            </w:r>
          </w:p>
        </w:tc>
      </w:tr>
      <w:tr>
        <w:tc>
          <w:tcPr/>
          <w:p>
            <w:pPr>
              <w:pStyle w:val="Compact"/>
              <w:jc w:val="left"/>
            </w:pPr>
            <w:hyperlink w:anchor="Xa559bd5247f9128e74e6edcc17de37648e8cde6">
              <w:r>
                <w:rPr>
                  <w:rStyle w:val="Hyperlink"/>
                </w:rPr>
                <w:t xml:space="preserve">McLean 2001</w:t>
              </w:r>
            </w:hyperlink>
          </w:p>
        </w:tc>
        <w:tc>
          <w:tcPr/>
          <w:p>
            <w:pPr>
              <w:pStyle w:val="Compact"/>
              <w:jc w:val="left"/>
            </w:pPr>
            <w:r>
              <w:t xml:space="preserve">Healthy subjects receiving a single oral dose of 400 mg carbamazepine as XR formulation in fasted state</w:t>
            </w:r>
          </w:p>
        </w:tc>
      </w:tr>
      <w:tr>
        <w:tc>
          <w:tcPr/>
          <w:p>
            <w:pPr>
              <w:pStyle w:val="Compact"/>
              <w:jc w:val="left"/>
            </w:pPr>
            <w:hyperlink w:anchor="Xa559bd5247f9128e74e6edcc17de37648e8cde6">
              <w:r>
                <w:rPr>
                  <w:rStyle w:val="Hyperlink"/>
                </w:rPr>
                <w:t xml:space="preserve">Møller 2001</w:t>
              </w:r>
            </w:hyperlink>
          </w:p>
        </w:tc>
        <w:tc>
          <w:tcPr/>
          <w:p>
            <w:pPr>
              <w:pStyle w:val="Compact"/>
              <w:jc w:val="left"/>
            </w:pPr>
            <w:r>
              <w:t xml:space="preserve">Healthy subjects receiving a multiple oral doses of carbamazepine, starting at 100 mg and escalating to 400 mg</w:t>
            </w:r>
          </w:p>
        </w:tc>
      </w:tr>
      <w:tr>
        <w:tc>
          <w:tcPr/>
          <w:p>
            <w:pPr>
              <w:pStyle w:val="Compact"/>
              <w:jc w:val="left"/>
            </w:pPr>
            <w:hyperlink w:anchor="Xa559bd5247f9128e74e6edcc17de37648e8cde6">
              <w:r>
                <w:rPr>
                  <w:rStyle w:val="Hyperlink"/>
                </w:rPr>
                <w:t xml:space="preserve">Wada 1978</w:t>
              </w:r>
            </w:hyperlink>
          </w:p>
        </w:tc>
        <w:tc>
          <w:tcPr/>
          <w:p>
            <w:pPr>
              <w:pStyle w:val="Compact"/>
              <w:jc w:val="left"/>
            </w:pPr>
            <w:r>
              <w:t xml:space="preserve">Healthy subjects receiving a single oral dose of 200 mg carbamazepine as syrup and IR tablet</w:t>
            </w:r>
          </w:p>
        </w:tc>
      </w:tr>
    </w:tbl>
    <w:p>
      <w:pPr>
        <w:pStyle w:val="BodyText"/>
      </w:pPr>
      <w:r>
        <w:t xml:space="preserve">The following studies were used for model evaluation:</w:t>
      </w:r>
    </w:p>
    <w:tbl>
      <w:tblPr>
        <w:tblStyle w:val="Table"/>
        <w:tblW w:type="pct" w:w="5000"/>
        <w:tblLook w:firstRow="1" w:lastRow="0" w:firstColumn="0" w:lastColumn="0" w:noHBand="0" w:noVBand="0" w:val="0020"/>
        <w:jc w:val="start"/>
      </w:tblPr>
      <w:tblGrid>
        <w:gridCol w:w="2252"/>
        <w:gridCol w:w="5667"/>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Barzaghi 1987</w:t>
              </w:r>
            </w:hyperlink>
          </w:p>
        </w:tc>
        <w:tc>
          <w:tcPr/>
          <w:p>
            <w:pPr>
              <w:pStyle w:val="Compact"/>
              <w:jc w:val="left"/>
            </w:pPr>
            <w:r>
              <w:t xml:space="preserve">Healthy subjects receiving a single oral dose of 400 mg carbamazepine</w:t>
            </w:r>
          </w:p>
        </w:tc>
      </w:tr>
      <w:tr>
        <w:tc>
          <w:tcPr/>
          <w:p>
            <w:pPr>
              <w:pStyle w:val="Compact"/>
              <w:jc w:val="left"/>
            </w:pPr>
            <w:hyperlink w:anchor="Xa559bd5247f9128e74e6edcc17de37648e8cde6">
              <w:r>
                <w:rPr>
                  <w:rStyle w:val="Hyperlink"/>
                </w:rPr>
                <w:t xml:space="preserve">Bedada 2015</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Bedada 2016</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Bernus 1994</w:t>
              </w:r>
            </w:hyperlink>
          </w:p>
        </w:tc>
        <w:tc>
          <w:tcPr/>
          <w:p>
            <w:pPr>
              <w:pStyle w:val="Compact"/>
              <w:jc w:val="left"/>
            </w:pPr>
            <w:r>
              <w:t xml:space="preserve">Healthy subjects receiving two oral doses of 600 mg carbamazepine (only pharmacokinetic data following the second dose were used for model evaluation)</w:t>
            </w:r>
          </w:p>
        </w:tc>
      </w:tr>
      <w:tr>
        <w:tc>
          <w:tcPr/>
          <w:p>
            <w:pPr>
              <w:pStyle w:val="Compact"/>
              <w:jc w:val="left"/>
            </w:pPr>
            <w:hyperlink w:anchor="Xa559bd5247f9128e74e6edcc17de37648e8cde6">
              <w:r>
                <w:rPr>
                  <w:rStyle w:val="Hyperlink"/>
                </w:rPr>
                <w:t xml:space="preserve">Bianchetti 1987</w:t>
              </w:r>
            </w:hyperlink>
          </w:p>
        </w:tc>
        <w:tc>
          <w:tcPr/>
          <w:p>
            <w:pPr>
              <w:pStyle w:val="Compact"/>
              <w:jc w:val="left"/>
            </w:pPr>
            <w:r>
              <w:t xml:space="preserve">Healthy subjects receiving a single oral dose of 400 mg carbamazepine</w:t>
            </w:r>
          </w:p>
        </w:tc>
      </w:tr>
      <w:tr>
        <w:tc>
          <w:tcPr/>
          <w:p>
            <w:pPr>
              <w:pStyle w:val="Compact"/>
              <w:jc w:val="left"/>
            </w:pPr>
            <w:hyperlink w:anchor="Xa559bd5247f9128e74e6edcc17de37648e8cde6">
              <w:r>
                <w:rPr>
                  <w:rStyle w:val="Hyperlink"/>
                </w:rPr>
                <w:t xml:space="preserve">Burstein 2000</w:t>
              </w:r>
            </w:hyperlink>
          </w:p>
        </w:tc>
        <w:tc>
          <w:tcPr/>
          <w:p>
            <w:pPr>
              <w:pStyle w:val="Compact"/>
              <w:jc w:val="left"/>
            </w:pPr>
            <w:r>
              <w:t xml:space="preserve">Healthy subjects receiving a multiple oral doses of carbamazepine, starting at 100 mg and escalating to 400 mg</w:t>
            </w:r>
          </w:p>
        </w:tc>
      </w:tr>
      <w:tr>
        <w:tc>
          <w:tcPr/>
          <w:p>
            <w:pPr>
              <w:pStyle w:val="Compact"/>
              <w:jc w:val="left"/>
            </w:pPr>
            <w:hyperlink w:anchor="Xa559bd5247f9128e74e6edcc17de37648e8cde6">
              <w:r>
                <w:rPr>
                  <w:rStyle w:val="Hyperlink"/>
                </w:rPr>
                <w:t xml:space="preserve">Caraco 1995</w:t>
              </w:r>
            </w:hyperlink>
          </w:p>
        </w:tc>
        <w:tc>
          <w:tcPr/>
          <w:p>
            <w:pPr>
              <w:pStyle w:val="Compact"/>
              <w:jc w:val="left"/>
            </w:pPr>
            <w:r>
              <w:t xml:space="preserve">Healthy lean subjects receiving a single oral dose of 200 mg carbamazepine</w:t>
            </w:r>
          </w:p>
        </w:tc>
      </w:tr>
      <w:tr>
        <w:tc>
          <w:tcPr/>
          <w:p>
            <w:pPr>
              <w:pStyle w:val="Compact"/>
              <w:jc w:val="left"/>
            </w:pPr>
            <w:hyperlink w:anchor="Xa559bd5247f9128e74e6edcc17de37648e8cde6">
              <w:r>
                <w:rPr>
                  <w:rStyle w:val="Hyperlink"/>
                </w:rPr>
                <w:t xml:space="preserve">Cawello 2000</w:t>
              </w:r>
            </w:hyperlink>
          </w:p>
        </w:tc>
        <w:tc>
          <w:tcPr/>
          <w:p>
            <w:pPr>
              <w:pStyle w:val="Compact"/>
              <w:jc w:val="left"/>
            </w:pPr>
            <w:r>
              <w:t xml:space="preserve">Healthy subjects receiving a multiple oral doses of carbamazepine, starting at 100 mg and escalating to 200 mg</w:t>
            </w:r>
          </w:p>
        </w:tc>
      </w:tr>
      <w:tr>
        <w:tc>
          <w:tcPr/>
          <w:p>
            <w:pPr>
              <w:pStyle w:val="Compact"/>
              <w:jc w:val="left"/>
            </w:pPr>
            <w:hyperlink w:anchor="Xa559bd5247f9128e74e6edcc17de37648e8cde6">
              <w:r>
                <w:rPr>
                  <w:rStyle w:val="Hyperlink"/>
                </w:rPr>
                <w:t xml:space="preserve">Cotter 1977</w:t>
              </w:r>
            </w:hyperlink>
          </w:p>
        </w:tc>
        <w:tc>
          <w:tcPr/>
          <w:p>
            <w:pPr>
              <w:pStyle w:val="Compact"/>
              <w:jc w:val="left"/>
            </w:pPr>
            <w:r>
              <w:t xml:space="preserve">Healthy subject receiving a single oral dose of 800 mg carbamazepine</w:t>
            </w:r>
          </w:p>
        </w:tc>
      </w:tr>
      <w:tr>
        <w:tc>
          <w:tcPr/>
          <w:p>
            <w:pPr>
              <w:pStyle w:val="Compact"/>
              <w:jc w:val="left"/>
            </w:pPr>
            <w:hyperlink w:anchor="Xa559bd5247f9128e74e6edcc17de37648e8cde6">
              <w:r>
                <w:rPr>
                  <w:rStyle w:val="Hyperlink"/>
                </w:rPr>
                <w:t xml:space="preserve">Dalton 1985a</w:t>
              </w:r>
            </w:hyperlink>
          </w:p>
        </w:tc>
        <w:tc>
          <w:tcPr/>
          <w:p>
            <w:pPr>
              <w:pStyle w:val="Compact"/>
              <w:jc w:val="left"/>
            </w:pPr>
            <w:r>
              <w:t xml:space="preserve">Healthy subjects receiving a single oral dose of 600 mg carbamazepine</w:t>
            </w:r>
          </w:p>
        </w:tc>
      </w:tr>
      <w:tr>
        <w:tc>
          <w:tcPr/>
          <w:p>
            <w:pPr>
              <w:pStyle w:val="Compact"/>
              <w:jc w:val="left"/>
            </w:pPr>
            <w:hyperlink w:anchor="Xa559bd5247f9128e74e6edcc17de37648e8cde6">
              <w:r>
                <w:rPr>
                  <w:rStyle w:val="Hyperlink"/>
                </w:rPr>
                <w:t xml:space="preserve">Dalton 1985b</w:t>
              </w:r>
            </w:hyperlink>
          </w:p>
        </w:tc>
        <w:tc>
          <w:tcPr/>
          <w:p>
            <w:pPr>
              <w:pStyle w:val="Compact"/>
              <w:jc w:val="left"/>
            </w:pPr>
            <w:r>
              <w:t xml:space="preserve">Healthy subjects receiving a single oral dose of 600 mg carbamazepine</w:t>
            </w:r>
          </w:p>
        </w:tc>
      </w:tr>
      <w:tr>
        <w:tc>
          <w:tcPr/>
          <w:p>
            <w:pPr>
              <w:pStyle w:val="Compact"/>
              <w:jc w:val="left"/>
            </w:pPr>
            <w:hyperlink w:anchor="Xa559bd5247f9128e74e6edcc17de37648e8cde6">
              <w:r>
                <w:rPr>
                  <w:rStyle w:val="Hyperlink"/>
                </w:rPr>
                <w:t xml:space="preserve">Eichelbaum 1985</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Elqidra 2004</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European Patent Application EP 1044681 A2</w:t>
              </w:r>
            </w:hyperlink>
          </w:p>
        </w:tc>
        <w:tc>
          <w:tcPr/>
          <w:p>
            <w:pPr>
              <w:pStyle w:val="Compact"/>
              <w:jc w:val="left"/>
            </w:pPr>
            <w:r>
              <w:t xml:space="preserve">Healthy subjects receiving a single oral dose of 400 and 600 mg carbamazepine</w:t>
            </w:r>
          </w:p>
        </w:tc>
      </w:tr>
      <w:tr>
        <w:tc>
          <w:tcPr/>
          <w:p>
            <w:pPr>
              <w:pStyle w:val="Compact"/>
              <w:jc w:val="left"/>
            </w:pPr>
            <w:hyperlink w:anchor="Xa559bd5247f9128e74e6edcc17de37648e8cde6">
              <w:r>
                <w:rPr>
                  <w:rStyle w:val="Hyperlink"/>
                </w:rPr>
                <w:t xml:space="preserve">Gérardin 1976</w:t>
              </w:r>
            </w:hyperlink>
          </w:p>
        </w:tc>
        <w:tc>
          <w:tcPr/>
          <w:p>
            <w:pPr>
              <w:pStyle w:val="Compact"/>
              <w:jc w:val="left"/>
            </w:pPr>
            <w:r>
              <w:t xml:space="preserve">Healthy subjects receiving a single oral dose of 200, and 600 mg carbamazepine</w:t>
            </w:r>
          </w:p>
        </w:tc>
      </w:tr>
      <w:tr>
        <w:tc>
          <w:tcPr/>
          <w:p>
            <w:pPr>
              <w:pStyle w:val="Compact"/>
              <w:jc w:val="left"/>
            </w:pPr>
            <w:hyperlink w:anchor="Xa559bd5247f9128e74e6edcc17de37648e8cde6">
              <w:r>
                <w:rPr>
                  <w:rStyle w:val="Hyperlink"/>
                </w:rPr>
                <w:t xml:space="preserve">Ji 2008</w:t>
              </w:r>
            </w:hyperlink>
          </w:p>
        </w:tc>
        <w:tc>
          <w:tcPr/>
          <w:p>
            <w:pPr>
              <w:pStyle w:val="Compact"/>
              <w:jc w:val="left"/>
            </w:pPr>
            <w:r>
              <w:t xml:space="preserve">Healthy subjects receiving a multiple oral doses of carbamazepine, starting at 200 mg and escalating to 400 mg</w:t>
            </w:r>
          </w:p>
        </w:tc>
      </w:tr>
      <w:tr>
        <w:tc>
          <w:tcPr/>
          <w:p>
            <w:pPr>
              <w:pStyle w:val="Compact"/>
              <w:jc w:val="left"/>
            </w:pPr>
            <w:hyperlink w:anchor="Xa559bd5247f9128e74e6edcc17de37648e8cde6">
              <w:r>
                <w:rPr>
                  <w:rStyle w:val="Hyperlink"/>
                </w:rPr>
                <w:t xml:space="preserve">Kayali 1994</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Kim 2005</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Kovacević 2009</w:t>
              </w:r>
            </w:hyperlink>
          </w:p>
        </w:tc>
        <w:tc>
          <w:tcPr/>
          <w:p>
            <w:pPr>
              <w:pStyle w:val="Compact"/>
              <w:jc w:val="left"/>
            </w:pPr>
            <w:r>
              <w:t xml:space="preserve">Healthy subjects receiving a single oral dose of 400 mg carbamazepine</w:t>
            </w:r>
          </w:p>
        </w:tc>
      </w:tr>
      <w:tr>
        <w:tc>
          <w:tcPr/>
          <w:p>
            <w:pPr>
              <w:pStyle w:val="Compact"/>
              <w:jc w:val="left"/>
            </w:pPr>
            <w:hyperlink w:anchor="Xa559bd5247f9128e74e6edcc17de37648e8cde6">
              <w:r>
                <w:rPr>
                  <w:rStyle w:val="Hyperlink"/>
                </w:rPr>
                <w:t xml:space="preserve">Levy 1975</w:t>
              </w:r>
            </w:hyperlink>
          </w:p>
        </w:tc>
        <w:tc>
          <w:tcPr/>
          <w:p>
            <w:pPr>
              <w:pStyle w:val="Compact"/>
              <w:jc w:val="left"/>
            </w:pPr>
            <w:r>
              <w:t xml:space="preserve">Healthy subjects receiving a single oral carbamazepine dose of 6 mg/kg body weight</w:t>
            </w:r>
          </w:p>
        </w:tc>
      </w:tr>
      <w:tr>
        <w:tc>
          <w:tcPr/>
          <w:p>
            <w:pPr>
              <w:pStyle w:val="Compact"/>
              <w:jc w:val="left"/>
            </w:pPr>
            <w:hyperlink w:anchor="Xa559bd5247f9128e74e6edcc17de37648e8cde6">
              <w:r>
                <w:rPr>
                  <w:rStyle w:val="Hyperlink"/>
                </w:rPr>
                <w:t xml:space="preserve">Meyer 1996</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Meyer 1998</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Miles 1989</w:t>
              </w:r>
            </w:hyperlink>
          </w:p>
        </w:tc>
        <w:tc>
          <w:tcPr/>
          <w:p>
            <w:pPr>
              <w:pStyle w:val="Compact"/>
              <w:jc w:val="left"/>
            </w:pPr>
            <w:r>
              <w:t xml:space="preserve">Healthy subjects receiving a multiple oral doses of 300 and 400 mg carbamazepine</w:t>
            </w:r>
          </w:p>
        </w:tc>
      </w:tr>
      <w:tr>
        <w:tc>
          <w:tcPr/>
          <w:p>
            <w:pPr>
              <w:pStyle w:val="Compact"/>
              <w:jc w:val="left"/>
            </w:pPr>
            <w:hyperlink w:anchor="Xa559bd5247f9128e74e6edcc17de37648e8cde6">
              <w:r>
                <w:rPr>
                  <w:rStyle w:val="Hyperlink"/>
                </w:rPr>
                <w:t xml:space="preserve">Morselli 1975</w:t>
              </w:r>
            </w:hyperlink>
          </w:p>
        </w:tc>
        <w:tc>
          <w:tcPr/>
          <w:p>
            <w:pPr>
              <w:pStyle w:val="Compact"/>
              <w:jc w:val="left"/>
            </w:pPr>
            <w:r>
              <w:t xml:space="preserve">Healthy subjects receiving a single oral dose of 400 mg carbamazepine</w:t>
            </w:r>
          </w:p>
        </w:tc>
      </w:tr>
      <w:tr>
        <w:tc>
          <w:tcPr/>
          <w:p>
            <w:pPr>
              <w:pStyle w:val="Compact"/>
              <w:jc w:val="left"/>
            </w:pPr>
            <w:hyperlink w:anchor="Xa559bd5247f9128e74e6edcc17de37648e8cde6">
              <w:r>
                <w:rPr>
                  <w:rStyle w:val="Hyperlink"/>
                </w:rPr>
                <w:t xml:space="preserve">Pynnönen 1977</w:t>
              </w:r>
            </w:hyperlink>
          </w:p>
        </w:tc>
        <w:tc>
          <w:tcPr/>
          <w:p>
            <w:pPr>
              <w:pStyle w:val="Compact"/>
              <w:jc w:val="left"/>
            </w:pPr>
            <w:r>
              <w:t xml:space="preserve">Healthy subjects receiving a single oral dose of 400 mg carbamazepine</w:t>
            </w:r>
          </w:p>
        </w:tc>
      </w:tr>
      <w:tr>
        <w:tc>
          <w:tcPr/>
          <w:p>
            <w:pPr>
              <w:pStyle w:val="Compact"/>
              <w:jc w:val="left"/>
            </w:pPr>
            <w:hyperlink w:anchor="Xa559bd5247f9128e74e6edcc17de37648e8cde6">
              <w:r>
                <w:rPr>
                  <w:rStyle w:val="Hyperlink"/>
                </w:rPr>
                <w:t xml:space="preserve">Rawlins 1975</w:t>
              </w:r>
            </w:hyperlink>
          </w:p>
        </w:tc>
        <w:tc>
          <w:tcPr/>
          <w:p>
            <w:pPr>
              <w:pStyle w:val="Compact"/>
              <w:jc w:val="left"/>
            </w:pPr>
            <w:r>
              <w:t xml:space="preserve">Healthy subject receiving a single oral dose of 50, 100, and 200 mg carbamazepine</w:t>
            </w:r>
          </w:p>
        </w:tc>
      </w:tr>
      <w:tr>
        <w:tc>
          <w:tcPr/>
          <w:p>
            <w:pPr>
              <w:pStyle w:val="Compact"/>
              <w:jc w:val="left"/>
            </w:pPr>
            <w:hyperlink w:anchor="Xa559bd5247f9128e74e6edcc17de37648e8cde6">
              <w:r>
                <w:rPr>
                  <w:rStyle w:val="Hyperlink"/>
                </w:rPr>
                <w:t xml:space="preserve">Saint-Salvi 1987</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Stevens 1998</w:t>
              </w:r>
            </w:hyperlink>
          </w:p>
        </w:tc>
        <w:tc>
          <w:tcPr/>
          <w:p>
            <w:pPr>
              <w:pStyle w:val="Compact"/>
              <w:jc w:val="left"/>
            </w:pPr>
            <w:r>
              <w:t xml:space="preserve">Healthy subjects receiving multiple oral doses of 400 mg carbamazepine</w:t>
            </w:r>
          </w:p>
        </w:tc>
      </w:tr>
      <w:tr>
        <w:tc>
          <w:tcPr/>
          <w:p>
            <w:pPr>
              <w:pStyle w:val="Compact"/>
              <w:jc w:val="left"/>
            </w:pPr>
            <w:hyperlink w:anchor="Xa559bd5247f9128e74e6edcc17de37648e8cde6">
              <w:r>
                <w:rPr>
                  <w:rStyle w:val="Hyperlink"/>
                </w:rPr>
                <w:t xml:space="preserve">Strandjord 1975</w:t>
              </w:r>
            </w:hyperlink>
          </w:p>
        </w:tc>
        <w:tc>
          <w:tcPr/>
          <w:p>
            <w:pPr>
              <w:pStyle w:val="Compact"/>
              <w:jc w:val="left"/>
            </w:pPr>
            <w:r>
              <w:t xml:space="preserve">Healthy subjects receiving a single oral dose of 400 mg carbamazepine</w:t>
            </w:r>
          </w:p>
        </w:tc>
      </w:tr>
      <w:tr>
        <w:tc>
          <w:tcPr/>
          <w:p>
            <w:pPr>
              <w:pStyle w:val="Compact"/>
              <w:jc w:val="left"/>
            </w:pPr>
            <w:hyperlink w:anchor="Xa559bd5247f9128e74e6edcc17de37648e8cde6">
              <w:r>
                <w:rPr>
                  <w:rStyle w:val="Hyperlink"/>
                </w:rPr>
                <w:t xml:space="preserve">Sumi 1987</w:t>
              </w:r>
            </w:hyperlink>
          </w:p>
        </w:tc>
        <w:tc>
          <w:tcPr/>
          <w:p>
            <w:pPr>
              <w:pStyle w:val="Compact"/>
              <w:jc w:val="left"/>
            </w:pPr>
            <w:r>
              <w:t xml:space="preserve">Healthy subjects receiving a single oral dose of 200 mg carbamazepine</w:t>
            </w:r>
          </w:p>
        </w:tc>
      </w:tr>
      <w:tr>
        <w:tc>
          <w:tcPr/>
          <w:p>
            <w:pPr>
              <w:pStyle w:val="Compact"/>
              <w:jc w:val="left"/>
            </w:pPr>
            <w:hyperlink w:anchor="Xa559bd5247f9128e74e6edcc17de37648e8cde6">
              <w:r>
                <w:rPr>
                  <w:rStyle w:val="Hyperlink"/>
                </w:rPr>
                <w:t xml:space="preserve">Tomson 1983</w:t>
              </w:r>
            </w:hyperlink>
          </w:p>
        </w:tc>
        <w:tc>
          <w:tcPr/>
          <w:p>
            <w:pPr>
              <w:pStyle w:val="Compact"/>
              <w:jc w:val="left"/>
            </w:pPr>
            <w:r>
              <w:t xml:space="preserve">Healthy subject receiving a single oral doses of 200 mg carbamazepine</w:t>
            </w:r>
          </w:p>
        </w:tc>
      </w:tr>
      <w:tr>
        <w:tc>
          <w:tcPr/>
          <w:p>
            <w:pPr>
              <w:pStyle w:val="Compact"/>
              <w:jc w:val="left"/>
            </w:pPr>
            <w:hyperlink w:anchor="Xa559bd5247f9128e74e6edcc17de37648e8cde6">
              <w:r>
                <w:rPr>
                  <w:rStyle w:val="Hyperlink"/>
                </w:rPr>
                <w:t xml:space="preserve">US Patent Application - US 2009/0169619 A1</w:t>
              </w:r>
            </w:hyperlink>
          </w:p>
        </w:tc>
        <w:tc>
          <w:tcPr/>
          <w:p>
            <w:pPr>
              <w:pStyle w:val="Compact"/>
              <w:jc w:val="left"/>
            </w:pPr>
            <w:r>
              <w:t xml:space="preserve">Healthy subjects receiving a single oral dose of 300 mg carbamazepine</w:t>
            </w:r>
          </w:p>
        </w:tc>
      </w:tr>
      <w:tr>
        <w:tc>
          <w:tcPr/>
          <w:p>
            <w:pPr>
              <w:pStyle w:val="Compact"/>
              <w:jc w:val="left"/>
            </w:pPr>
            <w:hyperlink w:anchor="Xa559bd5247f9128e74e6edcc17de37648e8cde6">
              <w:r>
                <w:rPr>
                  <w:rStyle w:val="Hyperlink"/>
                </w:rPr>
                <w:t xml:space="preserve">Wong 1983</w:t>
              </w:r>
            </w:hyperlink>
          </w:p>
        </w:tc>
        <w:tc>
          <w:tcPr/>
          <w:p>
            <w:pPr>
              <w:pStyle w:val="Compact"/>
              <w:jc w:val="left"/>
            </w:pPr>
            <w:r>
              <w:t xml:space="preserve">Healthy subjects receiving a single oral dose of 400 mg carbamazepine</w:t>
            </w:r>
          </w:p>
        </w:tc>
      </w:tr>
    </w:tbl>
    <w:bookmarkEnd w:id="24"/>
    <w:bookmarkEnd w:id="25"/>
    <w:bookmarkStart w:id="33"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6" w:name="absorption"/>
    <w:p>
      <w:pPr>
        <w:pStyle w:val="Heading3"/>
      </w:pPr>
      <w:r>
        <w:t xml:space="preserve">2.3.1 Absorption</w:t>
      </w:r>
    </w:p>
    <w:p>
      <w:pPr>
        <w:pStyle w:val="FirstParagraph"/>
      </w:pPr>
      <w:r>
        <w:t xml:space="preserve">Absorption of carbamazepine from the gastrointestinal tract can be fully explained by passive diffusion; active uptake by drug transporters does not seem to play a role. Intestinal permeability was observed to be not a rate-limiting step in drug absorption. The solubility of carbamazepine following administration of the IR tablet was fixed to the mean value (308 mg/L at a pH of 6.7) reported by several studies in fasted human intestinal fluid (</w:t>
      </w:r>
      <w:hyperlink w:anchor="Xa559bd5247f9128e74e6edcc17de37648e8cde6">
        <w:r>
          <w:rPr>
            <w:rStyle w:val="Hyperlink"/>
          </w:rPr>
          <w:t xml:space="preserve">Annaert 2010</w:t>
        </w:r>
      </w:hyperlink>
      <w:r>
        <w:t xml:space="preserve">,</w:t>
      </w:r>
      <w:r>
        <w:t xml:space="preserve"> </w:t>
      </w:r>
      <w:hyperlink w:anchor="Xa559bd5247f9128e74e6edcc17de37648e8cde6">
        <w:r>
          <w:rPr>
            <w:rStyle w:val="Hyperlink"/>
          </w:rPr>
          <w:t xml:space="preserve">Söderlind 2010</w:t>
        </w:r>
      </w:hyperlink>
      <w:r>
        <w:t xml:space="preserve">,</w:t>
      </w:r>
      <w:r>
        <w:t xml:space="preserve"> </w:t>
      </w:r>
      <w:hyperlink w:anchor="Xa559bd5247f9128e74e6edcc17de37648e8cde6">
        <w:r>
          <w:rPr>
            <w:rStyle w:val="Hyperlink"/>
          </w:rPr>
          <w:t xml:space="preserve">Clarysse 2011</w:t>
        </w:r>
      </w:hyperlink>
      <w:r>
        <w:t xml:space="preserve">).</w:t>
      </w:r>
    </w:p>
    <w:bookmarkEnd w:id="26"/>
    <w:bookmarkStart w:id="27" w:name="distribution"/>
    <w:p>
      <w:pPr>
        <w:pStyle w:val="Heading3"/>
      </w:pPr>
      <w:r>
        <w:t xml:space="preserve">2.3.2 Distribution</w:t>
      </w:r>
    </w:p>
    <w:p>
      <w:pPr>
        <w:pStyle w:val="FirstParagraph"/>
      </w:pPr>
      <w:r>
        <w:t xml:space="preserve">Plasma protein binding of carbamazepine was fixed to 75.7% as reported by Morselli et al. for healthy subjects (</w:t>
      </w:r>
      <w:hyperlink w:anchor="Xa559bd5247f9128e74e6edcc17de37648e8cde6">
        <w:r>
          <w:rPr>
            <w:rStyle w:val="Hyperlink"/>
          </w:rPr>
          <w:t xml:space="preserve">Morselli 1975</w:t>
        </w:r>
      </w:hyperlink>
      <w:r>
        <w:t xml:space="preserve">). The distribution of carbamazepine throughout the body was found to be best described by the partition coefficient calculation by</w:t>
      </w:r>
      <w:r>
        <w:t xml:space="preserve"> </w:t>
      </w:r>
      <w:r>
        <w:rPr>
          <w:rStyle w:val="VerbatimChar"/>
        </w:rPr>
        <w:t xml:space="preserve">Rodgers and Rowlands</w:t>
      </w:r>
      <w:r>
        <w:t xml:space="preserve"> </w:t>
      </w:r>
      <w:r>
        <w:t xml:space="preserve">and cellular permeability calculation by</w:t>
      </w:r>
      <w:r>
        <w:t xml:space="preserve"> </w:t>
      </w:r>
      <w:r>
        <w:rPr>
          <w:rStyle w:val="VerbatimChar"/>
        </w:rPr>
        <w:t xml:space="preserve">PK-Sim Standard</w:t>
      </w:r>
      <w:r>
        <w:t xml:space="preserve">.</w:t>
      </w:r>
    </w:p>
    <w:bookmarkEnd w:id="27"/>
    <w:bookmarkStart w:id="31" w:name="metabolism-excretion-and-induction"/>
    <w:p>
      <w:pPr>
        <w:pStyle w:val="Heading3"/>
      </w:pPr>
      <w:r>
        <w:t xml:space="preserve">2.3.3 Metabolism, Excretion and Induction</w:t>
      </w:r>
    </w:p>
    <w:bookmarkStart w:id="28" w:name="metabolism"/>
    <w:p>
      <w:pPr>
        <w:pStyle w:val="Heading4"/>
      </w:pPr>
      <w:r>
        <w:t xml:space="preserve">Metabolism</w:t>
      </w:r>
    </w:p>
    <w:p>
      <w:pPr>
        <w:pStyle w:val="FirstParagraph"/>
      </w:pPr>
      <w:r>
        <w:t xml:space="preserve">Carbamazepine metabolism is complex involving multiple enzymes with more than 30 metabolites identified (</w:t>
      </w:r>
      <w:hyperlink w:anchor="Xa559bd5247f9128e74e6edcc17de37648e8cde6">
        <w:r>
          <w:rPr>
            <w:rStyle w:val="Hyperlink"/>
          </w:rPr>
          <w:t xml:space="preserve">Lertratanangkoon 1982</w:t>
        </w:r>
      </w:hyperlink>
      <w:r>
        <w:t xml:space="preserve">). Several</w:t>
      </w:r>
      <w:r>
        <w:t xml:space="preserve"> </w:t>
      </w:r>
      <w:r>
        <w:rPr>
          <w:iCs/>
          <w:i/>
        </w:rPr>
        <w:t xml:space="preserve">in vitro</w:t>
      </w:r>
      <w:r>
        <w:t xml:space="preserve"> </w:t>
      </w:r>
      <w:r>
        <w:t xml:space="preserve">studies suggest involvement of CYP1A2, 2A6, 2B6, 2C8, 2E1, 3A4, and UGT2B7 in carbamazepine metabolism (</w:t>
      </w:r>
      <w:hyperlink w:anchor="Xa559bd5247f9128e74e6edcc17de37648e8cde6">
        <w:r>
          <w:rPr>
            <w:rStyle w:val="Hyperlink"/>
          </w:rPr>
          <w:t xml:space="preserve">Cazali 2003</w:t>
        </w:r>
      </w:hyperlink>
      <w:r>
        <w:t xml:space="preserve">,</w:t>
      </w:r>
      <w:r>
        <w:t xml:space="preserve"> </w:t>
      </w:r>
      <w:hyperlink w:anchor="Xa559bd5247f9128e74e6edcc17de37648e8cde6">
        <w:r>
          <w:rPr>
            <w:rStyle w:val="Hyperlink"/>
          </w:rPr>
          <w:t xml:space="preserve">Kerr 1994</w:t>
        </w:r>
      </w:hyperlink>
      <w:r>
        <w:t xml:space="preserve">,</w:t>
      </w:r>
      <w:r>
        <w:t xml:space="preserve"> </w:t>
      </w:r>
      <w:hyperlink w:anchor="Xa559bd5247f9128e74e6edcc17de37648e8cde6">
        <w:r>
          <w:rPr>
            <w:rStyle w:val="Hyperlink"/>
          </w:rPr>
          <w:t xml:space="preserve">Pearce 2002</w:t>
        </w:r>
      </w:hyperlink>
      <w:r>
        <w:t xml:space="preserve">,</w:t>
      </w:r>
      <w:r>
        <w:t xml:space="preserve"> </w:t>
      </w:r>
      <w:hyperlink w:anchor="Xa559bd5247f9128e74e6edcc17de37648e8cde6">
        <w:r>
          <w:rPr>
            <w:rStyle w:val="Hyperlink"/>
          </w:rPr>
          <w:t xml:space="preserve">Pelkonen 2001</w:t>
        </w:r>
      </w:hyperlink>
      <w:r>
        <w:t xml:space="preserve">,</w:t>
      </w:r>
      <w:r>
        <w:t xml:space="preserve"> </w:t>
      </w:r>
      <w:hyperlink w:anchor="Xa559bd5247f9128e74e6edcc17de37648e8cde6">
        <w:r>
          <w:rPr>
            <w:rStyle w:val="Hyperlink"/>
          </w:rPr>
          <w:t xml:space="preserve">Staines 2004</w:t>
        </w:r>
      </w:hyperlink>
      <w:r>
        <w:t xml:space="preserve">).</w:t>
      </w:r>
    </w:p>
    <w:p>
      <w:pPr>
        <w:pStyle w:val="BodyText"/>
      </w:pPr>
      <w:r>
        <w:t xml:space="preserve">In various</w:t>
      </w:r>
      <w:r>
        <w:t xml:space="preserve"> </w:t>
      </w:r>
      <w:r>
        <w:rPr>
          <w:iCs/>
          <w:i/>
        </w:rPr>
        <w:t xml:space="preserve">in vitro</w:t>
      </w:r>
      <w:r>
        <w:t xml:space="preserve"> </w:t>
      </w:r>
      <w:r>
        <w:t xml:space="preserve">assays, the biotransformation to the main metabolite, carbamazepine-10,11-epoxide, appears to be mainly catalyzed by CYP3A4 with minimal contribution by CYP2C8 (</w:t>
      </w:r>
      <w:hyperlink w:anchor="Xa559bd5247f9128e74e6edcc17de37648e8cde6">
        <w:r>
          <w:rPr>
            <w:rStyle w:val="Hyperlink"/>
          </w:rPr>
          <w:t xml:space="preserve">Cazali 2003</w:t>
        </w:r>
      </w:hyperlink>
      <w:r>
        <w:t xml:space="preserve">,</w:t>
      </w:r>
      <w:r>
        <w:t xml:space="preserve"> </w:t>
      </w:r>
      <w:hyperlink w:anchor="Xa559bd5247f9128e74e6edcc17de37648e8cde6">
        <w:r>
          <w:rPr>
            <w:rStyle w:val="Hyperlink"/>
          </w:rPr>
          <w:t xml:space="preserve">Egnell 2003</w:t>
        </w:r>
      </w:hyperlink>
      <w:r>
        <w:t xml:space="preserve">,</w:t>
      </w:r>
      <w:r>
        <w:t xml:space="preserve"> </w:t>
      </w:r>
      <w:hyperlink w:anchor="Xa559bd5247f9128e74e6edcc17de37648e8cde6">
        <w:r>
          <w:rPr>
            <w:rStyle w:val="Hyperlink"/>
          </w:rPr>
          <w:t xml:space="preserve">Kerr 1994</w:t>
        </w:r>
      </w:hyperlink>
      <w:r>
        <w:t xml:space="preserve">). For example, Egnell et al. report that, at equimolar amounts of recombinantly expressed CYP enzymes, the activity of CYP3A4 towards carbamazepine was more than 20-fold higher than that of CYP2C8 (</w:t>
      </w:r>
      <w:hyperlink w:anchor="Xa559bd5247f9128e74e6edcc17de37648e8cde6">
        <w:r>
          <w:rPr>
            <w:rStyle w:val="Hyperlink"/>
          </w:rPr>
          <w:t xml:space="preserve">Egnell 2003</w:t>
        </w:r>
      </w:hyperlink>
      <w:r>
        <w:t xml:space="preserve">). Therefore, carbamazepine epoxidation was modeled via CYP3A4 only.</w:t>
      </w:r>
    </w:p>
    <w:p>
      <w:pPr>
        <w:pStyle w:val="BodyText"/>
      </w:pPr>
      <w:r>
        <w:t xml:space="preserve">Further oxidative metabolism pathways include 2- and 3-hydroxylation. The formation of 2-hydroxycarbamazepine is mediated by several CYP enzymes</w:t>
      </w:r>
      <w:r>
        <w:t xml:space="preserve"> </w:t>
      </w:r>
      <w:r>
        <w:rPr>
          <w:iCs/>
          <w:i/>
        </w:rPr>
        <w:t xml:space="preserve">in vitro</w:t>
      </w:r>
      <w:r>
        <w:t xml:space="preserve"> </w:t>
      </w:r>
      <w:r>
        <w:t xml:space="preserve">(including CYP1A2, 2A6, 2B6, 2E1, and 3A4); though, the contribution of any of these isoforms does not exceed 50% of the total formation (</w:t>
      </w:r>
      <w:hyperlink w:anchor="Xa559bd5247f9128e74e6edcc17de37648e8cde6">
        <w:r>
          <w:rPr>
            <w:rStyle w:val="Hyperlink"/>
          </w:rPr>
          <w:t xml:space="preserve">Pearce 2002</w:t>
        </w:r>
      </w:hyperlink>
      <w:r>
        <w:t xml:space="preserve">). In experiments with liver slices, 2-hydroxylation appears to be a minor elimination pathway (1-2 % of total clearance) as reported by Pelkonen et al. (</w:t>
      </w:r>
      <w:hyperlink w:anchor="Xa559bd5247f9128e74e6edcc17de37648e8cde6">
        <w:r>
          <w:rPr>
            <w:rStyle w:val="Hyperlink"/>
          </w:rPr>
          <w:t xml:space="preserve">Pelkonen 2001</w:t>
        </w:r>
      </w:hyperlink>
      <w:r>
        <w:t xml:space="preserve">). Hence, 2-hydroxylation was not accounted for in the PBPK model.</w:t>
      </w:r>
    </w:p>
    <w:p>
      <w:pPr>
        <w:pStyle w:val="BodyText"/>
      </w:pPr>
      <w:r>
        <w:t xml:space="preserve">The formation of 3-hydroxycarbamazepine also appears to constitute a minor metabolism pathway (</w:t>
      </w:r>
      <w:hyperlink w:anchor="Xa559bd5247f9128e74e6edcc17de37648e8cde6">
        <w:r>
          <w:rPr>
            <w:rStyle w:val="Hyperlink"/>
          </w:rPr>
          <w:t xml:space="preserve">Pelkonen 2001</w:t>
        </w:r>
      </w:hyperlink>
      <w:r>
        <w:t xml:space="preserve">); still, in human liver microsomes, 3-hydroxycarbamazepine was formed at rates ~25 times greater than those of 2-hydroxycarbamazepine (</w:t>
      </w:r>
      <w:hyperlink w:anchor="Xa559bd5247f9128e74e6edcc17de37648e8cde6">
        <w:r>
          <w:rPr>
            <w:rStyle w:val="Hyperlink"/>
          </w:rPr>
          <w:t xml:space="preserve">Pearce 2002</w:t>
        </w:r>
      </w:hyperlink>
      <w:r>
        <w:t xml:space="preserve">). The responsible enzyme for 3-hydroxylation</w:t>
      </w:r>
      <w:r>
        <w:t xml:space="preserve"> </w:t>
      </w:r>
      <w:r>
        <w:rPr>
          <w:iCs/>
          <w:i/>
        </w:rPr>
        <w:t xml:space="preserve">in vitro</w:t>
      </w:r>
      <w:r>
        <w:t xml:space="preserve"> </w:t>
      </w:r>
      <w:r>
        <w:t xml:space="preserve">seems to be CYP2B6, although a minor contribution by CYP1A2, 2A6, and 3A4 cannot be ruled out (</w:t>
      </w:r>
      <w:hyperlink w:anchor="Xa559bd5247f9128e74e6edcc17de37648e8cde6">
        <w:r>
          <w:rPr>
            <w:rStyle w:val="Hyperlink"/>
          </w:rPr>
          <w:t xml:space="preserve">Pearce 2002</w:t>
        </w:r>
      </w:hyperlink>
      <w:r>
        <w:t xml:space="preserve">). In the PBPK model, 3-hydroxylation was implemented as CYP2B6-mediated reaction.</w:t>
      </w:r>
    </w:p>
    <w:p>
      <w:pPr>
        <w:pStyle w:val="BodyText"/>
      </w:pPr>
      <w:r>
        <w:t xml:space="preserve">N-glucuronidation of carbamazepine in human liver microsomes and baculovirus-infected insect cells expressing human UGTs was also observed with UGT2B7 appearing to be the responsible enzyme for this reaction (</w:t>
      </w:r>
      <w:hyperlink w:anchor="Xa559bd5247f9128e74e6edcc17de37648e8cde6">
        <w:r>
          <w:rPr>
            <w:rStyle w:val="Hyperlink"/>
          </w:rPr>
          <w:t xml:space="preserve">Staines 2004</w:t>
        </w:r>
      </w:hyperlink>
      <w:r>
        <w:t xml:space="preserve">). Thus, the PBPK model also includes UGT2B7-mediated N-glucuronidation of carbamazepine.</w:t>
      </w:r>
    </w:p>
    <w:p>
      <w:pPr>
        <w:pStyle w:val="BodyText"/>
      </w:pPr>
      <w:r>
        <w:t xml:space="preserve">In summary, the following three metabolic pathways, each mediated by a specific enzyme, were implemented in the PBPK model:</w:t>
      </w:r>
    </w:p>
    <w:p>
      <w:pPr>
        <w:numPr>
          <w:ilvl w:val="0"/>
          <w:numId w:val="1001"/>
        </w:numPr>
        <w:pStyle w:val="Compact"/>
      </w:pPr>
      <w:r>
        <w:t xml:space="preserve">10,11-epoxidation via CYP3A4</w:t>
      </w:r>
    </w:p>
    <w:p>
      <w:pPr>
        <w:numPr>
          <w:ilvl w:val="0"/>
          <w:numId w:val="1001"/>
        </w:numPr>
        <w:pStyle w:val="Compact"/>
      </w:pPr>
      <w:r>
        <w:t xml:space="preserve">3-hydroxylation via CYP2B6</w:t>
      </w:r>
    </w:p>
    <w:p>
      <w:pPr>
        <w:numPr>
          <w:ilvl w:val="0"/>
          <w:numId w:val="1001"/>
        </w:numPr>
        <w:pStyle w:val="Compact"/>
      </w:pPr>
      <w:r>
        <w:t xml:space="preserve">N-glucuronidation via UGT2B7</w:t>
      </w:r>
    </w:p>
    <w:p>
      <w:pPr>
        <w:pStyle w:val="FirstParagraph"/>
      </w:pPr>
      <w:r>
        <w:t xml:space="preserve">Since no clinical mass balance data were found for these three pathways, the following clearance kinetics in human liver microsomes reported for each pathway were initially implemented in the PBPK model:</w:t>
      </w:r>
    </w:p>
    <w:tbl>
      <w:tblPr>
        <w:tblStyle w:val="Table"/>
        <w:tblW w:type="pct" w:w="5000"/>
        <w:tblLook w:firstRow="1" w:lastRow="0" w:firstColumn="0" w:lastColumn="0" w:noHBand="0" w:noVBand="0" w:val="0020"/>
        <w:jc w:val="start"/>
      </w:tblPr>
      <w:tblGrid>
        <w:gridCol w:w="1636"/>
        <w:gridCol w:w="1178"/>
        <w:gridCol w:w="3141"/>
        <w:gridCol w:w="1963"/>
      </w:tblGrid>
      <w:tr>
        <w:trPr>
          <w:tblHeader w:val="true"/>
        </w:trPr>
        <w:tc>
          <w:tcPr/>
          <w:p>
            <w:pPr>
              <w:pStyle w:val="Compact"/>
              <w:jc w:val="left"/>
            </w:pPr>
            <w:r>
              <w:t xml:space="preserve">Biotransformation pathway</w:t>
            </w:r>
          </w:p>
        </w:tc>
        <w:tc>
          <w:tcPr/>
          <w:p>
            <w:pPr>
              <w:pStyle w:val="Compact"/>
              <w:jc w:val="left"/>
            </w:pPr>
            <w:r>
              <w:t xml:space="preserve">K</w:t>
            </w:r>
            <w:r>
              <w:rPr>
                <w:vertAlign w:val="subscript"/>
              </w:rPr>
              <w:t xml:space="preserve">m</w:t>
            </w:r>
            <w:r>
              <w:t xml:space="preserve"> </w:t>
            </w:r>
            <w:r>
              <w:t xml:space="preserve">[µM]</w:t>
            </w:r>
          </w:p>
        </w:tc>
        <w:tc>
          <w:tcPr/>
          <w:p>
            <w:pPr>
              <w:pStyle w:val="Compact"/>
              <w:jc w:val="left"/>
            </w:pPr>
            <w:r>
              <w:t xml:space="preserve">V</w:t>
            </w:r>
            <w:r>
              <w:rPr>
                <w:vertAlign w:val="subscript"/>
              </w:rPr>
              <w:t xml:space="preserve">max</w:t>
            </w:r>
            <w:r>
              <w:t xml:space="preserve"> </w:t>
            </w:r>
            <w:r>
              <w:t xml:space="preserve">[pmol/min/mg microsomal protein]</w:t>
            </w:r>
          </w:p>
        </w:tc>
        <w:tc>
          <w:tcPr/>
          <w:p>
            <w:pPr>
              <w:pStyle w:val="Compact"/>
              <w:jc w:val="left"/>
            </w:pPr>
            <w:r>
              <w:t xml:space="preserve">Source</w:t>
            </w:r>
          </w:p>
        </w:tc>
      </w:tr>
      <w:tr>
        <w:tc>
          <w:tcPr/>
          <w:p>
            <w:pPr>
              <w:pStyle w:val="Compact"/>
              <w:jc w:val="left"/>
            </w:pPr>
            <w:r>
              <w:t xml:space="preserve">10,11-epoxidation</w:t>
            </w:r>
          </w:p>
        </w:tc>
        <w:tc>
          <w:tcPr/>
          <w:p>
            <w:pPr>
              <w:pStyle w:val="Compact"/>
              <w:jc w:val="left"/>
            </w:pPr>
            <w:r>
              <w:t xml:space="preserve">808</w:t>
            </w:r>
          </w:p>
        </w:tc>
        <w:tc>
          <w:tcPr/>
          <w:p>
            <w:pPr>
              <w:pStyle w:val="Compact"/>
              <w:jc w:val="left"/>
            </w:pPr>
            <w:r>
              <w:t xml:space="preserve">726</w:t>
            </w:r>
          </w:p>
        </w:tc>
        <w:tc>
          <w:tcPr/>
          <w:p>
            <w:pPr>
              <w:pStyle w:val="Compact"/>
              <w:jc w:val="left"/>
            </w:pPr>
            <w:hyperlink w:anchor="Xa559bd5247f9128e74e6edcc17de37648e8cde6">
              <w:r>
                <w:rPr>
                  <w:rStyle w:val="Hyperlink"/>
                </w:rPr>
                <w:t xml:space="preserve">Sakamoto 2013</w:t>
              </w:r>
            </w:hyperlink>
          </w:p>
        </w:tc>
      </w:tr>
      <w:tr>
        <w:tc>
          <w:tcPr/>
          <w:p>
            <w:pPr>
              <w:pStyle w:val="Compact"/>
              <w:jc w:val="left"/>
            </w:pPr>
            <w:r>
              <w:t xml:space="preserve">3-hydroxylation</w:t>
            </w:r>
          </w:p>
        </w:tc>
        <w:tc>
          <w:tcPr/>
          <w:p>
            <w:pPr>
              <w:pStyle w:val="Compact"/>
              <w:jc w:val="left"/>
            </w:pPr>
            <w:r>
              <w:t xml:space="preserve">235</w:t>
            </w:r>
          </w:p>
        </w:tc>
        <w:tc>
          <w:tcPr/>
          <w:p>
            <w:pPr>
              <w:pStyle w:val="Compact"/>
              <w:jc w:val="left"/>
            </w:pPr>
            <w:r>
              <w:t xml:space="preserve">49.0</w:t>
            </w:r>
          </w:p>
        </w:tc>
        <w:tc>
          <w:tcPr/>
          <w:p>
            <w:pPr>
              <w:pStyle w:val="Compact"/>
              <w:jc w:val="left"/>
            </w:pPr>
            <w:hyperlink w:anchor="Xa559bd5247f9128e74e6edcc17de37648e8cde6">
              <w:r>
                <w:rPr>
                  <w:rStyle w:val="Hyperlink"/>
                </w:rPr>
                <w:t xml:space="preserve">Pearce 2002</w:t>
              </w:r>
            </w:hyperlink>
          </w:p>
        </w:tc>
      </w:tr>
      <w:tr>
        <w:tc>
          <w:tcPr/>
          <w:p>
            <w:pPr>
              <w:pStyle w:val="Compact"/>
              <w:jc w:val="left"/>
            </w:pPr>
            <w:r>
              <w:t xml:space="preserve">N-glucuronidation</w:t>
            </w:r>
          </w:p>
        </w:tc>
        <w:tc>
          <w:tcPr/>
          <w:p>
            <w:pPr>
              <w:pStyle w:val="Compact"/>
              <w:jc w:val="left"/>
            </w:pPr>
            <w:r>
              <w:t xml:space="preserve">234</w:t>
            </w:r>
          </w:p>
        </w:tc>
        <w:tc>
          <w:tcPr/>
          <w:p>
            <w:pPr>
              <w:pStyle w:val="Compact"/>
              <w:jc w:val="left"/>
            </w:pPr>
            <w:r>
              <w:t xml:space="preserve">3.5</w:t>
            </w:r>
          </w:p>
        </w:tc>
        <w:tc>
          <w:tcPr/>
          <w:p>
            <w:pPr>
              <w:pStyle w:val="Compact"/>
              <w:jc w:val="left"/>
            </w:pPr>
            <w:hyperlink w:anchor="Xa559bd5247f9128e74e6edcc17de37648e8cde6">
              <w:r>
                <w:rPr>
                  <w:rStyle w:val="Hyperlink"/>
                </w:rPr>
                <w:t xml:space="preserve">Staines 2004</w:t>
              </w:r>
            </w:hyperlink>
          </w:p>
        </w:tc>
      </w:tr>
    </w:tbl>
    <w:p>
      <w:pPr>
        <w:pStyle w:val="BodyText"/>
      </w:pPr>
      <w:r>
        <w:t xml:space="preserve">The following enzymatic content in human liver microsomes was assumed:</w:t>
      </w:r>
    </w:p>
    <w:tbl>
      <w:tblPr>
        <w:tblStyle w:val="Table"/>
        <w:tblW w:type="pct" w:w="5000"/>
        <w:tblLook w:firstRow="1" w:lastRow="0" w:firstColumn="0" w:lastColumn="0" w:noHBand="0" w:noVBand="0" w:val="0020"/>
        <w:jc w:val="start"/>
      </w:tblPr>
      <w:tblGrid>
        <w:gridCol w:w="594"/>
        <w:gridCol w:w="4257"/>
        <w:gridCol w:w="3069"/>
      </w:tblGrid>
      <w:tr>
        <w:trPr>
          <w:tblHeader w:val="true"/>
        </w:trPr>
        <w:tc>
          <w:tcPr/>
          <w:p>
            <w:pPr>
              <w:pStyle w:val="Compact"/>
              <w:jc w:val="left"/>
            </w:pPr>
            <w:r>
              <w:t xml:space="preserve">Enzyme</w:t>
            </w:r>
          </w:p>
        </w:tc>
        <w:tc>
          <w:tcPr/>
          <w:p>
            <w:pPr>
              <w:pStyle w:val="Compact"/>
              <w:jc w:val="left"/>
            </w:pPr>
            <w:r>
              <w:t xml:space="preserve">Enzyme content [pmol/mg microsomal protein]</w:t>
            </w:r>
          </w:p>
        </w:tc>
        <w:tc>
          <w:tcPr/>
          <w:p>
            <w:pPr>
              <w:pStyle w:val="Compact"/>
              <w:jc w:val="left"/>
            </w:pPr>
            <w:r>
              <w:t xml:space="preserve">Source</w:t>
            </w:r>
          </w:p>
        </w:tc>
      </w:tr>
      <w:tr>
        <w:tc>
          <w:tcPr/>
          <w:p>
            <w:pPr>
              <w:pStyle w:val="Compact"/>
              <w:jc w:val="left"/>
            </w:pPr>
            <w:r>
              <w:t xml:space="preserve">CYP3A4</w:t>
            </w:r>
          </w:p>
        </w:tc>
        <w:tc>
          <w:tcPr/>
          <w:p>
            <w:pPr>
              <w:pStyle w:val="Compact"/>
              <w:jc w:val="left"/>
            </w:pPr>
            <w:r>
              <w:t xml:space="preserve">108</w:t>
            </w:r>
          </w:p>
        </w:tc>
        <w:tc>
          <w:tcPr/>
          <w:p>
            <w:pPr>
              <w:pStyle w:val="Compact"/>
              <w:jc w:val="left"/>
            </w:pPr>
            <w:hyperlink w:anchor="Xa559bd5247f9128e74e6edcc17de37648e8cde6">
              <w:r>
                <w:rPr>
                  <w:rStyle w:val="Hyperlink"/>
                </w:rPr>
                <w:t xml:space="preserve">Rodrigues 1999</w:t>
              </w:r>
            </w:hyperlink>
          </w:p>
        </w:tc>
      </w:tr>
      <w:tr>
        <w:tc>
          <w:tcPr/>
          <w:p>
            <w:pPr>
              <w:pStyle w:val="Compact"/>
              <w:jc w:val="left"/>
            </w:pPr>
            <w:r>
              <w:t xml:space="preserve">CYP2B6</w:t>
            </w:r>
          </w:p>
        </w:tc>
        <w:tc>
          <w:tcPr/>
          <w:p>
            <w:pPr>
              <w:pStyle w:val="Compact"/>
              <w:jc w:val="left"/>
            </w:pPr>
            <w:r>
              <w:t xml:space="preserve">39</w:t>
            </w:r>
          </w:p>
        </w:tc>
        <w:tc>
          <w:tcPr/>
          <w:p>
            <w:pPr>
              <w:pStyle w:val="Compact"/>
              <w:jc w:val="left"/>
            </w:pPr>
            <w:hyperlink w:anchor="Xa559bd5247f9128e74e6edcc17de37648e8cde6">
              <w:r>
                <w:rPr>
                  <w:rStyle w:val="Hyperlink"/>
                </w:rPr>
                <w:t xml:space="preserve">Rodrigues 1999</w:t>
              </w:r>
            </w:hyperlink>
          </w:p>
        </w:tc>
      </w:tr>
      <w:tr>
        <w:tc>
          <w:tcPr/>
          <w:p>
            <w:pPr>
              <w:pStyle w:val="Compact"/>
              <w:jc w:val="left"/>
            </w:pPr>
            <w:r>
              <w:t xml:space="preserve">UGT2B7</w:t>
            </w:r>
          </w:p>
        </w:tc>
        <w:tc>
          <w:tcPr/>
          <w:p>
            <w:pPr>
              <w:pStyle w:val="Compact"/>
              <w:jc w:val="left"/>
            </w:pPr>
            <w:r>
              <w:t xml:space="preserve">82.9</w:t>
            </w:r>
          </w:p>
        </w:tc>
        <w:tc>
          <w:tcPr/>
          <w:p>
            <w:pPr>
              <w:pStyle w:val="Compact"/>
              <w:jc w:val="left"/>
            </w:pPr>
            <w:hyperlink w:anchor="Xa559bd5247f9128e74e6edcc17de37648e8cde6">
              <w:r>
                <w:rPr>
                  <w:rStyle w:val="Hyperlink"/>
                </w:rPr>
                <w:t xml:space="preserve">Achour 2014</w:t>
              </w:r>
            </w:hyperlink>
          </w:p>
        </w:tc>
      </w:tr>
    </w:tbl>
    <w:p>
      <w:pPr>
        <w:pStyle w:val="BodyText"/>
      </w:pPr>
      <w:r>
        <w:t xml:space="preserve">The expression profiles for these enzymes were loaded from the</w:t>
      </w:r>
      <w:r>
        <w:t xml:space="preserve"> </w:t>
      </w:r>
      <w:r>
        <w:t xml:space="preserve">‘</w:t>
      </w:r>
      <w:r>
        <w:t xml:space="preserve">PK-Sim</w:t>
      </w:r>
      <w:r>
        <w:rPr>
          <w:vertAlign w:val="superscript"/>
        </w:rPr>
        <w:t xml:space="preserve">®</w:t>
      </w:r>
      <w:r>
        <w:t xml:space="preserve"> </w:t>
      </w:r>
      <w:r>
        <w:t xml:space="preserve">Ontogeny Database Version 7.3</w:t>
      </w:r>
      <w:r>
        <w:t xml:space="preserve">’</w:t>
      </w:r>
      <w:r>
        <w:t xml:space="preserve"> </w:t>
      </w:r>
      <w:r>
        <w:t xml:space="preserve">(</w:t>
      </w:r>
      <w:hyperlink w:anchor="Xa559bd5247f9128e74e6edcc17de37648e8cde6">
        <w:r>
          <w:rPr>
            <w:rStyle w:val="Hyperlink"/>
          </w:rPr>
          <w:t xml:space="preserve">PK-Sim Ontogeny Database Version 7.3</w:t>
        </w:r>
      </w:hyperlink>
      <w:r>
        <w:t xml:space="preserve">) using RT-PCR as data source for each enzyme.</w:t>
      </w:r>
    </w:p>
    <w:p>
      <w:pPr>
        <w:pStyle w:val="BodyText"/>
      </w:pPr>
      <w:r>
        <w:t xml:space="preserve">Upon implementation of these enzyme clearance pathways, it was seen that total clearance was slightly overestimated in the PBPK model. Therefore, the k</w:t>
      </w:r>
      <w:r>
        <w:rPr>
          <w:vertAlign w:val="subscript"/>
        </w:rPr>
        <w:t xml:space="preserve">cat</w:t>
      </w:r>
      <w:r>
        <w:t xml:space="preserve"> </w:t>
      </w:r>
      <w:r>
        <w:t xml:space="preserve">values of each enzyme were optimized during parameter identification; to respect the initial mass balance of these biotransformation reactions as reported in human liver microsomes, the k</w:t>
      </w:r>
      <w:r>
        <w:rPr>
          <w:vertAlign w:val="subscript"/>
        </w:rPr>
        <w:t xml:space="preserve">cat</w:t>
      </w:r>
      <w:r>
        <w:t xml:space="preserve"> </w:t>
      </w:r>
      <w:r>
        <w:t xml:space="preserve">values were not fitted independently but were varied together by the same factor.</w:t>
      </w:r>
    </w:p>
    <w:bookmarkEnd w:id="28"/>
    <w:bookmarkStart w:id="29" w:name="excretion"/>
    <w:p>
      <w:pPr>
        <w:pStyle w:val="Heading4"/>
      </w:pPr>
      <w:r>
        <w:t xml:space="preserve">Excretion</w:t>
      </w:r>
    </w:p>
    <w:p>
      <w:pPr>
        <w:pStyle w:val="FirstParagraph"/>
      </w:pPr>
      <w:r>
        <w:t xml:space="preserve">A minor fraction of the carbamazepine dose (approximately 1%) is excreted unchanged in urine (</w:t>
      </w:r>
      <w:hyperlink w:anchor="Xa559bd5247f9128e74e6edcc17de37648e8cde6">
        <w:r>
          <w:rPr>
            <w:rStyle w:val="Hyperlink"/>
          </w:rPr>
          <w:t xml:space="preserve">Bernus 1994</w:t>
        </w:r>
      </w:hyperlink>
      <w:r>
        <w:t xml:space="preserve">,</w:t>
      </w:r>
      <w:r>
        <w:t xml:space="preserve"> </w:t>
      </w:r>
      <w:hyperlink w:anchor="Xa559bd5247f9128e74e6edcc17de37648e8cde6">
        <w:r>
          <w:rPr>
            <w:rStyle w:val="Hyperlink"/>
          </w:rPr>
          <w:t xml:space="preserve">Morselli 1975</w:t>
        </w:r>
      </w:hyperlink>
      <w:r>
        <w:t xml:space="preserve">). In the model, unchanged renal excretion was implemented as glomerular filtration with the parameter</w:t>
      </w:r>
      <w:r>
        <w:t xml:space="preserve"> </w:t>
      </w:r>
      <w:r>
        <w:rPr>
          <w:rStyle w:val="VerbatimChar"/>
        </w:rPr>
        <w:t xml:space="preserve">GFR fraction</w:t>
      </w:r>
      <w:r>
        <w:t xml:space="preserve"> </w:t>
      </w:r>
      <w:r>
        <w:t xml:space="preserve">being fitted to the clinical excretion data reported by Bernus et al. (</w:t>
      </w:r>
      <w:hyperlink w:anchor="Xa559bd5247f9128e74e6edcc17de37648e8cde6">
        <w:r>
          <w:rPr>
            <w:rStyle w:val="Hyperlink"/>
          </w:rPr>
          <w:t xml:space="preserve">Bernus 1994</w:t>
        </w:r>
      </w:hyperlink>
      <w:r>
        <w:t xml:space="preserve">).</w:t>
      </w:r>
    </w:p>
    <w:bookmarkEnd w:id="29"/>
    <w:bookmarkStart w:id="30" w:name="induction"/>
    <w:p>
      <w:pPr>
        <w:pStyle w:val="Heading4"/>
      </w:pPr>
      <w:r>
        <w:t xml:space="preserve">Induction</w:t>
      </w:r>
    </w:p>
    <w:p>
      <w:pPr>
        <w:pStyle w:val="FirstParagraph"/>
      </w:pPr>
      <w:r>
        <w:t xml:space="preserve">Carbamazepine induces CYP2B6 and 3A4 via the CAR- and PXR-pathway (</w:t>
      </w:r>
      <w:hyperlink w:anchor="Xa559bd5247f9128e74e6edcc17de37648e8cde6">
        <w:r>
          <w:rPr>
            <w:rStyle w:val="Hyperlink"/>
          </w:rPr>
          <w:t xml:space="preserve">Faucette 2007</w:t>
        </w:r>
      </w:hyperlink>
      <w:r>
        <w:t xml:space="preserve">,</w:t>
      </w:r>
      <w:r>
        <w:t xml:space="preserve"> </w:t>
      </w:r>
      <w:hyperlink w:anchor="Xa559bd5247f9128e74e6edcc17de37648e8cde6">
        <w:r>
          <w:rPr>
            <w:rStyle w:val="Hyperlink"/>
          </w:rPr>
          <w:t xml:space="preserve">Williamson 2016</w:t>
        </w:r>
      </w:hyperlink>
      <w:r>
        <w:t xml:space="preserve">). CYP2B6 induction was informed based on</w:t>
      </w:r>
      <w:r>
        <w:t xml:space="preserve"> </w:t>
      </w:r>
      <w:r>
        <w:rPr>
          <w:iCs/>
          <w:i/>
        </w:rPr>
        <w:t xml:space="preserve">in vitro</w:t>
      </w:r>
      <w:r>
        <w:t xml:space="preserve"> </w:t>
      </w:r>
      <w:r>
        <w:t xml:space="preserve">experiments conducted by Faucette et al. (</w:t>
      </w:r>
      <w:hyperlink w:anchor="Xa559bd5247f9128e74e6edcc17de37648e8cde6">
        <w:r>
          <w:rPr>
            <w:rStyle w:val="Hyperlink"/>
          </w:rPr>
          <w:t xml:space="preserve">Faucette 2004</w:t>
        </w:r>
      </w:hyperlink>
      <w:r>
        <w:t xml:space="preserve">). These authors reported the induction of CYP2B6 activity at various carbamazepine concentrations in three preparations of primary human hepatocytes. The reported data suggest linear induction in the tested carbamazepine concentration range. A linear-mixed effects model was fitted to the reported data; the fitted slope was 0.149. To implement a linear induction in the PBPK model, the EC</w:t>
      </w:r>
      <w:r>
        <w:rPr>
          <w:vertAlign w:val="subscript"/>
        </w:rPr>
        <w:t xml:space="preserve">50</w:t>
      </w:r>
      <w:r>
        <w:t xml:space="preserve"> </w:t>
      </w:r>
      <w:r>
        <w:t xml:space="preserve">value of the E</w:t>
      </w:r>
      <w:r>
        <w:rPr>
          <w:vertAlign w:val="subscript"/>
        </w:rPr>
        <w:t xml:space="preserve">max</w:t>
      </w:r>
      <w:r>
        <w:t xml:space="preserve"> </w:t>
      </w:r>
      <w:r>
        <w:t xml:space="preserve">model was set to an arbitrarily high value (1000 µM) and E</w:t>
      </w:r>
      <w:r>
        <w:rPr>
          <w:vertAlign w:val="subscript"/>
        </w:rPr>
        <w:t xml:space="preserve">max</w:t>
      </w:r>
      <w:r>
        <w:t xml:space="preserve"> </w:t>
      </w:r>
      <w:r>
        <w:t xml:space="preserve">was then calculated as product of the fitted slope value and EC</w:t>
      </w:r>
      <w:r>
        <w:rPr>
          <w:vertAlign w:val="subscript"/>
        </w:rPr>
        <w:t xml:space="preserve">50</w:t>
      </w:r>
      <w:r>
        <w:t xml:space="preserve"> </w:t>
      </w:r>
      <w:r>
        <w:t xml:space="preserve">resulting in a value of 149.</w:t>
      </w:r>
    </w:p>
    <w:p>
      <w:pPr>
        <w:pStyle w:val="BodyText"/>
      </w:pPr>
      <w:r>
        <w:t xml:space="preserve">CYP3A4 induction was initially parameterized based on internal</w:t>
      </w:r>
      <w:r>
        <w:t xml:space="preserve"> </w:t>
      </w:r>
      <w:r>
        <w:rPr>
          <w:iCs/>
          <w:i/>
        </w:rPr>
        <w:t xml:space="preserve">in vitro</w:t>
      </w:r>
      <w:r>
        <w:t xml:space="preserve"> </w:t>
      </w:r>
      <w:r>
        <w:t xml:space="preserve">experiments and calibrated with rifampicin induction data as described by Almond et al. (</w:t>
      </w:r>
      <w:hyperlink w:anchor="Xa559bd5247f9128e74e6edcc17de37648e8cde6">
        <w:r>
          <w:rPr>
            <w:rStyle w:val="Hyperlink"/>
          </w:rPr>
          <w:t xml:space="preserve">Almond 2016</w:t>
        </w:r>
      </w:hyperlink>
      <w:r>
        <w:t xml:space="preserve">). This resulted in an EC</w:t>
      </w:r>
      <w:r>
        <w:rPr>
          <w:vertAlign w:val="subscript"/>
        </w:rPr>
        <w:t xml:space="preserve">50</w:t>
      </w:r>
      <w:r>
        <w:t xml:space="preserve"> </w:t>
      </w:r>
      <w:r>
        <w:t xml:space="preserve">of 63.0 µM and an E</w:t>
      </w:r>
      <w:r>
        <w:rPr>
          <w:vertAlign w:val="subscript"/>
        </w:rPr>
        <w:t xml:space="preserve">max</w:t>
      </w:r>
      <w:r>
        <w:t xml:space="preserve"> </w:t>
      </w:r>
      <w:r>
        <w:t xml:space="preserve">of 5.39. Simulated carbamazepine plasma concentrations in steady-state indicated that the induction was underestimated; therefore, the calibrated EC</w:t>
      </w:r>
      <w:r>
        <w:rPr>
          <w:vertAlign w:val="subscript"/>
        </w:rPr>
        <w:t xml:space="preserve">50</w:t>
      </w:r>
      <w:r>
        <w:t xml:space="preserve"> </w:t>
      </w:r>
      <w:r>
        <w:t xml:space="preserve">value was optimized during parameter identification, while the calibrated E</w:t>
      </w:r>
      <w:r>
        <w:rPr>
          <w:vertAlign w:val="subscript"/>
        </w:rPr>
        <w:t xml:space="preserve">max</w:t>
      </w:r>
      <w:r>
        <w:t xml:space="preserve"> </w:t>
      </w:r>
      <w:r>
        <w:t xml:space="preserve">value was kept fixed.</w:t>
      </w:r>
    </w:p>
    <w:bookmarkEnd w:id="30"/>
    <w:bookmarkEnd w:id="31"/>
    <w:bookmarkStart w:id="32" w:name="automated-parameter-identification"/>
    <w:p>
      <w:pPr>
        <w:pStyle w:val="Heading3"/>
      </w:pPr>
      <w:r>
        <w:t xml:space="preserve">2.3.4 Automated Parameter Identification</w:t>
      </w:r>
    </w:p>
    <w:p>
      <w:pPr>
        <w:pStyle w:val="FirstParagraph"/>
      </w:pPr>
      <w:r>
        <w:t xml:space="preserve">The parameter identification tool in PK-Sim</w:t>
      </w:r>
      <w:r>
        <w:rPr>
          <w:vertAlign w:val="superscript"/>
        </w:rPr>
        <w:t xml:space="preserve">®</w:t>
      </w:r>
      <w:r>
        <w:t xml:space="preserve"> </w:t>
      </w:r>
      <w:r>
        <w:t xml:space="preserve">has been used to estimate the model parameters described above. The result of the parameter identifications is shown in the table below:</w:t>
      </w:r>
    </w:p>
    <w:tbl>
      <w:tblPr>
        <w:tblStyle w:val="Table"/>
        <w:tblW w:type="pct" w:w="5000"/>
        <w:tblLook w:firstRow="1" w:lastRow="0" w:firstColumn="0" w:lastColumn="0" w:noHBand="0" w:noVBand="0" w:val="0020"/>
        <w:jc w:val="start"/>
      </w:tblPr>
      <w:tblGrid>
        <w:gridCol w:w="4576"/>
        <w:gridCol w:w="2640"/>
        <w:gridCol w:w="704"/>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rPr>
                <w:rStyle w:val="VerbatimChar"/>
              </w:rPr>
              <w:t xml:space="preserve">Lipophilicity</w:t>
            </w:r>
          </w:p>
        </w:tc>
        <w:tc>
          <w:tcPr/>
          <w:p>
            <w:pPr>
              <w:pStyle w:val="Compact"/>
              <w:jc w:val="left"/>
            </w:pPr>
            <w:r>
              <w:t xml:space="preserve">2.01</w:t>
            </w:r>
          </w:p>
        </w:tc>
        <w:tc>
          <w:tcPr/>
          <w:p>
            <w:pPr>
              <w:pStyle w:val="Compact"/>
            </w:pPr>
          </w:p>
        </w:tc>
      </w:tr>
      <w:tr>
        <w:tc>
          <w:tcPr/>
          <w:p>
            <w:pPr>
              <w:pStyle w:val="Compact"/>
              <w:jc w:val="left"/>
            </w:pPr>
            <w:r>
              <w:rPr>
                <w:rStyle w:val="VerbatimChar"/>
              </w:rPr>
              <w:t xml:space="preserve">kcat</w:t>
            </w:r>
            <w:r>
              <w:t xml:space="preserve"> </w:t>
            </w:r>
            <w:r>
              <w:t xml:space="preserve">(CYP3A4)</w:t>
            </w:r>
          </w:p>
        </w:tc>
        <w:tc>
          <w:tcPr/>
          <w:p>
            <w:pPr>
              <w:pStyle w:val="Compact"/>
              <w:jc w:val="left"/>
            </w:pPr>
            <w:r>
              <w:t xml:space="preserve">5.01</w:t>
            </w:r>
          </w:p>
        </w:tc>
        <w:tc>
          <w:tcPr/>
          <w:p>
            <w:pPr>
              <w:pStyle w:val="Compact"/>
              <w:jc w:val="left"/>
            </w:pPr>
            <w:r>
              <w:t xml:space="preserve">1/min</w:t>
            </w:r>
          </w:p>
        </w:tc>
      </w:tr>
      <w:tr>
        <w:tc>
          <w:tcPr/>
          <w:p>
            <w:pPr>
              <w:pStyle w:val="Compact"/>
              <w:jc w:val="left"/>
            </w:pPr>
            <w:r>
              <w:rPr>
                <w:rStyle w:val="VerbatimChar"/>
              </w:rPr>
              <w:t xml:space="preserve">kcat</w:t>
            </w:r>
            <w:r>
              <w:t xml:space="preserve"> </w:t>
            </w:r>
            <w:r>
              <w:t xml:space="preserve">(CYP2B6)</w:t>
            </w:r>
          </w:p>
        </w:tc>
        <w:tc>
          <w:tcPr/>
          <w:p>
            <w:pPr>
              <w:pStyle w:val="Compact"/>
              <w:jc w:val="left"/>
            </w:pPr>
            <w:r>
              <w:t xml:space="preserve">0.936</w:t>
            </w:r>
          </w:p>
        </w:tc>
        <w:tc>
          <w:tcPr/>
          <w:p>
            <w:pPr>
              <w:pStyle w:val="Compact"/>
              <w:jc w:val="left"/>
            </w:pPr>
            <w:r>
              <w:t xml:space="preserve">1/min</w:t>
            </w:r>
          </w:p>
        </w:tc>
      </w:tr>
      <w:tr>
        <w:tc>
          <w:tcPr/>
          <w:p>
            <w:pPr>
              <w:pStyle w:val="Compact"/>
              <w:jc w:val="left"/>
            </w:pPr>
            <w:r>
              <w:rPr>
                <w:rStyle w:val="VerbatimChar"/>
              </w:rPr>
              <w:t xml:space="preserve">kcat</w:t>
            </w:r>
            <w:r>
              <w:t xml:space="preserve"> </w:t>
            </w:r>
            <w:r>
              <w:t xml:space="preserve">(UGT2B7)</w:t>
            </w:r>
          </w:p>
        </w:tc>
        <w:tc>
          <w:tcPr/>
          <w:p>
            <w:pPr>
              <w:pStyle w:val="Compact"/>
              <w:jc w:val="left"/>
            </w:pPr>
            <w:r>
              <w:t xml:space="preserve">0.0669</w:t>
            </w:r>
          </w:p>
        </w:tc>
        <w:tc>
          <w:tcPr/>
          <w:p>
            <w:pPr>
              <w:pStyle w:val="Compact"/>
              <w:jc w:val="left"/>
            </w:pPr>
            <w:r>
              <w:t xml:space="preserve">1/min</w:t>
            </w:r>
          </w:p>
        </w:tc>
      </w:tr>
      <w:tr>
        <w:tc>
          <w:tcPr/>
          <w:p>
            <w:pPr>
              <w:pStyle w:val="Compact"/>
              <w:jc w:val="left"/>
            </w:pPr>
            <w:r>
              <w:rPr>
                <w:rStyle w:val="VerbatimChar"/>
              </w:rPr>
              <w:t xml:space="preserve">GFR fraction</w:t>
            </w:r>
          </w:p>
        </w:tc>
        <w:tc>
          <w:tcPr/>
          <w:p>
            <w:pPr>
              <w:pStyle w:val="Compact"/>
              <w:jc w:val="left"/>
            </w:pPr>
            <w:r>
              <w:t xml:space="preserve">0.0240</w:t>
            </w:r>
          </w:p>
        </w:tc>
        <w:tc>
          <w:tcPr/>
          <w:p>
            <w:pPr>
              <w:pStyle w:val="Compact"/>
            </w:pPr>
          </w:p>
        </w:tc>
      </w:tr>
      <w:tr>
        <w:tc>
          <w:tcPr/>
          <w:p>
            <w:pPr>
              <w:pStyle w:val="Compact"/>
              <w:jc w:val="left"/>
            </w:pPr>
            <w:r>
              <w:rPr>
                <w:rStyle w:val="VerbatimChar"/>
              </w:rPr>
              <w:t xml:space="preserve">EC50</w:t>
            </w:r>
            <w:r>
              <w:t xml:space="preserve"> </w:t>
            </w:r>
            <w:r>
              <w:t xml:space="preserve">(CYP3A4)</w:t>
            </w:r>
          </w:p>
        </w:tc>
        <w:tc>
          <w:tcPr/>
          <w:p>
            <w:pPr>
              <w:pStyle w:val="Compact"/>
              <w:jc w:val="left"/>
            </w:pPr>
            <w:r>
              <w:t xml:space="preserve">27.2</w:t>
            </w:r>
          </w:p>
        </w:tc>
        <w:tc>
          <w:tcPr/>
          <w:p>
            <w:pPr>
              <w:pStyle w:val="Compact"/>
              <w:jc w:val="left"/>
            </w:pPr>
            <w:r>
              <w:t xml:space="preserve">µM</w:t>
            </w:r>
          </w:p>
        </w:tc>
      </w:tr>
      <w:tr>
        <w:tc>
          <w:tcPr/>
          <w:p>
            <w:pPr>
              <w:pStyle w:val="Compact"/>
              <w:jc w:val="left"/>
            </w:pPr>
            <w:r>
              <w:rPr>
                <w:rStyle w:val="VerbatimChar"/>
              </w:rPr>
              <w:t xml:space="preserve">Dissolution time (50% dissolved)</w:t>
            </w:r>
            <w:r>
              <w:t xml:space="preserve"> </w:t>
            </w:r>
            <w:r>
              <w:t xml:space="preserve">(IR tablet, fasted)</w:t>
            </w:r>
          </w:p>
        </w:tc>
        <w:tc>
          <w:tcPr/>
          <w:p>
            <w:pPr>
              <w:pStyle w:val="Compact"/>
              <w:jc w:val="left"/>
            </w:pPr>
            <w:r>
              <w:t xml:space="preserve">109</w:t>
            </w:r>
          </w:p>
        </w:tc>
        <w:tc>
          <w:tcPr/>
          <w:p>
            <w:pPr>
              <w:pStyle w:val="Compact"/>
              <w:jc w:val="left"/>
            </w:pPr>
            <w:r>
              <w:t xml:space="preserve">min</w:t>
            </w:r>
          </w:p>
        </w:tc>
      </w:tr>
      <w:tr>
        <w:tc>
          <w:tcPr/>
          <w:p>
            <w:pPr>
              <w:pStyle w:val="Compact"/>
              <w:jc w:val="left"/>
            </w:pPr>
            <w:r>
              <w:rPr>
                <w:rStyle w:val="VerbatimChar"/>
              </w:rPr>
              <w:t xml:space="preserve">Dissolution shape</w:t>
            </w:r>
            <w:r>
              <w:t xml:space="preserve"> </w:t>
            </w:r>
            <w:r>
              <w:t xml:space="preserve">(IR tablet, fasted)</w:t>
            </w:r>
          </w:p>
        </w:tc>
        <w:tc>
          <w:tcPr/>
          <w:p>
            <w:pPr>
              <w:pStyle w:val="Compact"/>
              <w:jc w:val="left"/>
            </w:pPr>
            <w:r>
              <w:t xml:space="preserve">0.689</w:t>
            </w:r>
          </w:p>
        </w:tc>
        <w:tc>
          <w:tcPr/>
          <w:p>
            <w:pPr>
              <w:pStyle w:val="Compact"/>
            </w:pPr>
          </w:p>
        </w:tc>
      </w:tr>
      <w:tr>
        <w:tc>
          <w:tcPr/>
          <w:p>
            <w:pPr>
              <w:pStyle w:val="Compact"/>
              <w:jc w:val="left"/>
            </w:pPr>
            <w:r>
              <w:rPr>
                <w:rStyle w:val="VerbatimChar"/>
              </w:rPr>
              <w:t xml:space="preserve">Dissolution time (50% dissolved)</w:t>
            </w:r>
            <w:r>
              <w:t xml:space="preserve"> </w:t>
            </w:r>
            <w:r>
              <w:t xml:space="preserve">(XR formulation, fasted)</w:t>
            </w:r>
          </w:p>
        </w:tc>
        <w:tc>
          <w:tcPr/>
          <w:p>
            <w:pPr>
              <w:pStyle w:val="Compact"/>
              <w:jc w:val="left"/>
            </w:pPr>
            <w:r>
              <w:t xml:space="preserve">315</w:t>
            </w:r>
          </w:p>
        </w:tc>
        <w:tc>
          <w:tcPr/>
          <w:p>
            <w:pPr>
              <w:pStyle w:val="Compact"/>
              <w:jc w:val="left"/>
            </w:pPr>
            <w:r>
              <w:t xml:space="preserve">min</w:t>
            </w:r>
          </w:p>
        </w:tc>
      </w:tr>
      <w:tr>
        <w:tc>
          <w:tcPr/>
          <w:p>
            <w:pPr>
              <w:pStyle w:val="Compact"/>
              <w:jc w:val="left"/>
            </w:pPr>
            <w:r>
              <w:rPr>
                <w:rStyle w:val="VerbatimChar"/>
              </w:rPr>
              <w:t xml:space="preserve">Dissolution shape</w:t>
            </w:r>
            <w:r>
              <w:t xml:space="preserve"> </w:t>
            </w:r>
            <w:r>
              <w:t xml:space="preserve">(XR formulation, fasted)</w:t>
            </w:r>
          </w:p>
        </w:tc>
        <w:tc>
          <w:tcPr/>
          <w:p>
            <w:pPr>
              <w:pStyle w:val="Compact"/>
              <w:jc w:val="left"/>
            </w:pPr>
            <w:r>
              <w:t xml:space="preserve">1.23</w:t>
            </w:r>
          </w:p>
        </w:tc>
        <w:tc>
          <w:tcPr/>
          <w:p>
            <w:pPr>
              <w:pStyle w:val="Compact"/>
            </w:pPr>
          </w:p>
        </w:tc>
      </w:tr>
      <w:tr>
        <w:tc>
          <w:tcPr/>
          <w:p>
            <w:pPr>
              <w:pStyle w:val="Compact"/>
              <w:jc w:val="left"/>
            </w:pPr>
            <w:r>
              <w:rPr>
                <w:rStyle w:val="VerbatimChar"/>
              </w:rPr>
              <w:t xml:space="preserve">Solubility at ref pH</w:t>
            </w:r>
            <w:r>
              <w:t xml:space="preserve"> </w:t>
            </w:r>
            <w:r>
              <w:t xml:space="preserve">– for XR formulations only</w:t>
            </w:r>
          </w:p>
        </w:tc>
        <w:tc>
          <w:tcPr/>
          <w:p>
            <w:pPr>
              <w:pStyle w:val="Compact"/>
              <w:jc w:val="left"/>
            </w:pPr>
            <w:r>
              <w:t xml:space="preserve">546</w:t>
            </w:r>
          </w:p>
        </w:tc>
        <w:tc>
          <w:tcPr/>
          <w:p>
            <w:pPr>
              <w:pStyle w:val="Compact"/>
              <w:jc w:val="left"/>
            </w:pPr>
            <w:r>
              <w:t xml:space="preserve">mg/L</w:t>
            </w:r>
          </w:p>
        </w:tc>
      </w:tr>
    </w:tbl>
    <w:bookmarkEnd w:id="32"/>
    <w:bookmarkEnd w:id="33"/>
    <w:bookmarkEnd w:id="34"/>
    <w:bookmarkStart w:id="267"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carbamazepine was developed and evaluated using publicly available clinical pharmacokinetic data from studies listed in</w:t>
      </w:r>
      <w:r>
        <w:t xml:space="preserve"> </w:t>
      </w:r>
      <w:hyperlink w:anchor="X7ecbd1fd734a207de60ff9705c88346a68b0398">
        <w:r>
          <w:rPr>
            <w:rStyle w:val="Hyperlink"/>
          </w:rPr>
          <w:t xml:space="preserve">Section 2.2.2</w:t>
        </w:r>
      </w:hyperlink>
      <w:r>
        <w:t xml:space="preserve">.</w:t>
      </w:r>
    </w:p>
    <w:p>
      <w:pPr>
        <w:pStyle w:val="BodyText"/>
      </w:pPr>
      <w:r>
        <w:t xml:space="preserve">The next sections show:</w:t>
      </w:r>
    </w:p>
    <w:p>
      <w:pPr>
        <w:numPr>
          <w:ilvl w:val="0"/>
          <w:numId w:val="1002"/>
        </w:numPr>
        <w:pStyle w:val="Compact"/>
      </w:pPr>
      <w:r>
        <w:t xml:space="preserve">the final model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2"/>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2"/>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72"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50" w:name="compound-carbamazepine"/>
    <w:p>
      <w:pPr>
        <w:pStyle w:val="Heading3"/>
      </w:pPr>
      <w:r>
        <w:t xml:space="preserve">Compound: Carbamazepine</w:t>
      </w:r>
    </w:p>
    <w:bookmarkStart w:id="35" w:name="parameters"/>
    <w:p>
      <w:pPr>
        <w:pStyle w:val="Heading4"/>
      </w:pPr>
      <w:r>
        <w:t xml:space="preserve">Parameters</w:t>
      </w:r>
    </w:p>
    <w:tbl>
      <w:tblPr>
        <w:tblStyle w:val="Table"/>
        <w:tblW w:type="pct" w:w="5000"/>
        <w:tblLook w:firstRow="1" w:lastRow="0" w:firstColumn="0" w:lastColumn="0" w:noHBand="0" w:noVBand="0" w:val="0020"/>
        <w:jc w:val="start"/>
      </w:tblPr>
      <w:tblGrid>
        <w:gridCol w:w="894"/>
        <w:gridCol w:w="468"/>
        <w:gridCol w:w="6025"/>
        <w:gridCol w:w="383"/>
        <w:gridCol w:w="149"/>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308.3333 mg/l</w:t>
            </w:r>
          </w:p>
        </w:tc>
        <w:tc>
          <w:tcPr/>
          <w:p>
            <w:pPr>
              <w:pStyle w:val="Compact"/>
              <w:jc w:val="left"/>
            </w:pPr>
            <w:r>
              <w:t xml:space="preserve">Publication-Mean value of the following FaHIF solubility data reported in the literature: 336 µg/mL, pH 6.2 (Annaert 2010; DOI: 10.1016/j.ejps.2009.10.005); 283 µg/mL, pH 7.0 (Söderlind 2010; DOI: 10.1021/mp100144v); 306 mg/mL, pH 6.9 (Clarysse 2011; DOI: 10.1016/j.ejps.2011.04.016)</w:t>
            </w:r>
          </w:p>
        </w:tc>
        <w:tc>
          <w:tcPr/>
          <w:p>
            <w:pPr>
              <w:pStyle w:val="Compact"/>
              <w:jc w:val="left"/>
            </w:pPr>
            <w:r>
              <w:t xml:space="preserve">IR tablet (FaHIF)</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6.7</w:t>
            </w:r>
          </w:p>
        </w:tc>
        <w:tc>
          <w:tcPr/>
          <w:p>
            <w:pPr>
              <w:pStyle w:val="Compact"/>
              <w:jc w:val="left"/>
            </w:pPr>
            <w:r>
              <w:t xml:space="preserve">Publication-Mean value of the following FaHIF solubility data reported in the literature: 336 µg/mL, pH 6.2 (Annaert 2010; DOI: 10.1016/j.ejps.2009.10.005); 283 µg/mL, pH 7.0 (Söderlind 2010; DOI: 10.1021/mp100144v); 306 mg/mL, pH 6.9 (Clarysse 2011; DOI: 10.1016/j.ejps.2011.04.016)</w:t>
            </w:r>
          </w:p>
        </w:tc>
        <w:tc>
          <w:tcPr/>
          <w:p>
            <w:pPr>
              <w:pStyle w:val="Compact"/>
              <w:jc w:val="left"/>
            </w:pPr>
            <w:r>
              <w:t xml:space="preserve">IR tablet (FaHIF)</w:t>
            </w:r>
          </w:p>
        </w:tc>
        <w:tc>
          <w:tcPr/>
          <w:p>
            <w:pPr>
              <w:pStyle w:val="Compact"/>
              <w:jc w:val="left"/>
            </w:pPr>
            <w:r>
              <w:t xml:space="preserve">True</w:t>
            </w:r>
          </w:p>
        </w:tc>
      </w:tr>
      <w:tr>
        <w:tc>
          <w:tcPr/>
          <w:p>
            <w:pPr>
              <w:pStyle w:val="Compact"/>
              <w:jc w:val="left"/>
            </w:pPr>
            <w:r>
              <w:t xml:space="preserve">Solubility at reference pH</w:t>
            </w:r>
          </w:p>
        </w:tc>
        <w:tc>
          <w:tcPr/>
          <w:p>
            <w:pPr>
              <w:pStyle w:val="Compact"/>
              <w:jc w:val="left"/>
            </w:pPr>
            <w:r>
              <w:t xml:space="preserve">546.0199756643 mg/l</w:t>
            </w:r>
          </w:p>
        </w:tc>
        <w:tc>
          <w:tcPr/>
          <w:p>
            <w:pPr>
              <w:pStyle w:val="Compact"/>
              <w:jc w:val="left"/>
            </w:pPr>
            <w:r>
              <w:t xml:space="preserve">Parameter Identification-Parameter Identification-Value updated from</w:t>
            </w:r>
            <w:r>
              <w:t xml:space="preserve"> </w:t>
            </w:r>
            <w:r>
              <w:t xml:space="preserve">‘</w:t>
            </w:r>
            <w:r>
              <w:t xml:space="preserve">004-2_from-003-1_XRtablet_fasted_solubility_FINAL</w:t>
            </w:r>
            <w:r>
              <w:t xml:space="preserve">’</w:t>
            </w:r>
            <w:r>
              <w:t xml:space="preserve"> </w:t>
            </w:r>
            <w:r>
              <w:t xml:space="preserve">on 2022-03-24 12:41</w:t>
            </w:r>
          </w:p>
        </w:tc>
        <w:tc>
          <w:tcPr/>
          <w:p>
            <w:pPr>
              <w:pStyle w:val="Compact"/>
              <w:jc w:val="left"/>
            </w:pPr>
            <w:r>
              <w:t xml:space="preserve">XR tablet (fitted)</w:t>
            </w:r>
          </w:p>
        </w:tc>
        <w:tc>
          <w:tcPr/>
          <w:p>
            <w:pPr>
              <w:pStyle w:val="Compact"/>
              <w:jc w:val="left"/>
            </w:pPr>
            <w:r>
              <w:t xml:space="preserve">False</w:t>
            </w:r>
          </w:p>
        </w:tc>
      </w:tr>
      <w:tr>
        <w:tc>
          <w:tcPr/>
          <w:p>
            <w:pPr>
              <w:pStyle w:val="Compact"/>
              <w:jc w:val="left"/>
            </w:pPr>
            <w:r>
              <w:t xml:space="preserve">Reference pH</w:t>
            </w:r>
          </w:p>
        </w:tc>
        <w:tc>
          <w:tcPr/>
          <w:p>
            <w:pPr>
              <w:pStyle w:val="Compact"/>
              <w:jc w:val="left"/>
            </w:pPr>
            <w:r>
              <w:t xml:space="preserve">6.7</w:t>
            </w:r>
          </w:p>
        </w:tc>
        <w:tc>
          <w:tcPr/>
          <w:p>
            <w:pPr>
              <w:pStyle w:val="Compact"/>
              <w:jc w:val="left"/>
            </w:pPr>
            <w:r>
              <w:t xml:space="preserve">Parameter Identification-Parameter Identification-Value updated from</w:t>
            </w:r>
            <w:r>
              <w:t xml:space="preserve"> </w:t>
            </w:r>
            <w:r>
              <w:t xml:space="preserve">‘</w:t>
            </w:r>
            <w:r>
              <w:t xml:space="preserve">004-2_from-003-1_XRtablet_fasted_solubility_FINAL</w:t>
            </w:r>
            <w:r>
              <w:t xml:space="preserve">’</w:t>
            </w:r>
            <w:r>
              <w:t xml:space="preserve"> </w:t>
            </w:r>
            <w:r>
              <w:t xml:space="preserve">on 2022-03-16 18:25</w:t>
            </w:r>
          </w:p>
        </w:tc>
        <w:tc>
          <w:tcPr/>
          <w:p>
            <w:pPr>
              <w:pStyle w:val="Compact"/>
              <w:jc w:val="left"/>
            </w:pPr>
            <w:r>
              <w:t xml:space="preserve">XR tablet (fitted)</w:t>
            </w:r>
          </w:p>
        </w:tc>
        <w:tc>
          <w:tcPr/>
          <w:p>
            <w:pPr>
              <w:pStyle w:val="Compact"/>
              <w:jc w:val="left"/>
            </w:pPr>
            <w:r>
              <w:t xml:space="preserve">False</w:t>
            </w:r>
          </w:p>
        </w:tc>
      </w:tr>
      <w:tr>
        <w:tc>
          <w:tcPr/>
          <w:p>
            <w:pPr>
              <w:pStyle w:val="Compact"/>
              <w:jc w:val="left"/>
            </w:pPr>
            <w:r>
              <w:t xml:space="preserve">Lipophilicity</w:t>
            </w:r>
          </w:p>
        </w:tc>
        <w:tc>
          <w:tcPr/>
          <w:p>
            <w:pPr>
              <w:pStyle w:val="Compact"/>
              <w:jc w:val="left"/>
            </w:pPr>
            <w:r>
              <w:t xml:space="preserve">2.0067753065 Log Units</w:t>
            </w:r>
          </w:p>
        </w:tc>
        <w:tc>
          <w:tcPr/>
          <w:p>
            <w:pPr>
              <w:pStyle w:val="Compact"/>
              <w:jc w:val="left"/>
            </w:pPr>
            <w:r>
              <w:t xml:space="preserve">Parameter Identification-Parameter Identification-Value updated from</w:t>
            </w:r>
            <w:r>
              <w:t xml:space="preserve"> </w:t>
            </w:r>
            <w:r>
              <w:t xml:space="preserve">‘</w:t>
            </w:r>
            <w:r>
              <w:t xml:space="preserve">001-5-3_CYP3A4_MM-kinetics_WithoutTablet</w:t>
            </w:r>
            <w:r>
              <w:t xml:space="preserve">’</w:t>
            </w:r>
            <w:r>
              <w:t xml:space="preserve"> </w:t>
            </w:r>
            <w:r>
              <w:t xml:space="preserve">on 2022-02-21 16:49</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0.243</w:t>
            </w:r>
          </w:p>
        </w:tc>
        <w:tc>
          <w:tcPr/>
          <w:p>
            <w:pPr>
              <w:pStyle w:val="Compact"/>
              <w:jc w:val="left"/>
            </w:pPr>
            <w:r>
              <w:t xml:space="preserve">Publication-Morselli 1975 (DOI: 10.1007/978-3-642-85921-2_16)</w:t>
            </w:r>
          </w:p>
        </w:tc>
        <w:tc>
          <w:tcPr/>
          <w:p>
            <w:pPr>
              <w:pStyle w:val="Compact"/>
              <w:jc w:val="left"/>
            </w:pPr>
            <w:r>
              <w:t xml:space="preserve">Morselli 1975</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236.2686 g/mol</w:t>
            </w:r>
          </w:p>
        </w:tc>
        <w:tc>
          <w:tcPr/>
          <w:p>
            <w:pPr>
              <w:pStyle w:val="Compact"/>
              <w:jc w:val="left"/>
            </w:pPr>
            <w:r>
              <w:t xml:space="preserve">Internet-DrugBank (https://go.drugbank.com/drugs/DB00564)</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35"/>
    <w:bookmarkStart w:id="36"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6"/>
    <w:bookmarkStart w:id="49" w:name="processes"/>
    <w:p>
      <w:pPr>
        <w:pStyle w:val="Heading4"/>
      </w:pPr>
      <w:r>
        <w:t xml:space="preserve">Processes</w:t>
      </w:r>
    </w:p>
    <w:bookmarkStart w:id="38" w:name="induction-cyp3a4-dmpk"/>
    <w:p>
      <w:pPr>
        <w:pStyle w:val="Heading5"/>
      </w:pPr>
      <w:r>
        <w:t xml:space="preserve">Induction: CYP3A4-DMPK</w:t>
      </w:r>
    </w:p>
    <w:p>
      <w:pPr>
        <w:pStyle w:val="FirstParagraph"/>
      </w:pPr>
      <w:r>
        <w:t xml:space="preserve">Molecule: CYP3A4</w:t>
      </w:r>
    </w:p>
    <w:bookmarkStart w:id="37" w:name="parameters-1"/>
    <w:p>
      <w:pPr>
        <w:pStyle w:val="Heading6"/>
      </w:pPr>
      <w:r>
        <w:t xml:space="preserve">Parameters</w:t>
      </w:r>
    </w:p>
    <w:tbl>
      <w:tblPr>
        <w:tblStyle w:val="Table"/>
        <w:tblW w:type="pct" w:w="5000"/>
        <w:tblLook w:firstRow="1" w:lastRow="0" w:firstColumn="0" w:lastColumn="0" w:noHBand="0" w:noVBand="0" w:val="0020"/>
        <w:jc w:val="start"/>
      </w:tblPr>
      <w:tblGrid>
        <w:gridCol w:w="117"/>
        <w:gridCol w:w="559"/>
        <w:gridCol w:w="724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EC50</w:t>
            </w:r>
          </w:p>
        </w:tc>
        <w:tc>
          <w:tcPr/>
          <w:p>
            <w:pPr>
              <w:pStyle w:val="Compact"/>
              <w:jc w:val="left"/>
            </w:pPr>
            <w:r>
              <w:t xml:space="preserve">27.193363407 µmol/l</w:t>
            </w:r>
          </w:p>
        </w:tc>
        <w:tc>
          <w:tcPr/>
          <w:p>
            <w:pPr>
              <w:pStyle w:val="Compact"/>
              <w:jc w:val="left"/>
            </w:pPr>
            <w:r>
              <w:t xml:space="preserve">Parameter Identification-Parameter Identification-Value updated from</w:t>
            </w:r>
            <w:r>
              <w:t xml:space="preserve"> </w:t>
            </w:r>
            <w:r>
              <w:t xml:space="preserve">‘</w:t>
            </w:r>
            <w:r>
              <w:t xml:space="preserve">003-1_from002-3-6_EC50</w:t>
            </w:r>
            <w:r>
              <w:t xml:space="preserve">’</w:t>
            </w:r>
            <w:r>
              <w:t xml:space="preserve"> </w:t>
            </w:r>
            <w:r>
              <w:t xml:space="preserve">on 2022-02-24 10:23</w:t>
            </w:r>
          </w:p>
        </w:tc>
      </w:tr>
      <w:tr>
        <w:tc>
          <w:tcPr/>
          <w:p>
            <w:pPr>
              <w:pStyle w:val="Compact"/>
              <w:jc w:val="left"/>
            </w:pPr>
            <w:r>
              <w:t xml:space="preserve">Emax</w:t>
            </w:r>
          </w:p>
        </w:tc>
        <w:tc>
          <w:tcPr/>
          <w:p>
            <w:pPr>
              <w:pStyle w:val="Compact"/>
              <w:jc w:val="left"/>
            </w:pPr>
            <w:r>
              <w:t xml:space="preserve">5.3929777775</w:t>
            </w:r>
          </w:p>
        </w:tc>
        <w:tc>
          <w:tcPr/>
          <w:p>
            <w:pPr>
              <w:pStyle w:val="Compact"/>
              <w:jc w:val="left"/>
            </w:pPr>
            <w:r>
              <w:t xml:space="preserve">Publication-In Vitro-DMPK measurement (internal data); the measured Emax was calibrated with rifampicin by using the Emax implemented in the rifampicin OSP model v1.2 according the the method described by Almond 2016 (DOI: 10.1124/dmd.115.066845)</w:t>
            </w:r>
          </w:p>
        </w:tc>
      </w:tr>
    </w:tbl>
    <w:bookmarkEnd w:id="37"/>
    <w:bookmarkEnd w:id="38"/>
    <w:bookmarkStart w:id="40" w:name="Xe1807a9c559f33ea96e9045066ef9fc7767f4a1"/>
    <w:p>
      <w:pPr>
        <w:pStyle w:val="Heading5"/>
      </w:pPr>
      <w:r>
        <w:t xml:space="preserve">Systemic Process: Glomerular Filtration-Glomerular Filtration</w:t>
      </w:r>
    </w:p>
    <w:p>
      <w:pPr>
        <w:pStyle w:val="FirstParagraph"/>
      </w:pPr>
      <w:r>
        <w:t xml:space="preserve">Species: Human</w:t>
      </w:r>
    </w:p>
    <w:bookmarkStart w:id="39" w:name="parameters-2"/>
    <w:p>
      <w:pPr>
        <w:pStyle w:val="Heading6"/>
      </w:pPr>
      <w:r>
        <w:t xml:space="preserve">Parameters</w:t>
      </w:r>
    </w:p>
    <w:tbl>
      <w:tblPr>
        <w:tblStyle w:val="Table"/>
        <w:tblW w:type="pct" w:w="5000"/>
        <w:tblLook w:firstRow="1" w:lastRow="0" w:firstColumn="0" w:lastColumn="0" w:noHBand="0" w:noVBand="0" w:val="0020"/>
        <w:jc w:val="start"/>
      </w:tblPr>
      <w:tblGrid>
        <w:gridCol w:w="586"/>
        <w:gridCol w:w="635"/>
        <w:gridCol w:w="6697"/>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0.0240108793</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bl>
    <w:bookmarkEnd w:id="39"/>
    <w:bookmarkEnd w:id="40"/>
    <w:bookmarkStart w:id="42" w:name="X9541e2bf4995fc7bad7b91e0434ff695a85874f"/>
    <w:p>
      <w:pPr>
        <w:pStyle w:val="Heading5"/>
      </w:pPr>
      <w:r>
        <w:t xml:space="preserve">Metabolizing Enzyme: UGT2B7-N-Glucuronidation_Staines2004</w:t>
      </w:r>
    </w:p>
    <w:p>
      <w:pPr>
        <w:pStyle w:val="FirstParagraph"/>
      </w:pPr>
      <w:r>
        <w:t xml:space="preserve">Molecule: UGT2B7</w:t>
      </w:r>
    </w:p>
    <w:bookmarkStart w:id="41" w:name="parameters-3"/>
    <w:p>
      <w:pPr>
        <w:pStyle w:val="Heading6"/>
      </w:pPr>
      <w:r>
        <w:t xml:space="preserve">Parameters</w:t>
      </w:r>
    </w:p>
    <w:tbl>
      <w:tblPr>
        <w:tblStyle w:val="Table"/>
        <w:tblW w:type="pct" w:w="5000"/>
        <w:tblLook w:firstRow="1" w:lastRow="0" w:firstColumn="0" w:lastColumn="0" w:noHBand="0" w:noVBand="0" w:val="0020"/>
        <w:jc w:val="start"/>
      </w:tblPr>
      <w:tblGrid>
        <w:gridCol w:w="1637"/>
        <w:gridCol w:w="1066"/>
        <w:gridCol w:w="521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3.5 pmol/min/mg mic. protein</w:t>
            </w:r>
          </w:p>
        </w:tc>
        <w:tc>
          <w:tcPr/>
          <w:p>
            <w:pPr>
              <w:pStyle w:val="Compact"/>
              <w:jc w:val="left"/>
            </w:pPr>
            <w:r>
              <w:t xml:space="preserve">Publication-In Vitro-Staines 2004 (DOI: 10.1124/jpet.104.073114)</w:t>
            </w:r>
          </w:p>
        </w:tc>
      </w:tr>
      <w:tr>
        <w:tc>
          <w:tcPr/>
          <w:p>
            <w:pPr>
              <w:pStyle w:val="Compact"/>
              <w:jc w:val="left"/>
            </w:pPr>
            <w:r>
              <w:t xml:space="preserve">Content of CYP proteins in liver microsomes</w:t>
            </w:r>
          </w:p>
        </w:tc>
        <w:tc>
          <w:tcPr/>
          <w:p>
            <w:pPr>
              <w:pStyle w:val="Compact"/>
              <w:jc w:val="left"/>
            </w:pPr>
            <w:r>
              <w:t xml:space="preserve">82.9 pmol/mg mic. protein</w:t>
            </w:r>
          </w:p>
        </w:tc>
        <w:tc>
          <w:tcPr/>
          <w:p>
            <w:pPr>
              <w:pStyle w:val="Compact"/>
              <w:jc w:val="left"/>
            </w:pPr>
            <w:r>
              <w:t xml:space="preserve">Publication-In Vitro-Achour 2014 (DOI: 10.1124/dmd.113.055632)</w:t>
            </w:r>
          </w:p>
        </w:tc>
      </w:tr>
      <w:tr>
        <w:tc>
          <w:tcPr/>
          <w:p>
            <w:pPr>
              <w:pStyle w:val="Compact"/>
              <w:jc w:val="left"/>
            </w:pPr>
            <w:r>
              <w:t xml:space="preserve">Km</w:t>
            </w:r>
          </w:p>
        </w:tc>
        <w:tc>
          <w:tcPr/>
          <w:p>
            <w:pPr>
              <w:pStyle w:val="Compact"/>
              <w:jc w:val="left"/>
            </w:pPr>
            <w:r>
              <w:t xml:space="preserve">234 µmol/l</w:t>
            </w:r>
          </w:p>
        </w:tc>
        <w:tc>
          <w:tcPr/>
          <w:p>
            <w:pPr>
              <w:pStyle w:val="Compact"/>
              <w:jc w:val="left"/>
            </w:pPr>
            <w:r>
              <w:t xml:space="preserve">Publication-In Vitro-Staines 2004 (DOI: 10.1124/jpet.104.073114)</w:t>
            </w:r>
          </w:p>
        </w:tc>
      </w:tr>
      <w:tr>
        <w:tc>
          <w:tcPr/>
          <w:p>
            <w:pPr>
              <w:pStyle w:val="Compact"/>
              <w:jc w:val="left"/>
            </w:pPr>
            <w:r>
              <w:t xml:space="preserve">kcat</w:t>
            </w:r>
          </w:p>
        </w:tc>
        <w:tc>
          <w:tcPr/>
          <w:p>
            <w:pPr>
              <w:pStyle w:val="Compact"/>
              <w:jc w:val="left"/>
            </w:pPr>
            <w:r>
              <w:t xml:space="preserve">0.0668699322 1/min</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bl>
    <w:bookmarkEnd w:id="41"/>
    <w:bookmarkEnd w:id="42"/>
    <w:bookmarkStart w:id="44" w:name="X575c9a4db82b8b7c0bbfe07fcdcf36368a5e2dd"/>
    <w:p>
      <w:pPr>
        <w:pStyle w:val="Heading5"/>
      </w:pPr>
      <w:r>
        <w:t xml:space="preserve">Metabolizing Enzyme: CYP2B6-3-Hydroxylation_Pearce2002</w:t>
      </w:r>
    </w:p>
    <w:p>
      <w:pPr>
        <w:pStyle w:val="FirstParagraph"/>
      </w:pPr>
      <w:r>
        <w:t xml:space="preserve">Molecule: CYP2B6</w:t>
      </w:r>
    </w:p>
    <w:bookmarkStart w:id="43" w:name="parameters-4"/>
    <w:p>
      <w:pPr>
        <w:pStyle w:val="Heading6"/>
      </w:pPr>
      <w:r>
        <w:t xml:space="preserve">Parameters</w:t>
      </w:r>
    </w:p>
    <w:tbl>
      <w:tblPr>
        <w:tblStyle w:val="Table"/>
        <w:tblW w:type="pct" w:w="5000"/>
        <w:tblLook w:firstRow="1" w:lastRow="0" w:firstColumn="0" w:lastColumn="0" w:noHBand="0" w:noVBand="0" w:val="0020"/>
        <w:jc w:val="start"/>
      </w:tblPr>
      <w:tblGrid>
        <w:gridCol w:w="1645"/>
        <w:gridCol w:w="1033"/>
        <w:gridCol w:w="5241"/>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49 pmol/min/mg mic. protein</w:t>
            </w:r>
          </w:p>
        </w:tc>
        <w:tc>
          <w:tcPr/>
          <w:p>
            <w:pPr>
              <w:pStyle w:val="Compact"/>
              <w:jc w:val="left"/>
            </w:pPr>
            <w:r>
              <w:t xml:space="preserve">Publication-In Vitro-Pearce 2002 (DOI: 10.1124/dmd.30.11.1170)</w:t>
            </w:r>
          </w:p>
        </w:tc>
      </w:tr>
      <w:tr>
        <w:tc>
          <w:tcPr/>
          <w:p>
            <w:pPr>
              <w:pStyle w:val="Compact"/>
              <w:jc w:val="left"/>
            </w:pPr>
            <w:r>
              <w:t xml:space="preserve">Content of CYP proteins in liver microsomes</w:t>
            </w:r>
          </w:p>
        </w:tc>
        <w:tc>
          <w:tcPr/>
          <w:p>
            <w:pPr>
              <w:pStyle w:val="Compact"/>
              <w:jc w:val="left"/>
            </w:pPr>
            <w:r>
              <w:t xml:space="preserve">39 pmol/mg mic. protein</w:t>
            </w:r>
          </w:p>
        </w:tc>
        <w:tc>
          <w:tcPr/>
          <w:p>
            <w:pPr>
              <w:pStyle w:val="Compact"/>
              <w:jc w:val="left"/>
            </w:pPr>
            <w:r>
              <w:t xml:space="preserve">Publication-In Vitro-Rodrigues 1999 (DOI: 10.1016/s0006-2952(98)00268-8)</w:t>
            </w:r>
          </w:p>
        </w:tc>
      </w:tr>
      <w:tr>
        <w:tc>
          <w:tcPr/>
          <w:p>
            <w:pPr>
              <w:pStyle w:val="Compact"/>
              <w:jc w:val="left"/>
            </w:pPr>
            <w:r>
              <w:t xml:space="preserve">Km</w:t>
            </w:r>
          </w:p>
        </w:tc>
        <w:tc>
          <w:tcPr/>
          <w:p>
            <w:pPr>
              <w:pStyle w:val="Compact"/>
              <w:jc w:val="left"/>
            </w:pPr>
            <w:r>
              <w:t xml:space="preserve">235 µmol/l</w:t>
            </w:r>
          </w:p>
        </w:tc>
        <w:tc>
          <w:tcPr/>
          <w:p>
            <w:pPr>
              <w:pStyle w:val="Compact"/>
              <w:jc w:val="left"/>
            </w:pPr>
            <w:r>
              <w:t xml:space="preserve">Publication-Pearce 2002 (DOI: 10.1124/dmd.30.11.1170)</w:t>
            </w:r>
          </w:p>
        </w:tc>
      </w:tr>
      <w:tr>
        <w:tc>
          <w:tcPr/>
          <w:p>
            <w:pPr>
              <w:pStyle w:val="Compact"/>
              <w:jc w:val="left"/>
            </w:pPr>
            <w:r>
              <w:t xml:space="preserve">kcat</w:t>
            </w:r>
          </w:p>
        </w:tc>
        <w:tc>
          <w:tcPr/>
          <w:p>
            <w:pPr>
              <w:pStyle w:val="Compact"/>
              <w:jc w:val="left"/>
            </w:pPr>
            <w:r>
              <w:t xml:space="preserve">0.9361790504 1/min</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bl>
    <w:bookmarkEnd w:id="43"/>
    <w:bookmarkEnd w:id="44"/>
    <w:bookmarkStart w:id="46" w:name="X21fd13a67f4310abf16880f4e4e3679a212a74a"/>
    <w:p>
      <w:pPr>
        <w:pStyle w:val="Heading5"/>
      </w:pPr>
      <w:r>
        <w:t xml:space="preserve">Metabolizing Enzyme: CYP3A4-Epoxidation_Sakamoto2013</w:t>
      </w:r>
    </w:p>
    <w:p>
      <w:pPr>
        <w:pStyle w:val="FirstParagraph"/>
      </w:pPr>
      <w:r>
        <w:t xml:space="preserve">Molecule: CYP3A4</w:t>
      </w:r>
    </w:p>
    <w:bookmarkStart w:id="45" w:name="parameters-5"/>
    <w:p>
      <w:pPr>
        <w:pStyle w:val="Heading6"/>
      </w:pPr>
      <w:r>
        <w:t xml:space="preserve">Parameters</w:t>
      </w:r>
    </w:p>
    <w:tbl>
      <w:tblPr>
        <w:tblStyle w:val="Table"/>
        <w:tblW w:type="pct" w:w="5000"/>
        <w:tblLook w:firstRow="1" w:lastRow="0" w:firstColumn="0" w:lastColumn="0" w:noHBand="0" w:noVBand="0" w:val="0020"/>
        <w:jc w:val="start"/>
      </w:tblPr>
      <w:tblGrid>
        <w:gridCol w:w="1353"/>
        <w:gridCol w:w="1114"/>
        <w:gridCol w:w="545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726 pmol/min/mg mic. protein</w:t>
            </w:r>
          </w:p>
        </w:tc>
        <w:tc>
          <w:tcPr/>
          <w:p>
            <w:pPr>
              <w:pStyle w:val="Compact"/>
              <w:jc w:val="left"/>
            </w:pPr>
            <w:r>
              <w:t xml:space="preserve">Publication-In Vitro-Sakamoto 2013 (DOI: 10.1248/bpb.b13-00569)</w:t>
            </w:r>
          </w:p>
        </w:tc>
      </w:tr>
      <w:tr>
        <w:tc>
          <w:tcPr/>
          <w:p>
            <w:pPr>
              <w:pStyle w:val="Compact"/>
              <w:jc w:val="left"/>
            </w:pPr>
            <w:r>
              <w:t xml:space="preserve">Km</w:t>
            </w:r>
          </w:p>
        </w:tc>
        <w:tc>
          <w:tcPr/>
          <w:p>
            <w:pPr>
              <w:pStyle w:val="Compact"/>
              <w:jc w:val="left"/>
            </w:pPr>
            <w:r>
              <w:t xml:space="preserve">808 µmol/l</w:t>
            </w:r>
          </w:p>
        </w:tc>
        <w:tc>
          <w:tcPr/>
          <w:p>
            <w:pPr>
              <w:pStyle w:val="Compact"/>
              <w:jc w:val="left"/>
            </w:pPr>
            <w:r>
              <w:t xml:space="preserve">Publication-In Vitro-Sakamoto 2013 (DOI: 10.1248/bpb.b13-00569)</w:t>
            </w:r>
          </w:p>
        </w:tc>
      </w:tr>
      <w:tr>
        <w:tc>
          <w:tcPr/>
          <w:p>
            <w:pPr>
              <w:pStyle w:val="Compact"/>
              <w:jc w:val="left"/>
            </w:pPr>
            <w:r>
              <w:t xml:space="preserve">kcat</w:t>
            </w:r>
          </w:p>
        </w:tc>
        <w:tc>
          <w:tcPr/>
          <w:p>
            <w:pPr>
              <w:pStyle w:val="Compact"/>
              <w:jc w:val="left"/>
            </w:pPr>
            <w:r>
              <w:t xml:space="preserve">5.0088763476 1/min</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bl>
    <w:bookmarkEnd w:id="45"/>
    <w:bookmarkEnd w:id="46"/>
    <w:bookmarkStart w:id="48" w:name="induction-cyp2b6-faucette2004"/>
    <w:p>
      <w:pPr>
        <w:pStyle w:val="Heading5"/>
      </w:pPr>
      <w:r>
        <w:t xml:space="preserve">Induction: CYP2B6-Faucette2004</w:t>
      </w:r>
    </w:p>
    <w:p>
      <w:pPr>
        <w:pStyle w:val="FirstParagraph"/>
      </w:pPr>
      <w:r>
        <w:t xml:space="preserve">Molecule: CYP2B6</w:t>
      </w:r>
    </w:p>
    <w:bookmarkStart w:id="47" w:name="parameters-6"/>
    <w:p>
      <w:pPr>
        <w:pStyle w:val="Heading6"/>
      </w:pPr>
      <w:r>
        <w:t xml:space="preserve">Parameters</w:t>
      </w:r>
    </w:p>
    <w:tbl>
      <w:tblPr>
        <w:tblStyle w:val="Table"/>
        <w:tblW w:type="pct" w:w="5000"/>
        <w:tblLook w:firstRow="1" w:lastRow="0" w:firstColumn="0" w:lastColumn="0" w:noHBand="0" w:noVBand="0" w:val="0020"/>
        <w:jc w:val="start"/>
      </w:tblPr>
      <w:tblGrid>
        <w:gridCol w:w="176"/>
        <w:gridCol w:w="486"/>
        <w:gridCol w:w="725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EC50</w:t>
            </w:r>
          </w:p>
        </w:tc>
        <w:tc>
          <w:tcPr/>
          <w:p>
            <w:pPr>
              <w:pStyle w:val="Compact"/>
              <w:jc w:val="left"/>
            </w:pPr>
            <w:r>
              <w:t xml:space="preserve">1000 µmol/l</w:t>
            </w:r>
          </w:p>
        </w:tc>
        <w:tc>
          <w:tcPr/>
          <w:p>
            <w:pPr>
              <w:pStyle w:val="Compact"/>
              <w:jc w:val="left"/>
            </w:pPr>
            <w:r>
              <w:t xml:space="preserve">Publication-Set to an arbitrarily high value to enable linear induction as suggested by Faucette 2004 (DOI: 10.1124/dmd.32.3.348); see evaluation report for details</w:t>
            </w:r>
          </w:p>
        </w:tc>
      </w:tr>
      <w:tr>
        <w:tc>
          <w:tcPr/>
          <w:p>
            <w:pPr>
              <w:pStyle w:val="Compact"/>
              <w:jc w:val="left"/>
            </w:pPr>
            <w:r>
              <w:t xml:space="preserve">Emax</w:t>
            </w:r>
          </w:p>
        </w:tc>
        <w:tc>
          <w:tcPr/>
          <w:p>
            <w:pPr>
              <w:pStyle w:val="Compact"/>
              <w:jc w:val="left"/>
            </w:pPr>
            <w:r>
              <w:t xml:space="preserve">148.7284</w:t>
            </w:r>
          </w:p>
        </w:tc>
        <w:tc>
          <w:tcPr/>
          <w:p>
            <w:pPr>
              <w:pStyle w:val="Compact"/>
              <w:jc w:val="left"/>
            </w:pPr>
            <w:r>
              <w:t xml:space="preserve">Publication-Linear-mixed effects model fitted to reported data by Faucette 2004 (DOI: 10.1124/dmd.32.3.348); see evaluation report for details</w:t>
            </w:r>
          </w:p>
        </w:tc>
      </w:tr>
    </w:tbl>
    <w:bookmarkEnd w:id="47"/>
    <w:bookmarkEnd w:id="48"/>
    <w:bookmarkEnd w:id="49"/>
    <w:bookmarkEnd w:id="50"/>
    <w:bookmarkStart w:id="66" w:name="compound-15n-carbamazepine"/>
    <w:p>
      <w:pPr>
        <w:pStyle w:val="Heading3"/>
      </w:pPr>
      <w:r>
        <w:t xml:space="preserve">Compound: [15N]-Carbamazepine</w:t>
      </w:r>
    </w:p>
    <w:bookmarkStart w:id="51" w:name="parameters-7"/>
    <w:p>
      <w:pPr>
        <w:pStyle w:val="Heading4"/>
      </w:pPr>
      <w:r>
        <w:t xml:space="preserve">Parameters</w:t>
      </w:r>
    </w:p>
    <w:tbl>
      <w:tblPr>
        <w:tblStyle w:val="Table"/>
        <w:tblW w:type="pct" w:w="5000"/>
        <w:tblLook w:firstRow="1" w:lastRow="0" w:firstColumn="0" w:lastColumn="0" w:noHBand="0" w:noVBand="0" w:val="0020"/>
        <w:jc w:val="start"/>
      </w:tblPr>
      <w:tblGrid>
        <w:gridCol w:w="894"/>
        <w:gridCol w:w="468"/>
        <w:gridCol w:w="6025"/>
        <w:gridCol w:w="383"/>
        <w:gridCol w:w="149"/>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308.3333 mg/l</w:t>
            </w:r>
          </w:p>
        </w:tc>
        <w:tc>
          <w:tcPr/>
          <w:p>
            <w:pPr>
              <w:pStyle w:val="Compact"/>
              <w:jc w:val="left"/>
            </w:pPr>
            <w:r>
              <w:t xml:space="preserve">Publication-Mean value of the following FaHIF solubility data reported in the literature: 336 µg/mL, pH 6.2 (Annaert 2010; DOI: 10.1016/j.ejps.2009.10.005); 283 µg/mL, pH 7.0 (Söderlind 2010; DOI: 10.1021/mp100144v); 306 mg/mL, pH 6.9 (Clarysse 2011; DOI: 10.1016/j.ejps.2011.04.016)</w:t>
            </w:r>
          </w:p>
        </w:tc>
        <w:tc>
          <w:tcPr/>
          <w:p>
            <w:pPr>
              <w:pStyle w:val="Compact"/>
              <w:jc w:val="left"/>
            </w:pPr>
            <w:r>
              <w:t xml:space="preserve">IR tablet (FaHIF)</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6.7</w:t>
            </w:r>
          </w:p>
        </w:tc>
        <w:tc>
          <w:tcPr/>
          <w:p>
            <w:pPr>
              <w:pStyle w:val="Compact"/>
              <w:jc w:val="left"/>
            </w:pPr>
            <w:r>
              <w:t xml:space="preserve">Publication-Mean value of the following FaHIF solubility data reported in the literature: 336 µg/mL, pH 6.2 (Annaert 2010; DOI: 10.1016/j.ejps.2009.10.005); 283 µg/mL, pH 7.0 (Söderlind 2010; DOI: 10.1021/mp100144v); 306 mg/mL, pH 6.9 (Clarysse 2011; DOI: 10.1016/j.ejps.2011.04.016)</w:t>
            </w:r>
          </w:p>
        </w:tc>
        <w:tc>
          <w:tcPr/>
          <w:p>
            <w:pPr>
              <w:pStyle w:val="Compact"/>
              <w:jc w:val="left"/>
            </w:pPr>
            <w:r>
              <w:t xml:space="preserve">IR tablet (FaHIF)</w:t>
            </w:r>
          </w:p>
        </w:tc>
        <w:tc>
          <w:tcPr/>
          <w:p>
            <w:pPr>
              <w:pStyle w:val="Compact"/>
              <w:jc w:val="left"/>
            </w:pPr>
            <w:r>
              <w:t xml:space="preserve">True</w:t>
            </w:r>
          </w:p>
        </w:tc>
      </w:tr>
      <w:tr>
        <w:tc>
          <w:tcPr/>
          <w:p>
            <w:pPr>
              <w:pStyle w:val="Compact"/>
              <w:jc w:val="left"/>
            </w:pPr>
            <w:r>
              <w:t xml:space="preserve">Solubility at reference pH</w:t>
            </w:r>
          </w:p>
        </w:tc>
        <w:tc>
          <w:tcPr/>
          <w:p>
            <w:pPr>
              <w:pStyle w:val="Compact"/>
              <w:jc w:val="left"/>
            </w:pPr>
            <w:r>
              <w:t xml:space="preserve">546.0199756643 mg/l</w:t>
            </w:r>
          </w:p>
        </w:tc>
        <w:tc>
          <w:tcPr/>
          <w:p>
            <w:pPr>
              <w:pStyle w:val="Compact"/>
              <w:jc w:val="left"/>
            </w:pPr>
            <w:r>
              <w:t xml:space="preserve">Parameter Identification-Parameter Identification-Value updated from</w:t>
            </w:r>
            <w:r>
              <w:t xml:space="preserve"> </w:t>
            </w:r>
            <w:r>
              <w:t xml:space="preserve">‘</w:t>
            </w:r>
            <w:r>
              <w:t xml:space="preserve">004-2_from-003-1_XRtablet_fasted_solubility_FINAL</w:t>
            </w:r>
            <w:r>
              <w:t xml:space="preserve">’</w:t>
            </w:r>
            <w:r>
              <w:t xml:space="preserve"> </w:t>
            </w:r>
            <w:r>
              <w:t xml:space="preserve">on 2022-03-24 12:41</w:t>
            </w:r>
          </w:p>
        </w:tc>
        <w:tc>
          <w:tcPr/>
          <w:p>
            <w:pPr>
              <w:pStyle w:val="Compact"/>
              <w:jc w:val="left"/>
            </w:pPr>
            <w:r>
              <w:t xml:space="preserve">XR tablet (fitted)</w:t>
            </w:r>
          </w:p>
        </w:tc>
        <w:tc>
          <w:tcPr/>
          <w:p>
            <w:pPr>
              <w:pStyle w:val="Compact"/>
              <w:jc w:val="left"/>
            </w:pPr>
            <w:r>
              <w:t xml:space="preserve">False</w:t>
            </w:r>
          </w:p>
        </w:tc>
      </w:tr>
      <w:tr>
        <w:tc>
          <w:tcPr/>
          <w:p>
            <w:pPr>
              <w:pStyle w:val="Compact"/>
              <w:jc w:val="left"/>
            </w:pPr>
            <w:r>
              <w:t xml:space="preserve">Reference pH</w:t>
            </w:r>
          </w:p>
        </w:tc>
        <w:tc>
          <w:tcPr/>
          <w:p>
            <w:pPr>
              <w:pStyle w:val="Compact"/>
              <w:jc w:val="left"/>
            </w:pPr>
            <w:r>
              <w:t xml:space="preserve">6.7</w:t>
            </w:r>
          </w:p>
        </w:tc>
        <w:tc>
          <w:tcPr/>
          <w:p>
            <w:pPr>
              <w:pStyle w:val="Compact"/>
              <w:jc w:val="left"/>
            </w:pPr>
            <w:r>
              <w:t xml:space="preserve">Parameter Identification-Parameter Identification-Value updated from</w:t>
            </w:r>
            <w:r>
              <w:t xml:space="preserve"> </w:t>
            </w:r>
            <w:r>
              <w:t xml:space="preserve">‘</w:t>
            </w:r>
            <w:r>
              <w:t xml:space="preserve">004-2_from-003-1_XRtablet_fasted_solubility_FINAL</w:t>
            </w:r>
            <w:r>
              <w:t xml:space="preserve">’</w:t>
            </w:r>
            <w:r>
              <w:t xml:space="preserve"> </w:t>
            </w:r>
            <w:r>
              <w:t xml:space="preserve">on 2022-03-16 18:25</w:t>
            </w:r>
          </w:p>
        </w:tc>
        <w:tc>
          <w:tcPr/>
          <w:p>
            <w:pPr>
              <w:pStyle w:val="Compact"/>
              <w:jc w:val="left"/>
            </w:pPr>
            <w:r>
              <w:t xml:space="preserve">XR tablet (fitted)</w:t>
            </w:r>
          </w:p>
        </w:tc>
        <w:tc>
          <w:tcPr/>
          <w:p>
            <w:pPr>
              <w:pStyle w:val="Compact"/>
              <w:jc w:val="left"/>
            </w:pPr>
            <w:r>
              <w:t xml:space="preserve">False</w:t>
            </w:r>
          </w:p>
        </w:tc>
      </w:tr>
      <w:tr>
        <w:tc>
          <w:tcPr/>
          <w:p>
            <w:pPr>
              <w:pStyle w:val="Compact"/>
              <w:jc w:val="left"/>
            </w:pPr>
            <w:r>
              <w:t xml:space="preserve">Lipophilicity</w:t>
            </w:r>
          </w:p>
        </w:tc>
        <w:tc>
          <w:tcPr/>
          <w:p>
            <w:pPr>
              <w:pStyle w:val="Compact"/>
              <w:jc w:val="left"/>
            </w:pPr>
            <w:r>
              <w:t xml:space="preserve">2.0067753065 Log Units</w:t>
            </w:r>
          </w:p>
        </w:tc>
        <w:tc>
          <w:tcPr/>
          <w:p>
            <w:pPr>
              <w:pStyle w:val="Compact"/>
              <w:jc w:val="left"/>
            </w:pPr>
            <w:r>
              <w:t xml:space="preserve">Parameter Identification-Parameter Identification-Value updated from</w:t>
            </w:r>
            <w:r>
              <w:t xml:space="preserve"> </w:t>
            </w:r>
            <w:r>
              <w:t xml:space="preserve">‘</w:t>
            </w:r>
            <w:r>
              <w:t xml:space="preserve">001-5-3_CYP3A4_MM-kinetics_WithoutTablet</w:t>
            </w:r>
            <w:r>
              <w:t xml:space="preserve">’</w:t>
            </w:r>
            <w:r>
              <w:t xml:space="preserve"> </w:t>
            </w:r>
            <w:r>
              <w:t xml:space="preserve">on 2022-02-21 16:49</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0.243</w:t>
            </w:r>
          </w:p>
        </w:tc>
        <w:tc>
          <w:tcPr/>
          <w:p>
            <w:pPr>
              <w:pStyle w:val="Compact"/>
              <w:jc w:val="left"/>
            </w:pPr>
            <w:r>
              <w:t xml:space="preserve">Publication-Morselli 1975 (DOI: 10.1007/978-3-642-85921-2_16)</w:t>
            </w:r>
          </w:p>
        </w:tc>
        <w:tc>
          <w:tcPr/>
          <w:p>
            <w:pPr>
              <w:pStyle w:val="Compact"/>
              <w:jc w:val="left"/>
            </w:pPr>
            <w:r>
              <w:t xml:space="preserve">Morselli 1975</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236.2686 g/mol</w:t>
            </w:r>
          </w:p>
        </w:tc>
        <w:tc>
          <w:tcPr/>
          <w:p>
            <w:pPr>
              <w:pStyle w:val="Compact"/>
              <w:jc w:val="left"/>
            </w:pPr>
            <w:r>
              <w:t xml:space="preserve">Internet-DrugBank (https://go.drugbank.com/drugs/DB00564)</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51"/>
    <w:bookmarkStart w:id="52" w:name="calculation-methods-1"/>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52"/>
    <w:bookmarkStart w:id="65" w:name="processes-1"/>
    <w:p>
      <w:pPr>
        <w:pStyle w:val="Heading4"/>
      </w:pPr>
      <w:r>
        <w:t xml:space="preserve">Processes</w:t>
      </w:r>
    </w:p>
    <w:bookmarkStart w:id="54" w:name="induction-cyp3a4-dmpk-1"/>
    <w:p>
      <w:pPr>
        <w:pStyle w:val="Heading5"/>
      </w:pPr>
      <w:r>
        <w:t xml:space="preserve">Induction: CYP3A4-DMPK</w:t>
      </w:r>
    </w:p>
    <w:p>
      <w:pPr>
        <w:pStyle w:val="FirstParagraph"/>
      </w:pPr>
      <w:r>
        <w:t xml:space="preserve">Molecule: CYP3A4</w:t>
      </w:r>
    </w:p>
    <w:bookmarkStart w:id="53" w:name="parameters-8"/>
    <w:p>
      <w:pPr>
        <w:pStyle w:val="Heading6"/>
      </w:pPr>
      <w:r>
        <w:t xml:space="preserve">Parameters</w:t>
      </w:r>
    </w:p>
    <w:tbl>
      <w:tblPr>
        <w:tblStyle w:val="Table"/>
        <w:tblW w:type="pct" w:w="5000"/>
        <w:tblLook w:firstRow="1" w:lastRow="0" w:firstColumn="0" w:lastColumn="0" w:noHBand="0" w:noVBand="0" w:val="0020"/>
        <w:jc w:val="start"/>
      </w:tblPr>
      <w:tblGrid>
        <w:gridCol w:w="117"/>
        <w:gridCol w:w="559"/>
        <w:gridCol w:w="724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EC50</w:t>
            </w:r>
          </w:p>
        </w:tc>
        <w:tc>
          <w:tcPr/>
          <w:p>
            <w:pPr>
              <w:pStyle w:val="Compact"/>
              <w:jc w:val="left"/>
            </w:pPr>
            <w:r>
              <w:t xml:space="preserve">27.193363407 µmol/l</w:t>
            </w:r>
          </w:p>
        </w:tc>
        <w:tc>
          <w:tcPr/>
          <w:p>
            <w:pPr>
              <w:pStyle w:val="Compact"/>
              <w:jc w:val="left"/>
            </w:pPr>
            <w:r>
              <w:t xml:space="preserve">Parameter Identification-Parameter Identification-Value updated from</w:t>
            </w:r>
            <w:r>
              <w:t xml:space="preserve"> </w:t>
            </w:r>
            <w:r>
              <w:t xml:space="preserve">‘</w:t>
            </w:r>
            <w:r>
              <w:t xml:space="preserve">003-1_from002-3-6_EC50</w:t>
            </w:r>
            <w:r>
              <w:t xml:space="preserve">’</w:t>
            </w:r>
            <w:r>
              <w:t xml:space="preserve"> </w:t>
            </w:r>
            <w:r>
              <w:t xml:space="preserve">on 2022-02-24 10:23</w:t>
            </w:r>
          </w:p>
        </w:tc>
      </w:tr>
      <w:tr>
        <w:tc>
          <w:tcPr/>
          <w:p>
            <w:pPr>
              <w:pStyle w:val="Compact"/>
              <w:jc w:val="left"/>
            </w:pPr>
            <w:r>
              <w:t xml:space="preserve">Emax</w:t>
            </w:r>
          </w:p>
        </w:tc>
        <w:tc>
          <w:tcPr/>
          <w:p>
            <w:pPr>
              <w:pStyle w:val="Compact"/>
              <w:jc w:val="left"/>
            </w:pPr>
            <w:r>
              <w:t xml:space="preserve">5.3929777775</w:t>
            </w:r>
          </w:p>
        </w:tc>
        <w:tc>
          <w:tcPr/>
          <w:p>
            <w:pPr>
              <w:pStyle w:val="Compact"/>
              <w:jc w:val="left"/>
            </w:pPr>
            <w:r>
              <w:t xml:space="preserve">Publication-In Vitro-DMPK measurement (internal data); the measured Emax was calibrated with rifampicin by using the Emax implemented in the rifampicin OSP model v1.2 according the the method described by Almond 2016 (DOI: 10.1124/dmd.115.066845)</w:t>
            </w:r>
          </w:p>
        </w:tc>
      </w:tr>
    </w:tbl>
    <w:bookmarkEnd w:id="53"/>
    <w:bookmarkEnd w:id="54"/>
    <w:bookmarkStart w:id="56" w:name="Xe0063801034a10fd5535c41e0db7ea55da915ae"/>
    <w:p>
      <w:pPr>
        <w:pStyle w:val="Heading5"/>
      </w:pPr>
      <w:r>
        <w:t xml:space="preserve">Systemic Process: Glomerular Filtration-Glomerular Filtration</w:t>
      </w:r>
    </w:p>
    <w:p>
      <w:pPr>
        <w:pStyle w:val="FirstParagraph"/>
      </w:pPr>
      <w:r>
        <w:t xml:space="preserve">Species: Human</w:t>
      </w:r>
    </w:p>
    <w:bookmarkStart w:id="55" w:name="parameters-9"/>
    <w:p>
      <w:pPr>
        <w:pStyle w:val="Heading6"/>
      </w:pPr>
      <w:r>
        <w:t xml:space="preserve">Parameters</w:t>
      </w:r>
    </w:p>
    <w:tbl>
      <w:tblPr>
        <w:tblStyle w:val="Table"/>
        <w:tblW w:type="pct" w:w="5000"/>
        <w:tblLook w:firstRow="1" w:lastRow="0" w:firstColumn="0" w:lastColumn="0" w:noHBand="0" w:noVBand="0" w:val="0020"/>
        <w:jc w:val="start"/>
      </w:tblPr>
      <w:tblGrid>
        <w:gridCol w:w="586"/>
        <w:gridCol w:w="635"/>
        <w:gridCol w:w="6697"/>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0.0240108793</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bl>
    <w:bookmarkEnd w:id="55"/>
    <w:bookmarkEnd w:id="56"/>
    <w:bookmarkStart w:id="58" w:name="X73a3da6e75a8b90d68cf11b610f708023fa81ca"/>
    <w:p>
      <w:pPr>
        <w:pStyle w:val="Heading5"/>
      </w:pPr>
      <w:r>
        <w:t xml:space="preserve">Metabolizing Enzyme: UGT2B7-N-Glucuronidation_Staines2004</w:t>
      </w:r>
    </w:p>
    <w:p>
      <w:pPr>
        <w:pStyle w:val="FirstParagraph"/>
      </w:pPr>
      <w:r>
        <w:t xml:space="preserve">Molecule: UGT2B7</w:t>
      </w:r>
    </w:p>
    <w:bookmarkStart w:id="57" w:name="parameters-10"/>
    <w:p>
      <w:pPr>
        <w:pStyle w:val="Heading6"/>
      </w:pPr>
      <w:r>
        <w:t xml:space="preserve">Parameters</w:t>
      </w:r>
    </w:p>
    <w:tbl>
      <w:tblPr>
        <w:tblStyle w:val="Table"/>
        <w:tblW w:type="pct" w:w="5000"/>
        <w:tblLook w:firstRow="1" w:lastRow="0" w:firstColumn="0" w:lastColumn="0" w:noHBand="0" w:noVBand="0" w:val="0020"/>
        <w:jc w:val="start"/>
      </w:tblPr>
      <w:tblGrid>
        <w:gridCol w:w="1637"/>
        <w:gridCol w:w="1066"/>
        <w:gridCol w:w="521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3.5 pmol/min/mg mic. protein</w:t>
            </w:r>
          </w:p>
        </w:tc>
        <w:tc>
          <w:tcPr/>
          <w:p>
            <w:pPr>
              <w:pStyle w:val="Compact"/>
              <w:jc w:val="left"/>
            </w:pPr>
            <w:r>
              <w:t xml:space="preserve">Publication-In Vitro-Staines 2004 (DOI: 10.1124/jpet.104.073114)</w:t>
            </w:r>
          </w:p>
        </w:tc>
      </w:tr>
      <w:tr>
        <w:tc>
          <w:tcPr/>
          <w:p>
            <w:pPr>
              <w:pStyle w:val="Compact"/>
              <w:jc w:val="left"/>
            </w:pPr>
            <w:r>
              <w:t xml:space="preserve">Content of CYP proteins in liver microsomes</w:t>
            </w:r>
          </w:p>
        </w:tc>
        <w:tc>
          <w:tcPr/>
          <w:p>
            <w:pPr>
              <w:pStyle w:val="Compact"/>
              <w:jc w:val="left"/>
            </w:pPr>
            <w:r>
              <w:t xml:space="preserve">82.9 pmol/mg mic. protein</w:t>
            </w:r>
          </w:p>
        </w:tc>
        <w:tc>
          <w:tcPr/>
          <w:p>
            <w:pPr>
              <w:pStyle w:val="Compact"/>
              <w:jc w:val="left"/>
            </w:pPr>
            <w:r>
              <w:t xml:space="preserve">Publication-In Vitro-Achour 2014 (DOI: 10.1124/dmd.113.055632)</w:t>
            </w:r>
          </w:p>
        </w:tc>
      </w:tr>
      <w:tr>
        <w:tc>
          <w:tcPr/>
          <w:p>
            <w:pPr>
              <w:pStyle w:val="Compact"/>
              <w:jc w:val="left"/>
            </w:pPr>
            <w:r>
              <w:t xml:space="preserve">Km</w:t>
            </w:r>
          </w:p>
        </w:tc>
        <w:tc>
          <w:tcPr/>
          <w:p>
            <w:pPr>
              <w:pStyle w:val="Compact"/>
              <w:jc w:val="left"/>
            </w:pPr>
            <w:r>
              <w:t xml:space="preserve">234 µmol/l</w:t>
            </w:r>
          </w:p>
        </w:tc>
        <w:tc>
          <w:tcPr/>
          <w:p>
            <w:pPr>
              <w:pStyle w:val="Compact"/>
              <w:jc w:val="left"/>
            </w:pPr>
            <w:r>
              <w:t xml:space="preserve">Publication-In Vitro-Staines 2004 (DOI: 10.1124/jpet.104.073114)</w:t>
            </w:r>
          </w:p>
        </w:tc>
      </w:tr>
      <w:tr>
        <w:tc>
          <w:tcPr/>
          <w:p>
            <w:pPr>
              <w:pStyle w:val="Compact"/>
              <w:jc w:val="left"/>
            </w:pPr>
            <w:r>
              <w:t xml:space="preserve">kcat</w:t>
            </w:r>
          </w:p>
        </w:tc>
        <w:tc>
          <w:tcPr/>
          <w:p>
            <w:pPr>
              <w:pStyle w:val="Compact"/>
              <w:jc w:val="left"/>
            </w:pPr>
            <w:r>
              <w:t xml:space="preserve">0.0668699322 1/min</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bl>
    <w:bookmarkEnd w:id="57"/>
    <w:bookmarkEnd w:id="58"/>
    <w:bookmarkStart w:id="60" w:name="Xccc82aef618bfd3f778a5f3d783ecf2b11d3b3a"/>
    <w:p>
      <w:pPr>
        <w:pStyle w:val="Heading5"/>
      </w:pPr>
      <w:r>
        <w:t xml:space="preserve">Metabolizing Enzyme: CYP2B6-3-Hydroxylation_Pearce2002</w:t>
      </w:r>
    </w:p>
    <w:p>
      <w:pPr>
        <w:pStyle w:val="FirstParagraph"/>
      </w:pPr>
      <w:r>
        <w:t xml:space="preserve">Molecule: CYP2B6</w:t>
      </w:r>
    </w:p>
    <w:bookmarkStart w:id="59" w:name="parameters-11"/>
    <w:p>
      <w:pPr>
        <w:pStyle w:val="Heading6"/>
      </w:pPr>
      <w:r>
        <w:t xml:space="preserve">Parameters</w:t>
      </w:r>
    </w:p>
    <w:tbl>
      <w:tblPr>
        <w:tblStyle w:val="Table"/>
        <w:tblW w:type="pct" w:w="5000"/>
        <w:tblLook w:firstRow="1" w:lastRow="0" w:firstColumn="0" w:lastColumn="0" w:noHBand="0" w:noVBand="0" w:val="0020"/>
        <w:jc w:val="start"/>
      </w:tblPr>
      <w:tblGrid>
        <w:gridCol w:w="1645"/>
        <w:gridCol w:w="1033"/>
        <w:gridCol w:w="5241"/>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49 pmol/min/mg mic. protein</w:t>
            </w:r>
          </w:p>
        </w:tc>
        <w:tc>
          <w:tcPr/>
          <w:p>
            <w:pPr>
              <w:pStyle w:val="Compact"/>
              <w:jc w:val="left"/>
            </w:pPr>
            <w:r>
              <w:t xml:space="preserve">Publication-In Vitro-Pearce 2002 (DOI: 10.1124/dmd.30.11.1170)</w:t>
            </w:r>
          </w:p>
        </w:tc>
      </w:tr>
      <w:tr>
        <w:tc>
          <w:tcPr/>
          <w:p>
            <w:pPr>
              <w:pStyle w:val="Compact"/>
              <w:jc w:val="left"/>
            </w:pPr>
            <w:r>
              <w:t xml:space="preserve">Content of CYP proteins in liver microsomes</w:t>
            </w:r>
          </w:p>
        </w:tc>
        <w:tc>
          <w:tcPr/>
          <w:p>
            <w:pPr>
              <w:pStyle w:val="Compact"/>
              <w:jc w:val="left"/>
            </w:pPr>
            <w:r>
              <w:t xml:space="preserve">39 pmol/mg mic. protein</w:t>
            </w:r>
          </w:p>
        </w:tc>
        <w:tc>
          <w:tcPr/>
          <w:p>
            <w:pPr>
              <w:pStyle w:val="Compact"/>
              <w:jc w:val="left"/>
            </w:pPr>
            <w:r>
              <w:t xml:space="preserve">Publication-In Vitro-Rodrigues 1999 (DOI: 10.1016/s0006-2952(98)00268-8)</w:t>
            </w:r>
          </w:p>
        </w:tc>
      </w:tr>
      <w:tr>
        <w:tc>
          <w:tcPr/>
          <w:p>
            <w:pPr>
              <w:pStyle w:val="Compact"/>
              <w:jc w:val="left"/>
            </w:pPr>
            <w:r>
              <w:t xml:space="preserve">Km</w:t>
            </w:r>
          </w:p>
        </w:tc>
        <w:tc>
          <w:tcPr/>
          <w:p>
            <w:pPr>
              <w:pStyle w:val="Compact"/>
              <w:jc w:val="left"/>
            </w:pPr>
            <w:r>
              <w:t xml:space="preserve">235 µmol/l</w:t>
            </w:r>
          </w:p>
        </w:tc>
        <w:tc>
          <w:tcPr/>
          <w:p>
            <w:pPr>
              <w:pStyle w:val="Compact"/>
              <w:jc w:val="left"/>
            </w:pPr>
            <w:r>
              <w:t xml:space="preserve">Publication-Pearce 2002 (DOI: 10.1124/dmd.30.11.1170)</w:t>
            </w:r>
          </w:p>
        </w:tc>
      </w:tr>
      <w:tr>
        <w:tc>
          <w:tcPr/>
          <w:p>
            <w:pPr>
              <w:pStyle w:val="Compact"/>
              <w:jc w:val="left"/>
            </w:pPr>
            <w:r>
              <w:t xml:space="preserve">kcat</w:t>
            </w:r>
          </w:p>
        </w:tc>
        <w:tc>
          <w:tcPr/>
          <w:p>
            <w:pPr>
              <w:pStyle w:val="Compact"/>
              <w:jc w:val="left"/>
            </w:pPr>
            <w:r>
              <w:t xml:space="preserve">0.9361790504 1/min</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bl>
    <w:bookmarkEnd w:id="59"/>
    <w:bookmarkEnd w:id="60"/>
    <w:bookmarkStart w:id="62" w:name="Xc1b7c164b4e8ba2f2b7fef1c6be92be94d6af14"/>
    <w:p>
      <w:pPr>
        <w:pStyle w:val="Heading5"/>
      </w:pPr>
      <w:r>
        <w:t xml:space="preserve">Metabolizing Enzyme: CYP3A4-Epoxidation_Sakamoto2013</w:t>
      </w:r>
    </w:p>
    <w:p>
      <w:pPr>
        <w:pStyle w:val="FirstParagraph"/>
      </w:pPr>
      <w:r>
        <w:t xml:space="preserve">Molecule: CYP3A4</w:t>
      </w:r>
    </w:p>
    <w:bookmarkStart w:id="61" w:name="parameters-12"/>
    <w:p>
      <w:pPr>
        <w:pStyle w:val="Heading6"/>
      </w:pPr>
      <w:r>
        <w:t xml:space="preserve">Parameters</w:t>
      </w:r>
    </w:p>
    <w:tbl>
      <w:tblPr>
        <w:tblStyle w:val="Table"/>
        <w:tblW w:type="pct" w:w="5000"/>
        <w:tblLook w:firstRow="1" w:lastRow="0" w:firstColumn="0" w:lastColumn="0" w:noHBand="0" w:noVBand="0" w:val="0020"/>
        <w:jc w:val="start"/>
      </w:tblPr>
      <w:tblGrid>
        <w:gridCol w:w="1353"/>
        <w:gridCol w:w="1114"/>
        <w:gridCol w:w="545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726 pmol/min/mg mic. protein</w:t>
            </w:r>
          </w:p>
        </w:tc>
        <w:tc>
          <w:tcPr/>
          <w:p>
            <w:pPr>
              <w:pStyle w:val="Compact"/>
              <w:jc w:val="left"/>
            </w:pPr>
            <w:r>
              <w:t xml:space="preserve">Publication-In Vitro-Sakamoto 2013 (DOI: 10.1248/bpb.b13-00569)</w:t>
            </w:r>
          </w:p>
        </w:tc>
      </w:tr>
      <w:tr>
        <w:tc>
          <w:tcPr/>
          <w:p>
            <w:pPr>
              <w:pStyle w:val="Compact"/>
              <w:jc w:val="left"/>
            </w:pPr>
            <w:r>
              <w:t xml:space="preserve">Km</w:t>
            </w:r>
          </w:p>
        </w:tc>
        <w:tc>
          <w:tcPr/>
          <w:p>
            <w:pPr>
              <w:pStyle w:val="Compact"/>
              <w:jc w:val="left"/>
            </w:pPr>
            <w:r>
              <w:t xml:space="preserve">808 µmol/l</w:t>
            </w:r>
          </w:p>
        </w:tc>
        <w:tc>
          <w:tcPr/>
          <w:p>
            <w:pPr>
              <w:pStyle w:val="Compact"/>
              <w:jc w:val="left"/>
            </w:pPr>
            <w:r>
              <w:t xml:space="preserve">Publication-In Vitro-Sakamoto 2013 (DOI: 10.1248/bpb.b13-00569)</w:t>
            </w:r>
          </w:p>
        </w:tc>
      </w:tr>
      <w:tr>
        <w:tc>
          <w:tcPr/>
          <w:p>
            <w:pPr>
              <w:pStyle w:val="Compact"/>
              <w:jc w:val="left"/>
            </w:pPr>
            <w:r>
              <w:t xml:space="preserve">kcat</w:t>
            </w:r>
          </w:p>
        </w:tc>
        <w:tc>
          <w:tcPr/>
          <w:p>
            <w:pPr>
              <w:pStyle w:val="Compact"/>
              <w:jc w:val="left"/>
            </w:pPr>
            <w:r>
              <w:t xml:space="preserve">5.0088763476 1/min</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bl>
    <w:bookmarkEnd w:id="61"/>
    <w:bookmarkEnd w:id="62"/>
    <w:bookmarkStart w:id="64" w:name="induction-cyp2b6-faucette2004-1"/>
    <w:p>
      <w:pPr>
        <w:pStyle w:val="Heading5"/>
      </w:pPr>
      <w:r>
        <w:t xml:space="preserve">Induction: CYP2B6-Faucette2004</w:t>
      </w:r>
    </w:p>
    <w:p>
      <w:pPr>
        <w:pStyle w:val="FirstParagraph"/>
      </w:pPr>
      <w:r>
        <w:t xml:space="preserve">Molecule: CYP2B6</w:t>
      </w:r>
    </w:p>
    <w:bookmarkStart w:id="63" w:name="parameters-13"/>
    <w:p>
      <w:pPr>
        <w:pStyle w:val="Heading6"/>
      </w:pPr>
      <w:r>
        <w:t xml:space="preserve">Parameters</w:t>
      </w:r>
    </w:p>
    <w:tbl>
      <w:tblPr>
        <w:tblStyle w:val="Table"/>
        <w:tblW w:type="pct" w:w="5000"/>
        <w:tblLook w:firstRow="1" w:lastRow="0" w:firstColumn="0" w:lastColumn="0" w:noHBand="0" w:noVBand="0" w:val="0020"/>
        <w:jc w:val="start"/>
      </w:tblPr>
      <w:tblGrid>
        <w:gridCol w:w="176"/>
        <w:gridCol w:w="486"/>
        <w:gridCol w:w="725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EC50</w:t>
            </w:r>
          </w:p>
        </w:tc>
        <w:tc>
          <w:tcPr/>
          <w:p>
            <w:pPr>
              <w:pStyle w:val="Compact"/>
              <w:jc w:val="left"/>
            </w:pPr>
            <w:r>
              <w:t xml:space="preserve">1000 µmol/l</w:t>
            </w:r>
          </w:p>
        </w:tc>
        <w:tc>
          <w:tcPr/>
          <w:p>
            <w:pPr>
              <w:pStyle w:val="Compact"/>
              <w:jc w:val="left"/>
            </w:pPr>
            <w:r>
              <w:t xml:space="preserve">Publication-Set to an arbitrarily high value to enable linear induction as suggested by Faucette 2004 (DOI: 10.1124/dmd.32.3.348); see evaluation report for details</w:t>
            </w:r>
          </w:p>
        </w:tc>
      </w:tr>
      <w:tr>
        <w:tc>
          <w:tcPr/>
          <w:p>
            <w:pPr>
              <w:pStyle w:val="Compact"/>
              <w:jc w:val="left"/>
            </w:pPr>
            <w:r>
              <w:t xml:space="preserve">Emax</w:t>
            </w:r>
          </w:p>
        </w:tc>
        <w:tc>
          <w:tcPr/>
          <w:p>
            <w:pPr>
              <w:pStyle w:val="Compact"/>
              <w:jc w:val="left"/>
            </w:pPr>
            <w:r>
              <w:t xml:space="preserve">148.7284</w:t>
            </w:r>
          </w:p>
        </w:tc>
        <w:tc>
          <w:tcPr/>
          <w:p>
            <w:pPr>
              <w:pStyle w:val="Compact"/>
              <w:jc w:val="left"/>
            </w:pPr>
            <w:r>
              <w:t xml:space="preserve">Publication-Linear-mixed effects model fitted to reported data by Faucette 2004 (DOI: 10.1124/dmd.32.3.348); see evaluation report for details</w:t>
            </w:r>
          </w:p>
        </w:tc>
      </w:tr>
    </w:tbl>
    <w:bookmarkEnd w:id="63"/>
    <w:bookmarkEnd w:id="64"/>
    <w:bookmarkEnd w:id="65"/>
    <w:bookmarkEnd w:id="66"/>
    <w:bookmarkStart w:id="68" w:name="formulation-cbz_tabletir_fasted-tegretol"/>
    <w:p>
      <w:pPr>
        <w:pStyle w:val="Heading3"/>
      </w:pPr>
      <w:r>
        <w:t xml:space="preserve">Formulation: CBZ_tabletIR_fasted (Tegretol)</w:t>
      </w:r>
    </w:p>
    <w:p>
      <w:pPr>
        <w:pStyle w:val="FirstParagraph"/>
      </w:pPr>
      <w:r>
        <w:t xml:space="preserve">Type: Weibull</w:t>
      </w:r>
    </w:p>
    <w:bookmarkStart w:id="67" w:name="parameters-14"/>
    <w:p>
      <w:pPr>
        <w:pStyle w:val="Heading4"/>
      </w:pPr>
      <w:r>
        <w:t xml:space="preserve">Parameters</w:t>
      </w:r>
    </w:p>
    <w:tbl>
      <w:tblPr>
        <w:tblStyle w:val="Table"/>
        <w:tblW w:type="pct" w:w="5000"/>
        <w:tblLook w:firstRow="1" w:lastRow="0" w:firstColumn="0" w:lastColumn="0" w:noHBand="0" w:noVBand="0" w:val="0020"/>
        <w:jc w:val="start"/>
      </w:tblPr>
      <w:tblGrid>
        <w:gridCol w:w="1355"/>
        <w:gridCol w:w="762"/>
        <w:gridCol w:w="580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109.3089775422 min</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0.6890123758</w:t>
            </w:r>
          </w:p>
        </w:tc>
        <w:tc>
          <w:tcPr/>
          <w:p>
            <w:pPr>
              <w:pStyle w:val="Compact"/>
              <w:jc w:val="left"/>
            </w:pPr>
            <w:r>
              <w:t xml:space="preserve">Parameter Identification-Parameter Identification-Value updated from</w:t>
            </w:r>
            <w:r>
              <w:t xml:space="preserve"> </w:t>
            </w:r>
            <w:r>
              <w:t xml:space="preserve">‘</w:t>
            </w:r>
            <w:r>
              <w:t xml:space="preserve">002-3-6_from001-5-3_IRtablet-sd_Pint-FIX_FINAL</w:t>
            </w:r>
            <w:r>
              <w:t xml:space="preserve">’</w:t>
            </w:r>
            <w:r>
              <w:t xml:space="preserve"> </w:t>
            </w:r>
            <w:r>
              <w:t xml:space="preserve">on 2022-02-23 17:18</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67"/>
    <w:bookmarkEnd w:id="68"/>
    <w:bookmarkStart w:id="70" w:name="X9123bf25ba7cefacb89e41ed14d52bd1ba4cbae"/>
    <w:p>
      <w:pPr>
        <w:pStyle w:val="Heading3"/>
      </w:pPr>
      <w:r>
        <w:t xml:space="preserve">Formulation: CBZ_capsuleXR_fasted (Carbatrol)</w:t>
      </w:r>
    </w:p>
    <w:p>
      <w:pPr>
        <w:pStyle w:val="FirstParagraph"/>
      </w:pPr>
      <w:r>
        <w:t xml:space="preserve">Type: Weibull</w:t>
      </w:r>
    </w:p>
    <w:bookmarkStart w:id="69" w:name="parameters-15"/>
    <w:p>
      <w:pPr>
        <w:pStyle w:val="Heading4"/>
      </w:pPr>
      <w:r>
        <w:t xml:space="preserve">Parameters</w:t>
      </w:r>
    </w:p>
    <w:tbl>
      <w:tblPr>
        <w:tblStyle w:val="Table"/>
        <w:tblW w:type="pct" w:w="5000"/>
        <w:tblLook w:firstRow="1" w:lastRow="0" w:firstColumn="0" w:lastColumn="0" w:noHBand="0" w:noVBand="0" w:val="0020"/>
        <w:jc w:val="start"/>
      </w:tblPr>
      <w:tblGrid>
        <w:gridCol w:w="1333"/>
        <w:gridCol w:w="750"/>
        <w:gridCol w:w="5835"/>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315.2431776804 min</w:t>
            </w:r>
          </w:p>
        </w:tc>
        <w:tc>
          <w:tcPr/>
          <w:p>
            <w:pPr>
              <w:pStyle w:val="Compact"/>
              <w:jc w:val="left"/>
            </w:pPr>
            <w:r>
              <w:t xml:space="preserve">Parameter Identification-Parameter Identification-Value updated from</w:t>
            </w:r>
            <w:r>
              <w:t xml:space="preserve"> </w:t>
            </w:r>
            <w:r>
              <w:t xml:space="preserve">‘</w:t>
            </w:r>
            <w:r>
              <w:t xml:space="preserve">004-2_from-003-1_XRtablet_fasted_solubility_FINAL</w:t>
            </w:r>
            <w:r>
              <w:t xml:space="preserve">’</w:t>
            </w:r>
            <w:r>
              <w:t xml:space="preserve"> </w:t>
            </w:r>
            <w:r>
              <w:t xml:space="preserve">on 2022-03-24 12:41</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1.2290186648</w:t>
            </w:r>
          </w:p>
        </w:tc>
        <w:tc>
          <w:tcPr/>
          <w:p>
            <w:pPr>
              <w:pStyle w:val="Compact"/>
              <w:jc w:val="left"/>
            </w:pPr>
            <w:r>
              <w:t xml:space="preserve">Parameter Identification-Parameter Identification-Value updated from</w:t>
            </w:r>
            <w:r>
              <w:t xml:space="preserve"> </w:t>
            </w:r>
            <w:r>
              <w:t xml:space="preserve">‘</w:t>
            </w:r>
            <w:r>
              <w:t xml:space="preserve">004-2_from-003-1_XRtablet_fasted_solubility_FINAL</w:t>
            </w:r>
            <w:r>
              <w:t xml:space="preserve">’</w:t>
            </w:r>
            <w:r>
              <w:t xml:space="preserve"> </w:t>
            </w:r>
            <w:r>
              <w:t xml:space="preserve">on 2022-03-24 12:41</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69"/>
    <w:bookmarkEnd w:id="70"/>
    <w:bookmarkStart w:id="71" w:name="formulation-solution"/>
    <w:p>
      <w:pPr>
        <w:pStyle w:val="Heading3"/>
      </w:pPr>
      <w:r>
        <w:t xml:space="preserve">Formulation: Solution</w:t>
      </w:r>
    </w:p>
    <w:p>
      <w:pPr>
        <w:pStyle w:val="FirstParagraph"/>
      </w:pPr>
      <w:r>
        <w:t xml:space="preserve">Type: Dissolved</w:t>
      </w:r>
    </w:p>
    <w:bookmarkEnd w:id="71"/>
    <w:bookmarkEnd w:id="72"/>
    <w:bookmarkStart w:id="79"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simulated versus observed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pct" w:w="5000"/>
        <w:tblLook w:firstRow="1" w:lastRow="0" w:firstColumn="0" w:lastColumn="0" w:noHBand="0" w:noVBand="0" w:val="0020"/>
        <w:jc w:val="start"/>
      </w:tblPr>
      <w:tblGrid>
        <w:gridCol w:w="7354"/>
        <w:gridCol w:w="565"/>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Carbamazepine, IV administration</w:t>
            </w:r>
          </w:p>
        </w:tc>
        <w:tc>
          <w:tcPr/>
          <w:p>
            <w:pPr>
              <w:pStyle w:val="Compact"/>
              <w:jc w:val="left"/>
            </w:pPr>
            <w:r>
              <w:t xml:space="preserve">1.28</w:t>
            </w:r>
          </w:p>
        </w:tc>
      </w:tr>
      <w:tr>
        <w:tc>
          <w:tcPr/>
          <w:p>
            <w:pPr>
              <w:pStyle w:val="Compact"/>
              <w:jc w:val="left"/>
            </w:pPr>
            <w:r>
              <w:t xml:space="preserve">Carbamazepine, PO administration as extended release formulation</w:t>
            </w:r>
          </w:p>
        </w:tc>
        <w:tc>
          <w:tcPr/>
          <w:p>
            <w:pPr>
              <w:pStyle w:val="Compact"/>
              <w:jc w:val="left"/>
            </w:pPr>
            <w:r>
              <w:t xml:space="preserve">1.41</w:t>
            </w:r>
          </w:p>
        </w:tc>
      </w:tr>
      <w:tr>
        <w:tc>
          <w:tcPr/>
          <w:p>
            <w:pPr>
              <w:pStyle w:val="Compact"/>
              <w:jc w:val="left"/>
            </w:pPr>
            <w:r>
              <w:t xml:space="preserve">Carbamazepine, PO administration as immediate release tablet</w:t>
            </w:r>
          </w:p>
        </w:tc>
        <w:tc>
          <w:tcPr/>
          <w:p>
            <w:pPr>
              <w:pStyle w:val="Compact"/>
              <w:jc w:val="left"/>
            </w:pPr>
            <w:r>
              <w:t xml:space="preserve">1.40</w:t>
            </w:r>
          </w:p>
        </w:tc>
      </w:tr>
      <w:tr>
        <w:tc>
          <w:tcPr/>
          <w:p>
            <w:pPr>
              <w:pStyle w:val="Compact"/>
              <w:jc w:val="left"/>
            </w:pPr>
            <w:r>
              <w:t xml:space="preserve">Carbamazepine, PO administration as liquid oral dosage form</w:t>
            </w:r>
          </w:p>
        </w:tc>
        <w:tc>
          <w:tcPr/>
          <w:p>
            <w:pPr>
              <w:pStyle w:val="Compact"/>
              <w:jc w:val="left"/>
            </w:pPr>
            <w:r>
              <w:t xml:space="preserve">2.35</w:t>
            </w:r>
          </w:p>
        </w:tc>
      </w:tr>
      <w:tr>
        <w:tc>
          <w:tcPr/>
          <w:p>
            <w:pPr>
              <w:pStyle w:val="Compact"/>
              <w:jc w:val="left"/>
            </w:pPr>
            <w:r>
              <w:t xml:space="preserve">All</w:t>
            </w:r>
          </w:p>
        </w:tc>
        <w:tc>
          <w:tcPr/>
          <w:p>
            <w:pPr>
              <w:pStyle w:val="Compact"/>
              <w:jc w:val="left"/>
            </w:pPr>
            <w:r>
              <w:t xml:space="preserve">1.49</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7544034"/>
            <wp:effectExtent b="0" l="0" r="0" t="0"/>
            <wp:docPr descr="" title="" id="74" name="Picture"/>
            <a:graphic>
              <a:graphicData uri="http://schemas.openxmlformats.org/drawingml/2006/picture">
                <pic:pic>
                  <pic:nvPicPr>
                    <pic:cNvPr descr="images/006_section_results-and-discussion/008_section_diagnostics-plots/2_gof_plot_predictedVsObserved.png" id="75" name="Picture"/>
                    <pic:cNvPicPr>
                      <a:picLocks noChangeArrowheads="1" noChangeAspect="1"/>
                    </pic:cNvPicPr>
                  </pic:nvPicPr>
                  <pic:blipFill>
                    <a:blip r:embed="rId73"/>
                    <a:stretch>
                      <a:fillRect/>
                    </a:stretch>
                  </pic:blipFill>
                  <pic:spPr bwMode="auto">
                    <a:xfrm>
                      <a:off x="0" y="0"/>
                      <a:ext cx="5969000" cy="7544034"/>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5237439"/>
            <wp:effectExtent b="0" l="0" r="0" t="0"/>
            <wp:docPr descr="" title="" id="77" name="Picture"/>
            <a:graphic>
              <a:graphicData uri="http://schemas.openxmlformats.org/drawingml/2006/picture">
                <pic:pic>
                  <pic:nvPicPr>
                    <pic:cNvPr descr="images/006_section_results-and-discussion/008_section_diagnostics-plots/3_gof_plot_residualsOverTime.png" id="78" name="Picture"/>
                    <pic:cNvPicPr>
                      <a:picLocks noChangeArrowheads="1" noChangeAspect="1"/>
                    </pic:cNvPicPr>
                  </pic:nvPicPr>
                  <pic:blipFill>
                    <a:blip r:embed="rId76"/>
                    <a:stretch>
                      <a:fillRect/>
                    </a:stretch>
                  </pic:blipFill>
                  <pic:spPr bwMode="auto">
                    <a:xfrm>
                      <a:off x="0" y="0"/>
                      <a:ext cx="5969000" cy="5237439"/>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79"/>
    <w:bookmarkStart w:id="266"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r w:type="page"/>
    <w:p>
      <w:pPr>
        <w:pStyle w:val="BodyText"/>
      </w:pPr>
      <w:bookmarkStart w:id="figure-3-3" w:name="figure-3-3"/>
      <w:bookmarkEnd w:id="figure-3-3"/>
    </w:p>
    <w:p>
      <w:pPr>
        <w:pStyle w:val="BodyText"/>
      </w:pPr>
      <w:r>
        <w:drawing>
          <wp:inline>
            <wp:extent cx="5969000" cy="4853513"/>
            <wp:effectExtent b="0" l="0" r="0" t="0"/>
            <wp:docPr descr="" title="" id="81" name="Picture"/>
            <a:graphic>
              <a:graphicData uri="http://schemas.openxmlformats.org/drawingml/2006/picture">
                <pic:pic>
                  <pic:nvPicPr>
                    <pic:cNvPr descr="images/006_section_results-and-discussion/009_section_ct-profiles/1_time_profile_plot_Carbamazepine_Barzaghi1987_400mg_sd_tabIR.png" id="82" name="Picture"/>
                    <pic:cNvPicPr>
                      <a:picLocks noChangeArrowheads="1" noChangeAspect="1"/>
                    </pic:cNvPicPr>
                  </pic:nvPicPr>
                  <pic:blipFill>
                    <a:blip r:embed="rId8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 Barzaghi1987_400mg_sd_tabIR</w:t>
      </w:r>
    </w:p>
    <w:p>
      <w:pPr>
        <w:pStyle w:val="BodyText"/>
      </w:pPr>
      <w:r>
        <w:t xml:space="preserve"> </w:t>
      </w:r>
    </w:p>
    <w:br w:type="page"/>
    <w:p>
      <w:pPr>
        <w:pStyle w:val="BodyText"/>
      </w:pPr>
      <w:bookmarkStart w:id="figure-3-4" w:name="figure-3-4"/>
      <w:bookmarkEnd w:id="figure-3-4"/>
    </w:p>
    <w:p>
      <w:pPr>
        <w:pStyle w:val="BodyText"/>
      </w:pPr>
      <w:r>
        <w:drawing>
          <wp:inline>
            <wp:extent cx="5969000" cy="4853513"/>
            <wp:effectExtent b="0" l="0" r="0" t="0"/>
            <wp:docPr descr="" title="" id="84" name="Picture"/>
            <a:graphic>
              <a:graphicData uri="http://schemas.openxmlformats.org/drawingml/2006/picture">
                <pic:pic>
                  <pic:nvPicPr>
                    <pic:cNvPr descr="images/006_section_results-and-discussion/009_section_ct-profiles/2_time_profile_plot_Carbamazepine_Bedada2015_200mg_sd_tabIR.png" id="85" name="Picture"/>
                    <pic:cNvPicPr>
                      <a:picLocks noChangeArrowheads="1" noChangeAspect="1"/>
                    </pic:cNvPicPr>
                  </pic:nvPicPr>
                  <pic:blipFill>
                    <a:blip r:embed="rId8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 Bedada2015_200mg_sd_tabIR</w:t>
      </w:r>
    </w:p>
    <w:p>
      <w:pPr>
        <w:pStyle w:val="BodyText"/>
      </w:pPr>
      <w:r>
        <w:t xml:space="preserve"> </w:t>
      </w:r>
    </w:p>
    <w:br w:type="page"/>
    <w:p>
      <w:pPr>
        <w:pStyle w:val="BodyText"/>
      </w:pPr>
      <w:bookmarkStart w:id="figure-3-5" w:name="figure-3-5"/>
      <w:bookmarkEnd w:id="figure-3-5"/>
    </w:p>
    <w:p>
      <w:pPr>
        <w:pStyle w:val="BodyText"/>
      </w:pPr>
      <w:r>
        <w:drawing>
          <wp:inline>
            <wp:extent cx="5969000" cy="4853513"/>
            <wp:effectExtent b="0" l="0" r="0" t="0"/>
            <wp:docPr descr="" title="" id="87" name="Picture"/>
            <a:graphic>
              <a:graphicData uri="http://schemas.openxmlformats.org/drawingml/2006/picture">
                <pic:pic>
                  <pic:nvPicPr>
                    <pic:cNvPr descr="images/006_section_results-and-discussion/009_section_ct-profiles/3_time_profile_plot_Carbamazepine_Bedada2016_200mg_sd_tabIR.png" id="88" name="Picture"/>
                    <pic:cNvPicPr>
                      <a:picLocks noChangeArrowheads="1" noChangeAspect="1"/>
                    </pic:cNvPicPr>
                  </pic:nvPicPr>
                  <pic:blipFill>
                    <a:blip r:embed="rId8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 Bedada2016_200mg_sd_tabIR</w:t>
      </w:r>
    </w:p>
    <w:p>
      <w:pPr>
        <w:pStyle w:val="BodyText"/>
      </w:pPr>
      <w:r>
        <w:t xml:space="preserve"> </w:t>
      </w:r>
    </w:p>
    <w:br w:type="page"/>
    <w:p>
      <w:pPr>
        <w:pStyle w:val="BodyText"/>
      </w:pPr>
      <w:bookmarkStart w:id="figure-3-6" w:name="figure-3-6"/>
      <w:bookmarkEnd w:id="figure-3-6"/>
    </w:p>
    <w:p>
      <w:pPr>
        <w:pStyle w:val="BodyText"/>
      </w:pPr>
      <w:r>
        <w:drawing>
          <wp:inline>
            <wp:extent cx="5969000" cy="4853513"/>
            <wp:effectExtent b="0" l="0" r="0" t="0"/>
            <wp:docPr descr="" title="" id="90" name="Picture"/>
            <a:graphic>
              <a:graphicData uri="http://schemas.openxmlformats.org/drawingml/2006/picture">
                <pic:pic>
                  <pic:nvPicPr>
                    <pic:cNvPr descr="images/006_section_results-and-discussion/009_section_ct-profiles/4_time_profile_plot_Carbamazepine_Bernus1994_600mg_D1_D5_tabIR.png" id="91" name="Picture"/>
                    <pic:cNvPicPr>
                      <a:picLocks noChangeArrowheads="1" noChangeAspect="1"/>
                    </pic:cNvPicPr>
                  </pic:nvPicPr>
                  <pic:blipFill>
                    <a:blip r:embed="rId8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 Bernus1994_600mg_D1+D5_tabIR - plasma</w:t>
      </w:r>
    </w:p>
    <w:p>
      <w:pPr>
        <w:pStyle w:val="BodyText"/>
      </w:pPr>
      <w:r>
        <w:t xml:space="preserve"> </w:t>
      </w:r>
    </w:p>
    <w:br w:type="page"/>
    <w:p>
      <w:pPr>
        <w:pStyle w:val="BodyText"/>
      </w:pPr>
      <w:bookmarkStart w:id="figure-3-7" w:name="figure-3-7"/>
      <w:bookmarkEnd w:id="figure-3-7"/>
    </w:p>
    <w:p>
      <w:pPr>
        <w:pStyle w:val="BodyText"/>
      </w:pPr>
      <w:r>
        <w:drawing>
          <wp:inline>
            <wp:extent cx="5969000" cy="5464738"/>
            <wp:effectExtent b="0" l="0" r="0" t="0"/>
            <wp:docPr descr="" title="" id="93" name="Picture"/>
            <a:graphic>
              <a:graphicData uri="http://schemas.openxmlformats.org/drawingml/2006/picture">
                <pic:pic>
                  <pic:nvPicPr>
                    <pic:cNvPr descr="images/006_section_results-and-discussion/009_section_ct-profiles/5_time_profile_plot_Carbamazepine_Bernus1994_600mg_D1_D5_tabIR.png" id="94" name="Picture"/>
                    <pic:cNvPicPr>
                      <a:picLocks noChangeArrowheads="1" noChangeAspect="1"/>
                    </pic:cNvPicPr>
                  </pic:nvPicPr>
                  <pic:blipFill>
                    <a:blip r:embed="rId9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3-7: Bernus1994_600mg_D1+D5_tabIR - urine</w:t>
      </w:r>
    </w:p>
    <w:p>
      <w:pPr>
        <w:pStyle w:val="BodyText"/>
      </w:pPr>
      <w:r>
        <w:t xml:space="preserve"> </w:t>
      </w:r>
    </w:p>
    <w:br w:type="page"/>
    <w:p>
      <w:pPr>
        <w:pStyle w:val="BodyText"/>
      </w:pPr>
      <w:bookmarkStart w:id="figure-3-8" w:name="figure-3-8"/>
      <w:bookmarkEnd w:id="figure-3-8"/>
    </w:p>
    <w:p>
      <w:pPr>
        <w:pStyle w:val="BodyText"/>
      </w:pPr>
      <w:r>
        <w:drawing>
          <wp:inline>
            <wp:extent cx="5969000" cy="4853513"/>
            <wp:effectExtent b="0" l="0" r="0" t="0"/>
            <wp:docPr descr="" title="" id="96" name="Picture"/>
            <a:graphic>
              <a:graphicData uri="http://schemas.openxmlformats.org/drawingml/2006/picture">
                <pic:pic>
                  <pic:nvPicPr>
                    <pic:cNvPr descr="images/006_section_results-and-discussion/009_section_ct-profiles/6_time_profile_plot_Carbamazepine_Bianchetti1987_400mg_sd_tabIR.png" id="97" name="Picture"/>
                    <pic:cNvPicPr>
                      <a:picLocks noChangeArrowheads="1" noChangeAspect="1"/>
                    </pic:cNvPicPr>
                  </pic:nvPicPr>
                  <pic:blipFill>
                    <a:blip r:embed="rId9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3-8: Bianchetti1987_400mg_sd_tabIR_fed</w:t>
      </w:r>
    </w:p>
    <w:p>
      <w:pPr>
        <w:pStyle w:val="BodyText"/>
      </w:pPr>
      <w:r>
        <w:t xml:space="preserve"> </w:t>
      </w:r>
    </w:p>
    <w:br w:type="page"/>
    <w:p>
      <w:pPr>
        <w:pStyle w:val="BodyText"/>
      </w:pPr>
      <w:bookmarkStart w:id="figure-3-9" w:name="figure-3-9"/>
      <w:bookmarkEnd w:id="figure-3-9"/>
    </w:p>
    <w:p>
      <w:pPr>
        <w:pStyle w:val="BodyText"/>
      </w:pPr>
      <w:r>
        <w:drawing>
          <wp:inline>
            <wp:extent cx="5969000" cy="4853513"/>
            <wp:effectExtent b="0" l="0" r="0" t="0"/>
            <wp:docPr descr="" title="" id="99" name="Picture"/>
            <a:graphic>
              <a:graphicData uri="http://schemas.openxmlformats.org/drawingml/2006/picture">
                <pic:pic>
                  <pic:nvPicPr>
                    <pic:cNvPr descr="images/006_section_results-and-discussion/009_section_ct-profiles/7_time_profile_plot_Carbamazepine_Burstein2000_100_200_400mg_md_tabIR.png" id="100" name="Picture"/>
                    <pic:cNvPicPr>
                      <a:picLocks noChangeArrowheads="1" noChangeAspect="1"/>
                    </pic:cNvPicPr>
                  </pic:nvPicPr>
                  <pic:blipFill>
                    <a:blip r:embed="rId9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3-9: Burstein2000_100-200-400mg_md_tabIR</w:t>
      </w:r>
    </w:p>
    <w:p>
      <w:pPr>
        <w:pStyle w:val="BodyText"/>
      </w:pPr>
      <w:r>
        <w:t xml:space="preserve"> </w:t>
      </w:r>
    </w:p>
    <w:br w:type="page"/>
    <w:p>
      <w:pPr>
        <w:pStyle w:val="BodyText"/>
      </w:pPr>
      <w:bookmarkStart w:id="figure-3-10" w:name="figure-3-10"/>
      <w:bookmarkEnd w:id="figure-3-10"/>
    </w:p>
    <w:p>
      <w:pPr>
        <w:pStyle w:val="BodyText"/>
      </w:pPr>
      <w:r>
        <w:drawing>
          <wp:inline>
            <wp:extent cx="5969000" cy="4853513"/>
            <wp:effectExtent b="0" l="0" r="0" t="0"/>
            <wp:docPr descr="" title="" id="102" name="Picture"/>
            <a:graphic>
              <a:graphicData uri="http://schemas.openxmlformats.org/drawingml/2006/picture">
                <pic:pic>
                  <pic:nvPicPr>
                    <pic:cNvPr descr="images/006_section_results-and-discussion/009_section_ct-profiles/8_time_profile_plot_Carbamazepine_Caraco1995_200mg_sd_LeanGroup.png" id="103" name="Picture"/>
                    <pic:cNvPicPr>
                      <a:picLocks noChangeArrowheads="1" noChangeAspect="1"/>
                    </pic:cNvPicPr>
                  </pic:nvPicPr>
                  <pic:blipFill>
                    <a:blip r:embed="rId10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3-10: Time Profile Analysis</w:t>
      </w:r>
    </w:p>
    <w:p>
      <w:pPr>
        <w:pStyle w:val="BodyText"/>
      </w:pPr>
      <w:r>
        <w:t xml:space="preserve"> </w:t>
      </w:r>
    </w:p>
    <w:br w:type="page"/>
    <w:p>
      <w:pPr>
        <w:pStyle w:val="BodyText"/>
      </w:pPr>
      <w:bookmarkStart w:id="figure-3-11" w:name="figure-3-11"/>
      <w:bookmarkEnd w:id="figure-3-11"/>
    </w:p>
    <w:p>
      <w:pPr>
        <w:pStyle w:val="BodyText"/>
      </w:pPr>
      <w:r>
        <w:drawing>
          <wp:inline>
            <wp:extent cx="5969000" cy="4853513"/>
            <wp:effectExtent b="0" l="0" r="0" t="0"/>
            <wp:docPr descr="" title="" id="105" name="Picture"/>
            <a:graphic>
              <a:graphicData uri="http://schemas.openxmlformats.org/drawingml/2006/picture">
                <pic:pic>
                  <pic:nvPicPr>
                    <pic:cNvPr descr="images/006_section_results-and-discussion/009_section_ct-profiles/9_time_profile_plot_Carbamazepine_Cawello2010_TrialB_200mg_BID.png" id="106" name="Picture"/>
                    <pic:cNvPicPr>
                      <a:picLocks noChangeArrowheads="1" noChangeAspect="1"/>
                    </pic:cNvPicPr>
                  </pic:nvPicPr>
                  <pic:blipFill>
                    <a:blip r:embed="rId10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r w:type="page"/>
    <w:p>
      <w:pPr>
        <w:pStyle w:val="BodyText"/>
      </w:pPr>
      <w:bookmarkStart w:id="figure-3-12" w:name="figure-3-12"/>
      <w:bookmarkEnd w:id="figure-3-12"/>
    </w:p>
    <w:p>
      <w:pPr>
        <w:pStyle w:val="BodyText"/>
      </w:pPr>
      <w:r>
        <w:drawing>
          <wp:inline>
            <wp:extent cx="5969000" cy="4853513"/>
            <wp:effectExtent b="0" l="0" r="0" t="0"/>
            <wp:docPr descr="" title="" id="108" name="Picture"/>
            <a:graphic>
              <a:graphicData uri="http://schemas.openxmlformats.org/drawingml/2006/picture">
                <pic:pic>
                  <pic:nvPicPr>
                    <pic:cNvPr descr="images/006_section_results-and-discussion/009_section_ct-profiles/10_time_profile_plot_Carbamazepine_Cotter1977_individual_800mg_sd_tabIR.png" id="109" name="Picture"/>
                    <pic:cNvPicPr>
                      <a:picLocks noChangeArrowheads="1" noChangeAspect="1"/>
                    </pic:cNvPicPr>
                  </pic:nvPicPr>
                  <pic:blipFill>
                    <a:blip r:embed="rId10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3-12: Cotter1977_individual_800mg_sd_tabIR</w:t>
      </w:r>
    </w:p>
    <w:p>
      <w:pPr>
        <w:pStyle w:val="BodyText"/>
      </w:pPr>
      <w:r>
        <w:t xml:space="preserve"> </w:t>
      </w:r>
    </w:p>
    <w:br w:type="page"/>
    <w:p>
      <w:pPr>
        <w:pStyle w:val="BodyText"/>
      </w:pPr>
      <w:bookmarkStart w:id="figure-3-13" w:name="figure-3-13"/>
      <w:bookmarkEnd w:id="figure-3-13"/>
    </w:p>
    <w:p>
      <w:pPr>
        <w:pStyle w:val="BodyText"/>
      </w:pPr>
      <w:r>
        <w:drawing>
          <wp:inline>
            <wp:extent cx="5969000" cy="4853513"/>
            <wp:effectExtent b="0" l="0" r="0" t="0"/>
            <wp:docPr descr="" title="" id="111" name="Picture"/>
            <a:graphic>
              <a:graphicData uri="http://schemas.openxmlformats.org/drawingml/2006/picture">
                <pic:pic>
                  <pic:nvPicPr>
                    <pic:cNvPr descr="images/006_section_results-and-discussion/009_section_ct-profiles/11_time_profile_plot_Carbamazepine_Dalton1985a_control_600mg_sd_tabIR.png" id="112" name="Picture"/>
                    <pic:cNvPicPr>
                      <a:picLocks noChangeArrowheads="1" noChangeAspect="1"/>
                    </pic:cNvPicPr>
                  </pic:nvPicPr>
                  <pic:blipFill>
                    <a:blip r:embed="rId11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3-13: Dalton1985_control_600mg_sd_tabIR</w:t>
      </w:r>
    </w:p>
    <w:p>
      <w:pPr>
        <w:pStyle w:val="BodyText"/>
      </w:pPr>
      <w:r>
        <w:t xml:space="preserve"> </w:t>
      </w:r>
    </w:p>
    <w:br w:type="page"/>
    <w:p>
      <w:pPr>
        <w:pStyle w:val="BodyText"/>
      </w:pPr>
      <w:bookmarkStart w:id="figure-3-14" w:name="figure-3-14"/>
      <w:bookmarkEnd w:id="figure-3-14"/>
    </w:p>
    <w:p>
      <w:pPr>
        <w:pStyle w:val="BodyText"/>
      </w:pPr>
      <w:r>
        <w:drawing>
          <wp:inline>
            <wp:extent cx="5969000" cy="4853513"/>
            <wp:effectExtent b="0" l="0" r="0" t="0"/>
            <wp:docPr descr="" title="" id="114" name="Picture"/>
            <a:graphic>
              <a:graphicData uri="http://schemas.openxmlformats.org/drawingml/2006/picture">
                <pic:pic>
                  <pic:nvPicPr>
                    <pic:cNvPr descr="images/006_section_results-and-discussion/009_section_ct-profiles/12_time_profile_plot_Carbamazepine_Dalton1985b_600mg_sd_tabIR.png" id="115" name="Picture"/>
                    <pic:cNvPicPr>
                      <a:picLocks noChangeArrowheads="1" noChangeAspect="1"/>
                    </pic:cNvPicPr>
                  </pic:nvPicPr>
                  <pic:blipFill>
                    <a:blip r:embed="rId11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3-14: Dalton1985a_600mg_sd_tabIR</w:t>
      </w:r>
    </w:p>
    <w:p>
      <w:pPr>
        <w:pStyle w:val="BodyText"/>
      </w:pPr>
      <w:r>
        <w:t xml:space="preserve"> </w:t>
      </w:r>
    </w:p>
    <w:br w:type="page"/>
    <w:p>
      <w:pPr>
        <w:pStyle w:val="BodyText"/>
      </w:pPr>
      <w:bookmarkStart w:id="figure-3-15" w:name="figure-3-15"/>
      <w:bookmarkEnd w:id="figure-3-15"/>
    </w:p>
    <w:p>
      <w:pPr>
        <w:pStyle w:val="BodyText"/>
      </w:pPr>
      <w:r>
        <w:drawing>
          <wp:inline>
            <wp:extent cx="5969000" cy="4853513"/>
            <wp:effectExtent b="0" l="0" r="0" t="0"/>
            <wp:docPr descr="" title="" id="117" name="Picture"/>
            <a:graphic>
              <a:graphicData uri="http://schemas.openxmlformats.org/drawingml/2006/picture">
                <pic:pic>
                  <pic:nvPicPr>
                    <pic:cNvPr descr="images/006_section_results-and-discussion/009_section_ct-profiles/13_time_profile_plot_Carbamazepine_Eichelbaum1985_VolunteerEH_200mg_sd_susp.png" id="118" name="Picture"/>
                    <pic:cNvPicPr>
                      <a:picLocks noChangeArrowheads="1" noChangeAspect="1"/>
                    </pic:cNvPicPr>
                  </pic:nvPicPr>
                  <pic:blipFill>
                    <a:blip r:embed="rId11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4853513"/>
            <wp:effectExtent b="0" l="0" r="0" t="0"/>
            <wp:docPr descr="" title="" id="120" name="Picture"/>
            <a:graphic>
              <a:graphicData uri="http://schemas.openxmlformats.org/drawingml/2006/picture">
                <pic:pic>
                  <pic:nvPicPr>
                    <pic:cNvPr descr="images/006_section_results-and-discussion/009_section_ct-profiles/14_time_profile_plot_Carbamazepine_Elqidra2004_200mg_sd.png" id="121" name="Picture"/>
                    <pic:cNvPicPr>
                      <a:picLocks noChangeArrowheads="1" noChangeAspect="1"/>
                    </pic:cNvPicPr>
                  </pic:nvPicPr>
                  <pic:blipFill>
                    <a:blip r:embed="rId11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3-16: Time Profile Analysis</w:t>
      </w:r>
    </w:p>
    <w:p>
      <w:pPr>
        <w:pStyle w:val="BodyText"/>
      </w:pPr>
      <w:r>
        <w:t xml:space="preserve"> </w:t>
      </w:r>
    </w:p>
    <w:br w:type="page"/>
    <w:p>
      <w:pPr>
        <w:pStyle w:val="BodyText"/>
      </w:pPr>
      <w:bookmarkStart w:id="figure-3-17" w:name="figure-3-17"/>
      <w:bookmarkEnd w:id="figure-3-17"/>
    </w:p>
    <w:p>
      <w:pPr>
        <w:pStyle w:val="BodyText"/>
      </w:pPr>
      <w:r>
        <w:drawing>
          <wp:inline>
            <wp:extent cx="5969000" cy="5464738"/>
            <wp:effectExtent b="0" l="0" r="0" t="0"/>
            <wp:docPr descr="" title="" id="123" name="Picture"/>
            <a:graphic>
              <a:graphicData uri="http://schemas.openxmlformats.org/drawingml/2006/picture">
                <pic:pic>
                  <pic:nvPicPr>
                    <pic:cNvPr descr="images/006_section_results-and-discussion/009_section_ct-profiles/15_time_profile_plot_Carbamazepine_EUPatent2000_400mg_sd_TegretolXR.png" id="124" name="Picture"/>
                    <pic:cNvPicPr>
                      <a:picLocks noChangeArrowheads="1" noChangeAspect="1"/>
                    </pic:cNvPicPr>
                  </pic:nvPicPr>
                  <pic:blipFill>
                    <a:blip r:embed="rId12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3-17: EUPatent2005_400mg_sd_TegretolXR</w:t>
      </w:r>
    </w:p>
    <w:p>
      <w:pPr>
        <w:pStyle w:val="BodyText"/>
      </w:pPr>
      <w:r>
        <w:t xml:space="preserve"> </w:t>
      </w:r>
    </w:p>
    <w:br w:type="page"/>
    <w:p>
      <w:pPr>
        <w:pStyle w:val="BodyText"/>
      </w:pPr>
      <w:bookmarkStart w:id="figure-3-18" w:name="figure-3-18"/>
      <w:bookmarkEnd w:id="figure-3-18"/>
    </w:p>
    <w:p>
      <w:pPr>
        <w:pStyle w:val="BodyText"/>
      </w:pPr>
      <w:r>
        <w:drawing>
          <wp:inline>
            <wp:extent cx="5969000" cy="4853513"/>
            <wp:effectExtent b="0" l="0" r="0" t="0"/>
            <wp:docPr descr="" title="" id="126" name="Picture"/>
            <a:graphic>
              <a:graphicData uri="http://schemas.openxmlformats.org/drawingml/2006/picture">
                <pic:pic>
                  <pic:nvPicPr>
                    <pic:cNvPr descr="images/006_section_results-and-discussion/009_section_ct-profiles/16_time_profile_plot_Carbamazepine_EUPatent2000_600mg_sd_TegretolXR.png" id="127" name="Picture"/>
                    <pic:cNvPicPr>
                      <a:picLocks noChangeArrowheads="1" noChangeAspect="1"/>
                    </pic:cNvPicPr>
                  </pic:nvPicPr>
                  <pic:blipFill>
                    <a:blip r:embed="rId12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3-18: EUPatent2005_600mg_sd_TegretolXR</w:t>
      </w:r>
    </w:p>
    <w:p>
      <w:pPr>
        <w:pStyle w:val="BodyText"/>
      </w:pPr>
      <w:r>
        <w:t xml:space="preserve"> </w:t>
      </w:r>
    </w:p>
    <w:br w:type="page"/>
    <w:p>
      <w:pPr>
        <w:pStyle w:val="BodyText"/>
      </w:pPr>
      <w:bookmarkStart w:id="figure-3-19" w:name="figure-3-19"/>
      <w:bookmarkEnd w:id="figure-3-19"/>
    </w:p>
    <w:p>
      <w:pPr>
        <w:pStyle w:val="BodyText"/>
      </w:pPr>
      <w:r>
        <w:drawing>
          <wp:inline>
            <wp:extent cx="5969000" cy="4853513"/>
            <wp:effectExtent b="0" l="0" r="0" t="0"/>
            <wp:docPr descr="" title="" id="129" name="Picture"/>
            <a:graphic>
              <a:graphicData uri="http://schemas.openxmlformats.org/drawingml/2006/picture">
                <pic:pic>
                  <pic:nvPicPr>
                    <pic:cNvPr descr="images/006_section_results-and-discussion/009_section_ct-profiles/17_time_profile_plot_Carbamazepine_Gerardin1976_100mg_sd_tabIR.png" id="130" name="Picture"/>
                    <pic:cNvPicPr>
                      <a:picLocks noChangeArrowheads="1" noChangeAspect="1"/>
                    </pic:cNvPicPr>
                  </pic:nvPicPr>
                  <pic:blipFill>
                    <a:blip r:embed="rId12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3-19: Time Profile Analysis</w:t>
      </w:r>
    </w:p>
    <w:p>
      <w:pPr>
        <w:pStyle w:val="BodyText"/>
      </w:pPr>
      <w:r>
        <w:t xml:space="preserve"> </w:t>
      </w:r>
    </w:p>
    <w:br w:type="page"/>
    <w:p>
      <w:pPr>
        <w:pStyle w:val="BodyText"/>
      </w:pPr>
      <w:bookmarkStart w:id="figure-3-20" w:name="figure-3-20"/>
      <w:bookmarkEnd w:id="figure-3-20"/>
    </w:p>
    <w:p>
      <w:pPr>
        <w:pStyle w:val="BodyText"/>
      </w:pPr>
      <w:r>
        <w:drawing>
          <wp:inline>
            <wp:extent cx="5969000" cy="4853513"/>
            <wp:effectExtent b="0" l="0" r="0" t="0"/>
            <wp:docPr descr="" title="" id="132" name="Picture"/>
            <a:graphic>
              <a:graphicData uri="http://schemas.openxmlformats.org/drawingml/2006/picture">
                <pic:pic>
                  <pic:nvPicPr>
                    <pic:cNvPr descr="images/006_section_results-and-discussion/009_section_ct-profiles/18_time_profile_plot_Carbamazepine_Gerardin1976_200mg_sd_tabIR.png" id="133" name="Picture"/>
                    <pic:cNvPicPr>
                      <a:picLocks noChangeArrowheads="1" noChangeAspect="1"/>
                    </pic:cNvPicPr>
                  </pic:nvPicPr>
                  <pic:blipFill>
                    <a:blip r:embed="rId13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3-20: Geradin1976_200mg_sd_tabIR</w:t>
      </w:r>
    </w:p>
    <w:p>
      <w:pPr>
        <w:pStyle w:val="BodyText"/>
      </w:pPr>
      <w:r>
        <w:t xml:space="preserve"> </w:t>
      </w:r>
    </w:p>
    <w:br w:type="page"/>
    <w:p>
      <w:pPr>
        <w:pStyle w:val="BodyText"/>
      </w:pPr>
      <w:bookmarkStart w:id="figure-3-21" w:name="figure-3-21"/>
      <w:bookmarkEnd w:id="figure-3-21"/>
    </w:p>
    <w:p>
      <w:pPr>
        <w:pStyle w:val="BodyText"/>
      </w:pPr>
      <w:r>
        <w:drawing>
          <wp:inline>
            <wp:extent cx="5969000" cy="4853513"/>
            <wp:effectExtent b="0" l="0" r="0" t="0"/>
            <wp:docPr descr="" title="" id="135" name="Picture"/>
            <a:graphic>
              <a:graphicData uri="http://schemas.openxmlformats.org/drawingml/2006/picture">
                <pic:pic>
                  <pic:nvPicPr>
                    <pic:cNvPr descr="images/006_section_results-and-discussion/009_section_ct-profiles/19_time_profile_plot_Carbamazepine_Gerardin1976_600mg_sd_tabIR.png" id="136" name="Picture"/>
                    <pic:cNvPicPr>
                      <a:picLocks noChangeArrowheads="1" noChangeAspect="1"/>
                    </pic:cNvPicPr>
                  </pic:nvPicPr>
                  <pic:blipFill>
                    <a:blip r:embed="rId13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3-21: Time Profile Analysis</w:t>
      </w:r>
    </w:p>
    <w:p>
      <w:pPr>
        <w:pStyle w:val="BodyText"/>
      </w:pPr>
      <w:r>
        <w:t xml:space="preserve"> </w:t>
      </w:r>
    </w:p>
    <w:br w:type="page"/>
    <w:p>
      <w:pPr>
        <w:pStyle w:val="BodyText"/>
      </w:pPr>
      <w:bookmarkStart w:id="figure-3-22" w:name="figure-3-22"/>
      <w:bookmarkEnd w:id="figure-3-22"/>
    </w:p>
    <w:p>
      <w:pPr>
        <w:pStyle w:val="BodyText"/>
      </w:pPr>
      <w:r>
        <w:drawing>
          <wp:inline>
            <wp:extent cx="5969000" cy="7909641"/>
            <wp:effectExtent b="0" l="0" r="0" t="0"/>
            <wp:docPr descr="" title="" id="138" name="Picture"/>
            <a:graphic>
              <a:graphicData uri="http://schemas.openxmlformats.org/drawingml/2006/picture">
                <pic:pic>
                  <pic:nvPicPr>
                    <pic:cNvPr descr="images/006_section_results-and-discussion/009_section_ct-profiles/20_time_profile_plot_Carbamazepine_Gerardin1976_mean_200mg_md_tabIR.png" id="139" name="Picture"/>
                    <pic:cNvPicPr>
                      <a:picLocks noChangeArrowheads="1" noChangeAspect="1"/>
                    </pic:cNvPicPr>
                  </pic:nvPicPr>
                  <pic:blipFill>
                    <a:blip r:embed="rId137"/>
                    <a:stretch>
                      <a:fillRect/>
                    </a:stretch>
                  </pic:blipFill>
                  <pic:spPr bwMode="auto">
                    <a:xfrm>
                      <a:off x="0" y="0"/>
                      <a:ext cx="5969000" cy="7909641"/>
                    </a:xfrm>
                    <a:prstGeom prst="rect">
                      <a:avLst/>
                    </a:prstGeom>
                    <a:noFill/>
                    <a:ln w="9525">
                      <a:noFill/>
                      <a:headEnd/>
                      <a:tailEnd/>
                    </a:ln>
                  </pic:spPr>
                </pic:pic>
              </a:graphicData>
            </a:graphic>
          </wp:inline>
        </w:drawing>
      </w:r>
    </w:p>
    <w:p>
      <w:pPr>
        <w:pStyle w:val="BodyText"/>
      </w:pPr>
      <w:r>
        <w:rPr>
          <w:bCs/>
          <w:b/>
        </w:rPr>
        <w:t xml:space="preserve">Figure 3-22: Geradin1976_mean_200mg_md_tabIR</w:t>
      </w:r>
    </w:p>
    <w:p>
      <w:pPr>
        <w:pStyle w:val="BodyText"/>
      </w:pPr>
      <w:r>
        <w:t xml:space="preserve"> </w:t>
      </w:r>
    </w:p>
    <w:br w:type="page"/>
    <w:p>
      <w:pPr>
        <w:pStyle w:val="BodyText"/>
      </w:pPr>
      <w:bookmarkStart w:id="figure-3-23" w:name="figure-3-23"/>
      <w:bookmarkEnd w:id="figure-3-23"/>
    </w:p>
    <w:p>
      <w:pPr>
        <w:pStyle w:val="BodyText"/>
      </w:pPr>
      <w:r>
        <w:drawing>
          <wp:inline>
            <wp:extent cx="5969000" cy="7909641"/>
            <wp:effectExtent b="0" l="0" r="0" t="0"/>
            <wp:docPr descr="" title="" id="141" name="Picture"/>
            <a:graphic>
              <a:graphicData uri="http://schemas.openxmlformats.org/drawingml/2006/picture">
                <pic:pic>
                  <pic:nvPicPr>
                    <pic:cNvPr descr="images/006_section_results-and-discussion/009_section_ct-profiles/21_time_profile_plot_Carbamazepine_Gerardin1976_mean_200mg_md_tabIR.png" id="142" name="Picture"/>
                    <pic:cNvPicPr>
                      <a:picLocks noChangeArrowheads="1" noChangeAspect="1"/>
                    </pic:cNvPicPr>
                  </pic:nvPicPr>
                  <pic:blipFill>
                    <a:blip r:embed="rId140"/>
                    <a:stretch>
                      <a:fillRect/>
                    </a:stretch>
                  </pic:blipFill>
                  <pic:spPr bwMode="auto">
                    <a:xfrm>
                      <a:off x="0" y="0"/>
                      <a:ext cx="5969000" cy="7909641"/>
                    </a:xfrm>
                    <a:prstGeom prst="rect">
                      <a:avLst/>
                    </a:prstGeom>
                    <a:noFill/>
                    <a:ln w="9525">
                      <a:noFill/>
                      <a:headEnd/>
                      <a:tailEnd/>
                    </a:ln>
                  </pic:spPr>
                </pic:pic>
              </a:graphicData>
            </a:graphic>
          </wp:inline>
        </w:drawing>
      </w:r>
    </w:p>
    <w:p>
      <w:pPr>
        <w:pStyle w:val="BodyText"/>
      </w:pPr>
      <w:r>
        <w:rPr>
          <w:bCs/>
          <w:b/>
        </w:rPr>
        <w:t xml:space="preserve">Figure 3-23: Geradin1976_mean_200mg_md_tabIR - first dose</w:t>
      </w:r>
    </w:p>
    <w:p>
      <w:pPr>
        <w:pStyle w:val="BodyText"/>
      </w:pPr>
      <w:r>
        <w:t xml:space="preserve"> </w:t>
      </w:r>
    </w:p>
    <w:br w:type="page"/>
    <w:p>
      <w:pPr>
        <w:pStyle w:val="BodyText"/>
      </w:pPr>
      <w:bookmarkStart w:id="figure-3-24" w:name="figure-3-24"/>
      <w:bookmarkEnd w:id="figure-3-24"/>
    </w:p>
    <w:p>
      <w:pPr>
        <w:pStyle w:val="BodyText"/>
      </w:pPr>
      <w:r>
        <w:drawing>
          <wp:inline>
            <wp:extent cx="5969000" cy="7909641"/>
            <wp:effectExtent b="0" l="0" r="0" t="0"/>
            <wp:docPr descr="" title="" id="144" name="Picture"/>
            <a:graphic>
              <a:graphicData uri="http://schemas.openxmlformats.org/drawingml/2006/picture">
                <pic:pic>
                  <pic:nvPicPr>
                    <pic:cNvPr descr="images/006_section_results-and-discussion/009_section_ct-profiles/22_time_profile_plot_Carbamazepine_Gerardin1976_mean_200mg_md_tabIR.png" id="145" name="Picture"/>
                    <pic:cNvPicPr>
                      <a:picLocks noChangeArrowheads="1" noChangeAspect="1"/>
                    </pic:cNvPicPr>
                  </pic:nvPicPr>
                  <pic:blipFill>
                    <a:blip r:embed="rId143"/>
                    <a:stretch>
                      <a:fillRect/>
                    </a:stretch>
                  </pic:blipFill>
                  <pic:spPr bwMode="auto">
                    <a:xfrm>
                      <a:off x="0" y="0"/>
                      <a:ext cx="5969000" cy="7909641"/>
                    </a:xfrm>
                    <a:prstGeom prst="rect">
                      <a:avLst/>
                    </a:prstGeom>
                    <a:noFill/>
                    <a:ln w="9525">
                      <a:noFill/>
                      <a:headEnd/>
                      <a:tailEnd/>
                    </a:ln>
                  </pic:spPr>
                </pic:pic>
              </a:graphicData>
            </a:graphic>
          </wp:inline>
        </w:drawing>
      </w:r>
    </w:p>
    <w:p>
      <w:pPr>
        <w:pStyle w:val="BodyText"/>
      </w:pPr>
      <w:r>
        <w:rPr>
          <w:bCs/>
          <w:b/>
        </w:rPr>
        <w:t xml:space="preserve">Figure 3-24: Geradin1976_mean_200mg_md_tabIR - last dose</w:t>
      </w:r>
    </w:p>
    <w:p>
      <w:pPr>
        <w:pStyle w:val="BodyText"/>
      </w:pPr>
      <w:r>
        <w:t xml:space="preserve"> </w:t>
      </w:r>
    </w:p>
    <w:br w:type="page"/>
    <w:p>
      <w:pPr>
        <w:pStyle w:val="BodyText"/>
      </w:pPr>
      <w:bookmarkStart w:id="figure-3-25" w:name="figure-3-25"/>
      <w:bookmarkEnd w:id="figure-3-25"/>
    </w:p>
    <w:p>
      <w:pPr>
        <w:pStyle w:val="BodyText"/>
      </w:pPr>
      <w:r>
        <w:drawing>
          <wp:inline>
            <wp:extent cx="5969000" cy="6404498"/>
            <wp:effectExtent b="0" l="0" r="0" t="0"/>
            <wp:docPr descr="" title="" id="147" name="Picture"/>
            <a:graphic>
              <a:graphicData uri="http://schemas.openxmlformats.org/drawingml/2006/picture">
                <pic:pic>
                  <pic:nvPicPr>
                    <pic:cNvPr descr="images/006_section_results-and-discussion/009_section_ct-profiles/23_time_profile_plot_Carbamazepine_Gerardin1990_Subject1_10mg_iv_100mg_po_sol.png" id="148" name="Picture"/>
                    <pic:cNvPicPr>
                      <a:picLocks noChangeArrowheads="1" noChangeAspect="1"/>
                    </pic:cNvPicPr>
                  </pic:nvPicPr>
                  <pic:blipFill>
                    <a:blip r:embed="rId146"/>
                    <a:stretch>
                      <a:fillRect/>
                    </a:stretch>
                  </pic:blipFill>
                  <pic:spPr bwMode="auto">
                    <a:xfrm>
                      <a:off x="0" y="0"/>
                      <a:ext cx="5969000" cy="6404498"/>
                    </a:xfrm>
                    <a:prstGeom prst="rect">
                      <a:avLst/>
                    </a:prstGeom>
                    <a:noFill/>
                    <a:ln w="9525">
                      <a:noFill/>
                      <a:headEnd/>
                      <a:tailEnd/>
                    </a:ln>
                  </pic:spPr>
                </pic:pic>
              </a:graphicData>
            </a:graphic>
          </wp:inline>
        </w:drawing>
      </w:r>
    </w:p>
    <w:p>
      <w:pPr>
        <w:pStyle w:val="BodyText"/>
      </w:pPr>
      <w:r>
        <w:rPr>
          <w:bCs/>
          <w:b/>
        </w:rPr>
        <w:t xml:space="preserve">Figure 3-25: Geradin1990_Subject1_100mg-iv_100mg-po-sol</w:t>
      </w:r>
    </w:p>
    <w:p>
      <w:pPr>
        <w:pStyle w:val="BodyText"/>
      </w:pPr>
      <w:r>
        <w:t xml:space="preserve"> </w:t>
      </w:r>
    </w:p>
    <w:br w:type="page"/>
    <w:p>
      <w:pPr>
        <w:pStyle w:val="BodyText"/>
      </w:pPr>
      <w:bookmarkStart w:id="figure-3-26" w:name="figure-3-26"/>
      <w:bookmarkEnd w:id="figure-3-26"/>
    </w:p>
    <w:p>
      <w:pPr>
        <w:pStyle w:val="BodyText"/>
      </w:pPr>
      <w:r>
        <w:drawing>
          <wp:inline>
            <wp:extent cx="5969000" cy="6589776"/>
            <wp:effectExtent b="0" l="0" r="0" t="0"/>
            <wp:docPr descr="" title="" id="150" name="Picture"/>
            <a:graphic>
              <a:graphicData uri="http://schemas.openxmlformats.org/drawingml/2006/picture">
                <pic:pic>
                  <pic:nvPicPr>
                    <pic:cNvPr descr="images/006_section_results-and-discussion/009_section_ct-profiles/24_time_profile_plot_Carbamazepine_Gerardin1990_Subject2_10mg_iv_100mg_po_sol.png" id="151" name="Picture"/>
                    <pic:cNvPicPr>
                      <a:picLocks noChangeArrowheads="1" noChangeAspect="1"/>
                    </pic:cNvPicPr>
                  </pic:nvPicPr>
                  <pic:blipFill>
                    <a:blip r:embed="rId149"/>
                    <a:stretch>
                      <a:fillRect/>
                    </a:stretch>
                  </pic:blipFill>
                  <pic:spPr bwMode="auto">
                    <a:xfrm>
                      <a:off x="0" y="0"/>
                      <a:ext cx="5969000" cy="6589776"/>
                    </a:xfrm>
                    <a:prstGeom prst="rect">
                      <a:avLst/>
                    </a:prstGeom>
                    <a:noFill/>
                    <a:ln w="9525">
                      <a:noFill/>
                      <a:headEnd/>
                      <a:tailEnd/>
                    </a:ln>
                  </pic:spPr>
                </pic:pic>
              </a:graphicData>
            </a:graphic>
          </wp:inline>
        </w:drawing>
      </w:r>
    </w:p>
    <w:p>
      <w:pPr>
        <w:pStyle w:val="BodyText"/>
      </w:pPr>
      <w:r>
        <w:rPr>
          <w:bCs/>
          <w:b/>
        </w:rPr>
        <w:t xml:space="preserve">Figure 3-26: Geradin1990_Subject2_100mg-iv_100mg-po-sol</w:t>
      </w:r>
    </w:p>
    <w:p>
      <w:pPr>
        <w:pStyle w:val="BodyText"/>
      </w:pPr>
      <w:r>
        <w:t xml:space="preserve"> </w:t>
      </w:r>
    </w:p>
    <w:br w:type="page"/>
    <w:p>
      <w:pPr>
        <w:pStyle w:val="BodyText"/>
      </w:pPr>
      <w:bookmarkStart w:id="figure-3-27" w:name="figure-3-27"/>
      <w:bookmarkEnd w:id="figure-3-27"/>
    </w:p>
    <w:p>
      <w:pPr>
        <w:pStyle w:val="BodyText"/>
      </w:pPr>
      <w:r>
        <w:drawing>
          <wp:inline>
            <wp:extent cx="5969000" cy="4853513"/>
            <wp:effectExtent b="0" l="0" r="0" t="0"/>
            <wp:docPr descr="" title="" id="153" name="Picture"/>
            <a:graphic>
              <a:graphicData uri="http://schemas.openxmlformats.org/drawingml/2006/picture">
                <pic:pic>
                  <pic:nvPicPr>
                    <pic:cNvPr descr="images/006_section_results-and-discussion/009_section_ct-profiles/25_time_profile_plot_Carbamazepine_Ji2008_Arm2_Control_100_200_400mg_md_tabIR.png" id="154" name="Picture"/>
                    <pic:cNvPicPr>
                      <a:picLocks noChangeArrowheads="1" noChangeAspect="1"/>
                    </pic:cNvPicPr>
                  </pic:nvPicPr>
                  <pic:blipFill>
                    <a:blip r:embed="rId15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3-27: Ji2008_100-200-400mg_md_tabIR</w:t>
      </w:r>
    </w:p>
    <w:p>
      <w:pPr>
        <w:pStyle w:val="BodyText"/>
      </w:pPr>
      <w:r>
        <w:t xml:space="preserve"> </w:t>
      </w:r>
    </w:p>
    <w:br w:type="page"/>
    <w:p>
      <w:pPr>
        <w:pStyle w:val="BodyText"/>
      </w:pPr>
      <w:bookmarkStart w:id="figure-3-28" w:name="figure-3-28"/>
      <w:bookmarkEnd w:id="figure-3-28"/>
    </w:p>
    <w:p>
      <w:pPr>
        <w:pStyle w:val="BodyText"/>
      </w:pPr>
      <w:r>
        <w:drawing>
          <wp:inline>
            <wp:extent cx="5969000" cy="4853513"/>
            <wp:effectExtent b="0" l="0" r="0" t="0"/>
            <wp:docPr descr="" title="" id="156" name="Picture"/>
            <a:graphic>
              <a:graphicData uri="http://schemas.openxmlformats.org/drawingml/2006/picture">
                <pic:pic>
                  <pic:nvPicPr>
                    <pic:cNvPr descr="images/006_section_results-and-discussion/009_section_ct-profiles/26_time_profile_plot_Carbamazepine_Kayali1994_200mg_sd.png" id="157" name="Picture"/>
                    <pic:cNvPicPr>
                      <a:picLocks noChangeArrowheads="1" noChangeAspect="1"/>
                    </pic:cNvPicPr>
                  </pic:nvPicPr>
                  <pic:blipFill>
                    <a:blip r:embed="rId15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3-28: Time Profile Analysis</w:t>
      </w:r>
    </w:p>
    <w:p>
      <w:pPr>
        <w:pStyle w:val="BodyText"/>
      </w:pPr>
      <w:r>
        <w:t xml:space="preserve"> </w:t>
      </w:r>
    </w:p>
    <w:br w:type="page"/>
    <w:p>
      <w:pPr>
        <w:pStyle w:val="BodyText"/>
      </w:pPr>
      <w:bookmarkStart w:id="figure-3-29" w:name="figure-3-29"/>
      <w:bookmarkEnd w:id="figure-3-29"/>
    </w:p>
    <w:p>
      <w:pPr>
        <w:pStyle w:val="BodyText"/>
      </w:pPr>
      <w:r>
        <w:drawing>
          <wp:inline>
            <wp:extent cx="5969000" cy="4853513"/>
            <wp:effectExtent b="0" l="0" r="0" t="0"/>
            <wp:docPr descr="" title="" id="159" name="Picture"/>
            <a:graphic>
              <a:graphicData uri="http://schemas.openxmlformats.org/drawingml/2006/picture">
                <pic:pic>
                  <pic:nvPicPr>
                    <pic:cNvPr descr="images/006_section_results-and-discussion/009_section_ct-profiles/27_time_profile_plot_Carbamazepine_Kim2005_200mg_sd_tabIR.png" id="160" name="Picture"/>
                    <pic:cNvPicPr>
                      <a:picLocks noChangeArrowheads="1" noChangeAspect="1"/>
                    </pic:cNvPicPr>
                  </pic:nvPicPr>
                  <pic:blipFill>
                    <a:blip r:embed="rId15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3-29: Kim2005_200mg_sd_tabIR</w:t>
      </w:r>
    </w:p>
    <w:p>
      <w:pPr>
        <w:pStyle w:val="BodyText"/>
      </w:pPr>
      <w:r>
        <w:t xml:space="preserve"> </w:t>
      </w:r>
    </w:p>
    <w:br w:type="page"/>
    <w:p>
      <w:pPr>
        <w:pStyle w:val="BodyText"/>
      </w:pPr>
      <w:bookmarkStart w:id="figure-3-30" w:name="figure-3-30"/>
      <w:bookmarkEnd w:id="figure-3-30"/>
    </w:p>
    <w:p>
      <w:pPr>
        <w:pStyle w:val="BodyText"/>
      </w:pPr>
      <w:r>
        <w:drawing>
          <wp:inline>
            <wp:extent cx="5969000" cy="5464738"/>
            <wp:effectExtent b="0" l="0" r="0" t="0"/>
            <wp:docPr descr="" title="" id="162" name="Picture"/>
            <a:graphic>
              <a:graphicData uri="http://schemas.openxmlformats.org/drawingml/2006/picture">
                <pic:pic>
                  <pic:nvPicPr>
                    <pic:cNvPr descr="images/006_section_results-and-discussion/009_section_ct-profiles/28_time_profile_plot_Carbamazepine_Kovacevic2009_400mg_sd_TegretolIR.png" id="163" name="Picture"/>
                    <pic:cNvPicPr>
                      <a:picLocks noChangeArrowheads="1" noChangeAspect="1"/>
                    </pic:cNvPicPr>
                  </pic:nvPicPr>
                  <pic:blipFill>
                    <a:blip r:embed="rId161"/>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3-30: Kovacevic2009_400mg_sd_TegretolIR</w:t>
      </w:r>
    </w:p>
    <w:p>
      <w:pPr>
        <w:pStyle w:val="BodyText"/>
      </w:pPr>
      <w:r>
        <w:t xml:space="preserve"> </w:t>
      </w:r>
    </w:p>
    <w:br w:type="page"/>
    <w:p>
      <w:pPr>
        <w:pStyle w:val="BodyText"/>
      </w:pPr>
      <w:bookmarkStart w:id="figure-3-31" w:name="figure-3-31"/>
      <w:bookmarkEnd w:id="figure-3-31"/>
    </w:p>
    <w:p>
      <w:pPr>
        <w:pStyle w:val="BodyText"/>
      </w:pPr>
      <w:r>
        <w:drawing>
          <wp:inline>
            <wp:extent cx="5969000" cy="5464738"/>
            <wp:effectExtent b="0" l="0" r="0" t="0"/>
            <wp:docPr descr="" title="" id="165" name="Picture"/>
            <a:graphic>
              <a:graphicData uri="http://schemas.openxmlformats.org/drawingml/2006/picture">
                <pic:pic>
                  <pic:nvPicPr>
                    <pic:cNvPr descr="images/006_section_results-and-discussion/009_section_ct-profiles/29_time_profile_plot_Carbamazepine_Kovacevic2009_400mg_sd_TegretolXR.png" id="166" name="Picture"/>
                    <pic:cNvPicPr>
                      <a:picLocks noChangeArrowheads="1" noChangeAspect="1"/>
                    </pic:cNvPicPr>
                  </pic:nvPicPr>
                  <pic:blipFill>
                    <a:blip r:embed="rId164"/>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3-31: Kovacevic2009_400mg_sd_TegretolXR</w:t>
      </w:r>
    </w:p>
    <w:p>
      <w:pPr>
        <w:pStyle w:val="BodyText"/>
      </w:pPr>
      <w:r>
        <w:t xml:space="preserve"> </w:t>
      </w:r>
    </w:p>
    <w:br w:type="page"/>
    <w:p>
      <w:pPr>
        <w:pStyle w:val="BodyText"/>
      </w:pPr>
      <w:bookmarkStart w:id="figure-3-32" w:name="figure-3-32"/>
      <w:bookmarkEnd w:id="figure-3-32"/>
    </w:p>
    <w:p>
      <w:pPr>
        <w:pStyle w:val="BodyText"/>
      </w:pPr>
      <w:r>
        <w:drawing>
          <wp:inline>
            <wp:extent cx="5969000" cy="4853513"/>
            <wp:effectExtent b="0" l="0" r="0" t="0"/>
            <wp:docPr descr="" title="" id="168" name="Picture"/>
            <a:graphic>
              <a:graphicData uri="http://schemas.openxmlformats.org/drawingml/2006/picture">
                <pic:pic>
                  <pic:nvPicPr>
                    <pic:cNvPr descr="images/006_section_results-and-discussion/009_section_ct-profiles/30_time_profile_plot_Carbamazepine_Levy1975_6mg_kg_sd_solution_fasted.png" id="169" name="Picture"/>
                    <pic:cNvPicPr>
                      <a:picLocks noChangeArrowheads="1" noChangeAspect="1"/>
                    </pic:cNvPicPr>
                  </pic:nvPicPr>
                  <pic:blipFill>
                    <a:blip r:embed="rId16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3-32: Levy1975_6mg-kg_sd_solution_fasted</w:t>
      </w:r>
    </w:p>
    <w:p>
      <w:pPr>
        <w:pStyle w:val="BodyText"/>
      </w:pPr>
      <w:r>
        <w:t xml:space="preserve"> </w:t>
      </w:r>
    </w:p>
    <w:br w:type="page"/>
    <w:p>
      <w:pPr>
        <w:pStyle w:val="BodyText"/>
      </w:pPr>
      <w:bookmarkStart w:id="figure-3-33" w:name="figure-3-33"/>
      <w:bookmarkEnd w:id="figure-3-33"/>
    </w:p>
    <w:p>
      <w:pPr>
        <w:pStyle w:val="BodyText"/>
      </w:pPr>
      <w:r>
        <w:drawing>
          <wp:inline>
            <wp:extent cx="5969000" cy="4853513"/>
            <wp:effectExtent b="0" l="0" r="0" t="0"/>
            <wp:docPr descr="" title="" id="171" name="Picture"/>
            <a:graphic>
              <a:graphicData uri="http://schemas.openxmlformats.org/drawingml/2006/picture">
                <pic:pic>
                  <pic:nvPicPr>
                    <pic:cNvPr descr="images/006_section_results-and-discussion/009_section_ct-profiles/31_time_profile_plot_Carbamazepine_Levy1975_6mg_kg_sd_tabIR_fasted.png" id="172" name="Picture"/>
                    <pic:cNvPicPr>
                      <a:picLocks noChangeArrowheads="1" noChangeAspect="1"/>
                    </pic:cNvPicPr>
                  </pic:nvPicPr>
                  <pic:blipFill>
                    <a:blip r:embed="rId17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3-33: Levy1975_6mg-kg_sd_tabIR_fasted</w:t>
      </w:r>
    </w:p>
    <w:p>
      <w:pPr>
        <w:pStyle w:val="BodyText"/>
      </w:pPr>
      <w:r>
        <w:t xml:space="preserve"> </w:t>
      </w:r>
    </w:p>
    <w:br w:type="page"/>
    <w:p>
      <w:pPr>
        <w:pStyle w:val="BodyText"/>
      </w:pPr>
      <w:bookmarkStart w:id="figure-3-34" w:name="figure-3-34"/>
      <w:bookmarkEnd w:id="figure-3-34"/>
    </w:p>
    <w:p>
      <w:pPr>
        <w:pStyle w:val="BodyText"/>
      </w:pPr>
      <w:r>
        <w:drawing>
          <wp:inline>
            <wp:extent cx="5969000" cy="4853513"/>
            <wp:effectExtent b="0" l="0" r="0" t="0"/>
            <wp:docPr descr="" title="" id="174" name="Picture"/>
            <a:graphic>
              <a:graphicData uri="http://schemas.openxmlformats.org/drawingml/2006/picture">
                <pic:pic>
                  <pic:nvPicPr>
                    <pic:cNvPr descr="images/006_section_results-and-discussion/009_section_ct-profiles/32_time_profile_plot_Carbamazepine_McLean2001_400mg_sd_capXR_fasted.png" id="175" name="Picture"/>
                    <pic:cNvPicPr>
                      <a:picLocks noChangeArrowheads="1" noChangeAspect="1"/>
                    </pic:cNvPicPr>
                  </pic:nvPicPr>
                  <pic:blipFill>
                    <a:blip r:embed="rId17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3-34: McLean2001_400mg_sd_capXR_fasted</w:t>
      </w:r>
    </w:p>
    <w:p>
      <w:pPr>
        <w:pStyle w:val="BodyText"/>
      </w:pPr>
      <w:r>
        <w:t xml:space="preserve"> </w:t>
      </w:r>
    </w:p>
    <w:br w:type="page"/>
    <w:p>
      <w:pPr>
        <w:pStyle w:val="BodyText"/>
      </w:pPr>
      <w:bookmarkStart w:id="figure-3-35" w:name="figure-3-35"/>
      <w:bookmarkEnd w:id="figure-3-35"/>
    </w:p>
    <w:p>
      <w:pPr>
        <w:pStyle w:val="BodyText"/>
      </w:pPr>
      <w:r>
        <w:drawing>
          <wp:inline>
            <wp:extent cx="5969000" cy="5248899"/>
            <wp:effectExtent b="0" l="0" r="0" t="0"/>
            <wp:docPr descr="" title="" id="177" name="Picture"/>
            <a:graphic>
              <a:graphicData uri="http://schemas.openxmlformats.org/drawingml/2006/picture">
                <pic:pic>
                  <pic:nvPicPr>
                    <pic:cNvPr descr="images/006_section_results-and-discussion/009_section_ct-profiles/33_time_profile_plot_Carbamazepine_Meyer1992_200mg_sd_TegretolIR.png" id="178" name="Picture"/>
                    <pic:cNvPicPr>
                      <a:picLocks noChangeArrowheads="1" noChangeAspect="1"/>
                    </pic:cNvPicPr>
                  </pic:nvPicPr>
                  <pic:blipFill>
                    <a:blip r:embed="rId176"/>
                    <a:stretch>
                      <a:fillRect/>
                    </a:stretch>
                  </pic:blipFill>
                  <pic:spPr bwMode="auto">
                    <a:xfrm>
                      <a:off x="0" y="0"/>
                      <a:ext cx="5969000" cy="5248899"/>
                    </a:xfrm>
                    <a:prstGeom prst="rect">
                      <a:avLst/>
                    </a:prstGeom>
                    <a:noFill/>
                    <a:ln w="9525">
                      <a:noFill/>
                      <a:headEnd/>
                      <a:tailEnd/>
                    </a:ln>
                  </pic:spPr>
                </pic:pic>
              </a:graphicData>
            </a:graphic>
          </wp:inline>
        </w:drawing>
      </w:r>
    </w:p>
    <w:p>
      <w:pPr>
        <w:pStyle w:val="BodyText"/>
      </w:pPr>
      <w:r>
        <w:rPr>
          <w:bCs/>
          <w:b/>
        </w:rPr>
        <w:t xml:space="preserve">Figure 3-35: Time Profile Analysis</w:t>
      </w:r>
    </w:p>
    <w:p>
      <w:pPr>
        <w:pStyle w:val="BodyText"/>
      </w:pPr>
      <w:r>
        <w:t xml:space="preserve"> </w:t>
      </w:r>
    </w:p>
    <w:br w:type="page"/>
    <w:p>
      <w:pPr>
        <w:pStyle w:val="BodyText"/>
      </w:pPr>
      <w:bookmarkStart w:id="figure-3-36" w:name="figure-3-36"/>
      <w:bookmarkEnd w:id="figure-3-36"/>
    </w:p>
    <w:p>
      <w:pPr>
        <w:pStyle w:val="BodyText"/>
      </w:pPr>
      <w:r>
        <w:drawing>
          <wp:inline>
            <wp:extent cx="5969000" cy="4853513"/>
            <wp:effectExtent b="0" l="0" r="0" t="0"/>
            <wp:docPr descr="" title="" id="180" name="Picture"/>
            <a:graphic>
              <a:graphicData uri="http://schemas.openxmlformats.org/drawingml/2006/picture">
                <pic:pic>
                  <pic:nvPicPr>
                    <pic:cNvPr descr="images/006_section_results-and-discussion/009_section_ct-profiles/34_time_profile_plot_Carbamazepine_Meyer1998_200mg_sd_TegretolIR.png" id="181" name="Picture"/>
                    <pic:cNvPicPr>
                      <a:picLocks noChangeArrowheads="1" noChangeAspect="1"/>
                    </pic:cNvPicPr>
                  </pic:nvPicPr>
                  <pic:blipFill>
                    <a:blip r:embed="rId17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3-36: Time Profile Analysis</w:t>
      </w:r>
    </w:p>
    <w:p>
      <w:pPr>
        <w:pStyle w:val="BodyText"/>
      </w:pPr>
      <w:r>
        <w:t xml:space="preserve"> </w:t>
      </w:r>
    </w:p>
    <w:br w:type="page"/>
    <w:p>
      <w:pPr>
        <w:pStyle w:val="BodyText"/>
      </w:pPr>
      <w:bookmarkStart w:id="figure-3-37" w:name="figure-3-37"/>
      <w:bookmarkEnd w:id="figure-3-37"/>
    </w:p>
    <w:p>
      <w:pPr>
        <w:pStyle w:val="BodyText"/>
      </w:pPr>
      <w:r>
        <w:drawing>
          <wp:inline>
            <wp:extent cx="5969000" cy="4853513"/>
            <wp:effectExtent b="0" l="0" r="0" t="0"/>
            <wp:docPr descr="" title="" id="183" name="Picture"/>
            <a:graphic>
              <a:graphicData uri="http://schemas.openxmlformats.org/drawingml/2006/picture">
                <pic:pic>
                  <pic:nvPicPr>
                    <pic:cNvPr descr="images/006_section_results-and-discussion/009_section_ct-profiles/35_time_profile_plot_Carbamazepine_Miles1989_control_357mg_md_tabIR.png" id="184" name="Picture"/>
                    <pic:cNvPicPr>
                      <a:picLocks noChangeArrowheads="1" noChangeAspect="1"/>
                    </pic:cNvPicPr>
                  </pic:nvPicPr>
                  <pic:blipFill>
                    <a:blip r:embed="rId18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3-37: Miles1989_control_357_md_tabIR</w:t>
      </w:r>
    </w:p>
    <w:p>
      <w:pPr>
        <w:pStyle w:val="BodyText"/>
      </w:pPr>
      <w:r>
        <w:t xml:space="preserve"> </w:t>
      </w:r>
    </w:p>
    <w:br w:type="page"/>
    <w:p>
      <w:pPr>
        <w:pStyle w:val="BodyText"/>
      </w:pPr>
      <w:bookmarkStart w:id="figure-3-38" w:name="figure-3-38"/>
      <w:bookmarkEnd w:id="figure-3-38"/>
    </w:p>
    <w:p>
      <w:pPr>
        <w:pStyle w:val="BodyText"/>
      </w:pPr>
      <w:r>
        <w:drawing>
          <wp:inline>
            <wp:extent cx="5969000" cy="4853513"/>
            <wp:effectExtent b="0" l="0" r="0" t="0"/>
            <wp:docPr descr="" title="" id="186" name="Picture"/>
            <a:graphic>
              <a:graphicData uri="http://schemas.openxmlformats.org/drawingml/2006/picture">
                <pic:pic>
                  <pic:nvPicPr>
                    <pic:cNvPr descr="images/006_section_results-and-discussion/009_section_ct-profiles/36_time_profile_plot_Carbamazepine_Moller2001_100_200_400mg_md_tabIR.png" id="187" name="Picture"/>
                    <pic:cNvPicPr>
                      <a:picLocks noChangeArrowheads="1" noChangeAspect="1"/>
                    </pic:cNvPicPr>
                  </pic:nvPicPr>
                  <pic:blipFill>
                    <a:blip r:embed="rId18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3-38: Moller2001_100-200-400mg_md_tabIR</w:t>
      </w:r>
    </w:p>
    <w:p>
      <w:pPr>
        <w:pStyle w:val="BodyText"/>
      </w:pPr>
      <w:r>
        <w:t xml:space="preserve"> </w:t>
      </w:r>
    </w:p>
    <w:br w:type="page"/>
    <w:p>
      <w:pPr>
        <w:pStyle w:val="BodyText"/>
      </w:pPr>
      <w:bookmarkStart w:id="figure-3-39" w:name="figure-3-39"/>
      <w:bookmarkEnd w:id="figure-3-39"/>
    </w:p>
    <w:p>
      <w:pPr>
        <w:pStyle w:val="BodyText"/>
      </w:pPr>
      <w:r>
        <w:drawing>
          <wp:inline>
            <wp:extent cx="5969000" cy="4853513"/>
            <wp:effectExtent b="0" l="0" r="0" t="0"/>
            <wp:docPr descr="" title="" id="189" name="Picture"/>
            <a:graphic>
              <a:graphicData uri="http://schemas.openxmlformats.org/drawingml/2006/picture">
                <pic:pic>
                  <pic:nvPicPr>
                    <pic:cNvPr descr="images/006_section_results-and-discussion/009_section_ct-profiles/37_time_profile_plot_Carbamazepine_Morselli1975_healthy_400mg_sd_tabIR.png" id="190" name="Picture"/>
                    <pic:cNvPicPr>
                      <a:picLocks noChangeArrowheads="1" noChangeAspect="1"/>
                    </pic:cNvPicPr>
                  </pic:nvPicPr>
                  <pic:blipFill>
                    <a:blip r:embed="rId18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3-39: Morselli1975_healthy_400mg_sd_tabIR_plasma</w:t>
      </w:r>
    </w:p>
    <w:p>
      <w:pPr>
        <w:pStyle w:val="BodyText"/>
      </w:pPr>
      <w:r>
        <w:t xml:space="preserve"> </w:t>
      </w:r>
    </w:p>
    <w:br w:type="page"/>
    <w:p>
      <w:pPr>
        <w:pStyle w:val="BodyText"/>
      </w:pPr>
      <w:bookmarkStart w:id="figure-3-40" w:name="figure-3-40"/>
      <w:bookmarkEnd w:id="figure-3-40"/>
    </w:p>
    <w:p>
      <w:pPr>
        <w:pStyle w:val="BodyText"/>
      </w:pPr>
      <w:r>
        <w:drawing>
          <wp:inline>
            <wp:extent cx="5969000" cy="6075964"/>
            <wp:effectExtent b="0" l="0" r="0" t="0"/>
            <wp:docPr descr="" title="" id="192" name="Picture"/>
            <a:graphic>
              <a:graphicData uri="http://schemas.openxmlformats.org/drawingml/2006/picture">
                <pic:pic>
                  <pic:nvPicPr>
                    <pic:cNvPr descr="images/006_section_results-and-discussion/009_section_ct-profiles/38_time_profile_plot_Carbamazepine_Morselli1975_healthy_400mg_sd_tabIR.png" id="193" name="Picture"/>
                    <pic:cNvPicPr>
                      <a:picLocks noChangeArrowheads="1" noChangeAspect="1"/>
                    </pic:cNvPicPr>
                  </pic:nvPicPr>
                  <pic:blipFill>
                    <a:blip r:embed="rId191"/>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3-40: Morselli1975_healthy_400mg_sd_tabIR_urine</w:t>
      </w:r>
    </w:p>
    <w:p>
      <w:pPr>
        <w:pStyle w:val="BodyText"/>
      </w:pPr>
      <w:r>
        <w:t xml:space="preserve"> </w:t>
      </w:r>
    </w:p>
    <w:br w:type="page"/>
    <w:p>
      <w:pPr>
        <w:pStyle w:val="BodyText"/>
      </w:pPr>
      <w:bookmarkStart w:id="figure-3-41" w:name="figure-3-41"/>
      <w:bookmarkEnd w:id="figure-3-41"/>
    </w:p>
    <w:p>
      <w:pPr>
        <w:pStyle w:val="BodyText"/>
      </w:pPr>
      <w:r>
        <w:drawing>
          <wp:inline>
            <wp:extent cx="5969000" cy="4853513"/>
            <wp:effectExtent b="0" l="0" r="0" t="0"/>
            <wp:docPr descr="" title="" id="195" name="Picture"/>
            <a:graphic>
              <a:graphicData uri="http://schemas.openxmlformats.org/drawingml/2006/picture">
                <pic:pic>
                  <pic:nvPicPr>
                    <pic:cNvPr descr="images/006_section_results-and-discussion/009_section_ct-profiles/39_time_profile_plot_Carbamazepine_Pynnoenen1977_400mg_sd_tabIR.png" id="196" name="Picture"/>
                    <pic:cNvPicPr>
                      <a:picLocks noChangeArrowheads="1" noChangeAspect="1"/>
                    </pic:cNvPicPr>
                  </pic:nvPicPr>
                  <pic:blipFill>
                    <a:blip r:embed="rId19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3-41: Pynnoenen1977_400mg_sd_tabIR_plasma</w:t>
      </w:r>
    </w:p>
    <w:p>
      <w:pPr>
        <w:pStyle w:val="BodyText"/>
      </w:pPr>
      <w:r>
        <w:t xml:space="preserve"> </w:t>
      </w:r>
    </w:p>
    <w:br w:type="page"/>
    <w:p>
      <w:pPr>
        <w:pStyle w:val="BodyText"/>
      </w:pPr>
      <w:bookmarkStart w:id="figure-3-42" w:name="figure-3-42"/>
      <w:bookmarkEnd w:id="figure-3-42"/>
    </w:p>
    <w:p>
      <w:pPr>
        <w:pStyle w:val="BodyText"/>
      </w:pPr>
      <w:r>
        <w:drawing>
          <wp:inline>
            <wp:extent cx="5969000" cy="4715987"/>
            <wp:effectExtent b="0" l="0" r="0" t="0"/>
            <wp:docPr descr="" title="" id="198" name="Picture"/>
            <a:graphic>
              <a:graphicData uri="http://schemas.openxmlformats.org/drawingml/2006/picture">
                <pic:pic>
                  <pic:nvPicPr>
                    <pic:cNvPr descr="images/006_section_results-and-discussion/009_section_ct-profiles/40_time_profile_plot_Carbamazepine_Pynnoenen1977_400mg_sd_tabIR.png" id="199" name="Picture"/>
                    <pic:cNvPicPr>
                      <a:picLocks noChangeArrowheads="1" noChangeAspect="1"/>
                    </pic:cNvPicPr>
                  </pic:nvPicPr>
                  <pic:blipFill>
                    <a:blip r:embed="rId197"/>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3-42: Pynnoenen1977_400mg_sd_tabIR_saliva</w:t>
      </w:r>
    </w:p>
    <w:p>
      <w:pPr>
        <w:pStyle w:val="BodyText"/>
      </w:pPr>
      <w:r>
        <w:t xml:space="preserve"> </w:t>
      </w:r>
    </w:p>
    <w:br w:type="page"/>
    <w:p>
      <w:pPr>
        <w:pStyle w:val="BodyText"/>
      </w:pPr>
      <w:bookmarkStart w:id="figure-3-43" w:name="figure-3-43"/>
      <w:bookmarkEnd w:id="figure-3-43"/>
    </w:p>
    <w:p>
      <w:pPr>
        <w:pStyle w:val="BodyText"/>
      </w:pPr>
      <w:r>
        <w:drawing>
          <wp:inline>
            <wp:extent cx="5969000" cy="4853513"/>
            <wp:effectExtent b="0" l="0" r="0" t="0"/>
            <wp:docPr descr="" title="" id="201" name="Picture"/>
            <a:graphic>
              <a:graphicData uri="http://schemas.openxmlformats.org/drawingml/2006/picture">
                <pic:pic>
                  <pic:nvPicPr>
                    <pic:cNvPr descr="images/006_section_results-and-discussion/009_section_ct-profiles/41_time_profile_plot_Carbamazepine_Rawlins1975_100mg_sd_solution_volunteerG.png" id="202" name="Picture"/>
                    <pic:cNvPicPr>
                      <a:picLocks noChangeArrowheads="1" noChangeAspect="1"/>
                    </pic:cNvPicPr>
                  </pic:nvPicPr>
                  <pic:blipFill>
                    <a:blip r:embed="rId20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3-43: Rawlins1975_100mg_sd_sol</w:t>
      </w:r>
    </w:p>
    <w:p>
      <w:pPr>
        <w:pStyle w:val="BodyText"/>
      </w:pPr>
      <w:r>
        <w:t xml:space="preserve"> </w:t>
      </w:r>
    </w:p>
    <w:br w:type="page"/>
    <w:p>
      <w:pPr>
        <w:pStyle w:val="BodyText"/>
      </w:pPr>
      <w:bookmarkStart w:id="figure-3-44" w:name="figure-3-44"/>
      <w:bookmarkEnd w:id="figure-3-44"/>
    </w:p>
    <w:p>
      <w:pPr>
        <w:pStyle w:val="BodyText"/>
      </w:pPr>
      <w:r>
        <w:drawing>
          <wp:inline>
            <wp:extent cx="5969000" cy="4853513"/>
            <wp:effectExtent b="0" l="0" r="0" t="0"/>
            <wp:docPr descr="" title="" id="204" name="Picture"/>
            <a:graphic>
              <a:graphicData uri="http://schemas.openxmlformats.org/drawingml/2006/picture">
                <pic:pic>
                  <pic:nvPicPr>
                    <pic:cNvPr descr="images/006_section_results-and-discussion/009_section_ct-profiles/42_time_profile_plot_Carbamazepine_Rawlins1975_200mg_sd_solution_volunteerG.png" id="205" name="Picture"/>
                    <pic:cNvPicPr>
                      <a:picLocks noChangeArrowheads="1" noChangeAspect="1"/>
                    </pic:cNvPicPr>
                  </pic:nvPicPr>
                  <pic:blipFill>
                    <a:blip r:embed="rId20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3-44: Rawlins1975_200mg_sd_sol</w:t>
      </w:r>
    </w:p>
    <w:p>
      <w:pPr>
        <w:pStyle w:val="BodyText"/>
      </w:pPr>
      <w:r>
        <w:t xml:space="preserve"> </w:t>
      </w:r>
    </w:p>
    <w:br w:type="page"/>
    <w:p>
      <w:pPr>
        <w:pStyle w:val="BodyText"/>
      </w:pPr>
      <w:bookmarkStart w:id="figure-3-45" w:name="figure-3-45"/>
      <w:bookmarkEnd w:id="figure-3-45"/>
    </w:p>
    <w:p>
      <w:pPr>
        <w:pStyle w:val="BodyText"/>
      </w:pPr>
      <w:r>
        <w:drawing>
          <wp:inline>
            <wp:extent cx="5969000" cy="4853513"/>
            <wp:effectExtent b="0" l="0" r="0" t="0"/>
            <wp:docPr descr="" title="" id="207" name="Picture"/>
            <a:graphic>
              <a:graphicData uri="http://schemas.openxmlformats.org/drawingml/2006/picture">
                <pic:pic>
                  <pic:nvPicPr>
                    <pic:cNvPr descr="images/006_section_results-and-discussion/009_section_ct-profiles/43_time_profile_plot_Carbamazepine_Rawlins1975_200mg_sd_tablet_volunteerG.png" id="208" name="Picture"/>
                    <pic:cNvPicPr>
                      <a:picLocks noChangeArrowheads="1" noChangeAspect="1"/>
                    </pic:cNvPicPr>
                  </pic:nvPicPr>
                  <pic:blipFill>
                    <a:blip r:embed="rId20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3-45: Rawlins1975_200mg_sd_sol</w:t>
      </w:r>
    </w:p>
    <w:p>
      <w:pPr>
        <w:pStyle w:val="BodyText"/>
      </w:pPr>
      <w:r>
        <w:t xml:space="preserve"> </w:t>
      </w:r>
    </w:p>
    <w:br w:type="page"/>
    <w:p>
      <w:pPr>
        <w:pStyle w:val="BodyText"/>
      </w:pPr>
      <w:bookmarkStart w:id="figure-3-46" w:name="figure-3-46"/>
      <w:bookmarkEnd w:id="figure-3-46"/>
    </w:p>
    <w:p>
      <w:pPr>
        <w:pStyle w:val="BodyText"/>
      </w:pPr>
      <w:r>
        <w:drawing>
          <wp:inline>
            <wp:extent cx="5969000" cy="4853513"/>
            <wp:effectExtent b="0" l="0" r="0" t="0"/>
            <wp:docPr descr="" title="" id="210" name="Picture"/>
            <a:graphic>
              <a:graphicData uri="http://schemas.openxmlformats.org/drawingml/2006/picture">
                <pic:pic>
                  <pic:nvPicPr>
                    <pic:cNvPr descr="images/006_section_results-and-discussion/009_section_ct-profiles/44_time_profile_plot_Carbamazepine_Rawlins1975_50mg_sd_solution_volunteerG.png" id="211" name="Picture"/>
                    <pic:cNvPicPr>
                      <a:picLocks noChangeArrowheads="1" noChangeAspect="1"/>
                    </pic:cNvPicPr>
                  </pic:nvPicPr>
                  <pic:blipFill>
                    <a:blip r:embed="rId20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3-46: Rawlins1975_50mg_sd_sol</w:t>
      </w:r>
    </w:p>
    <w:p>
      <w:pPr>
        <w:pStyle w:val="BodyText"/>
      </w:pPr>
      <w:r>
        <w:t xml:space="preserve"> </w:t>
      </w:r>
    </w:p>
    <w:br w:type="page"/>
    <w:p>
      <w:pPr>
        <w:pStyle w:val="BodyText"/>
      </w:pPr>
      <w:bookmarkStart w:id="figure-3-47" w:name="figure-3-47"/>
      <w:bookmarkEnd w:id="figure-3-47"/>
    </w:p>
    <w:p>
      <w:pPr>
        <w:pStyle w:val="BodyText"/>
      </w:pPr>
      <w:r>
        <w:drawing>
          <wp:inline>
            <wp:extent cx="5969000" cy="4853513"/>
            <wp:effectExtent b="0" l="0" r="0" t="0"/>
            <wp:docPr descr="" title="" id="213" name="Picture"/>
            <a:graphic>
              <a:graphicData uri="http://schemas.openxmlformats.org/drawingml/2006/picture">
                <pic:pic>
                  <pic:nvPicPr>
                    <pic:cNvPr descr="images/006_section_results-and-discussion/009_section_ct-profiles/45_time_profile_plot_Carbamazepine_Saint_Salvi1987_200mg_sd_tabIR.png" id="214" name="Picture"/>
                    <pic:cNvPicPr>
                      <a:picLocks noChangeArrowheads="1" noChangeAspect="1"/>
                    </pic:cNvPicPr>
                  </pic:nvPicPr>
                  <pic:blipFill>
                    <a:blip r:embed="rId21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3-47: SaintSalvi1987_200mg_sd_tabIR</w:t>
      </w:r>
    </w:p>
    <w:p>
      <w:pPr>
        <w:pStyle w:val="BodyText"/>
      </w:pPr>
      <w:r>
        <w:t xml:space="preserve"> </w:t>
      </w:r>
    </w:p>
    <w:br w:type="page"/>
    <w:p>
      <w:pPr>
        <w:pStyle w:val="BodyText"/>
      </w:pPr>
      <w:bookmarkStart w:id="figure-3-48" w:name="figure-3-48"/>
      <w:bookmarkEnd w:id="figure-3-48"/>
    </w:p>
    <w:p>
      <w:pPr>
        <w:pStyle w:val="BodyText"/>
      </w:pPr>
      <w:r>
        <w:drawing>
          <wp:inline>
            <wp:extent cx="5969000" cy="4853513"/>
            <wp:effectExtent b="0" l="0" r="0" t="0"/>
            <wp:docPr descr="" title="" id="216" name="Picture"/>
            <a:graphic>
              <a:graphicData uri="http://schemas.openxmlformats.org/drawingml/2006/picture">
                <pic:pic>
                  <pic:nvPicPr>
                    <pic:cNvPr descr="images/006_section_results-and-discussion/009_section_ct-profiles/46_time_profile_plot_Carbamazepine_Stevens1998_400mg_bid_CarbatrolXR.png" id="217" name="Picture"/>
                    <pic:cNvPicPr>
                      <a:picLocks noChangeArrowheads="1" noChangeAspect="1"/>
                    </pic:cNvPicPr>
                  </pic:nvPicPr>
                  <pic:blipFill>
                    <a:blip r:embed="rId21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3-48: Stevens1998_400mg_bid_CarbatrolXR</w:t>
      </w:r>
    </w:p>
    <w:p>
      <w:pPr>
        <w:pStyle w:val="BodyText"/>
      </w:pPr>
      <w:r>
        <w:t xml:space="preserve"> </w:t>
      </w:r>
    </w:p>
    <w:br w:type="page"/>
    <w:p>
      <w:pPr>
        <w:pStyle w:val="BodyText"/>
      </w:pPr>
      <w:bookmarkStart w:id="figure-3-49" w:name="figure-3-49"/>
      <w:bookmarkEnd w:id="figure-3-49"/>
    </w:p>
    <w:p>
      <w:pPr>
        <w:pStyle w:val="BodyText"/>
      </w:pPr>
      <w:r>
        <w:drawing>
          <wp:inline>
            <wp:extent cx="5969000" cy="4853513"/>
            <wp:effectExtent b="0" l="0" r="0" t="0"/>
            <wp:docPr descr="" title="" id="219" name="Picture"/>
            <a:graphic>
              <a:graphicData uri="http://schemas.openxmlformats.org/drawingml/2006/picture">
                <pic:pic>
                  <pic:nvPicPr>
                    <pic:cNvPr descr="images/006_section_results-and-discussion/009_section_ct-profiles/47_time_profile_plot_Carbamazepine_Stevens1998_400mg_bid_CarbatrolXR.png" id="220" name="Picture"/>
                    <pic:cNvPicPr>
                      <a:picLocks noChangeArrowheads="1" noChangeAspect="1"/>
                    </pic:cNvPicPr>
                  </pic:nvPicPr>
                  <pic:blipFill>
                    <a:blip r:embed="rId21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3-49: Stevens1998_400mg_bid_CarbatrolXR - last dose</w:t>
      </w:r>
    </w:p>
    <w:p>
      <w:pPr>
        <w:pStyle w:val="BodyText"/>
      </w:pPr>
      <w:r>
        <w:t xml:space="preserve"> </w:t>
      </w:r>
    </w:p>
    <w:br w:type="page"/>
    <w:p>
      <w:pPr>
        <w:pStyle w:val="BodyText"/>
      </w:pPr>
      <w:bookmarkStart w:id="figure-3-50" w:name="figure-3-50"/>
      <w:bookmarkEnd w:id="figure-3-50"/>
    </w:p>
    <w:p>
      <w:pPr>
        <w:pStyle w:val="BodyText"/>
      </w:pPr>
      <w:r>
        <w:drawing>
          <wp:inline>
            <wp:extent cx="5969000" cy="4853513"/>
            <wp:effectExtent b="0" l="0" r="0" t="0"/>
            <wp:docPr descr="" title="" id="222" name="Picture"/>
            <a:graphic>
              <a:graphicData uri="http://schemas.openxmlformats.org/drawingml/2006/picture">
                <pic:pic>
                  <pic:nvPicPr>
                    <pic:cNvPr descr="images/006_section_results-and-discussion/009_section_ct-profiles/48_time_profile_plot_Carbamazepine_Stevens1998_400mg_bid_TegretolXR.png" id="223" name="Picture"/>
                    <pic:cNvPicPr>
                      <a:picLocks noChangeArrowheads="1" noChangeAspect="1"/>
                    </pic:cNvPicPr>
                  </pic:nvPicPr>
                  <pic:blipFill>
                    <a:blip r:embed="rId22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3-50: Stevens1998_400mg_bid_TegretolXR</w:t>
      </w:r>
    </w:p>
    <w:p>
      <w:pPr>
        <w:pStyle w:val="BodyText"/>
      </w:pPr>
      <w:r>
        <w:t xml:space="preserve"> </w:t>
      </w:r>
    </w:p>
    <w:br w:type="page"/>
    <w:p>
      <w:pPr>
        <w:pStyle w:val="BodyText"/>
      </w:pPr>
      <w:bookmarkStart w:id="figure-3-51" w:name="figure-3-51"/>
      <w:bookmarkEnd w:id="figure-3-51"/>
    </w:p>
    <w:p>
      <w:pPr>
        <w:pStyle w:val="BodyText"/>
      </w:pPr>
      <w:r>
        <w:drawing>
          <wp:inline>
            <wp:extent cx="5969000" cy="4853513"/>
            <wp:effectExtent b="0" l="0" r="0" t="0"/>
            <wp:docPr descr="" title="" id="225" name="Picture"/>
            <a:graphic>
              <a:graphicData uri="http://schemas.openxmlformats.org/drawingml/2006/picture">
                <pic:pic>
                  <pic:nvPicPr>
                    <pic:cNvPr descr="images/006_section_results-and-discussion/009_section_ct-profiles/49_time_profile_plot_Carbamazepine_Stevens1998_400mg_bid_TegretolXR.png" id="226" name="Picture"/>
                    <pic:cNvPicPr>
                      <a:picLocks noChangeArrowheads="1" noChangeAspect="1"/>
                    </pic:cNvPicPr>
                  </pic:nvPicPr>
                  <pic:blipFill>
                    <a:blip r:embed="rId22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3-51: Stevens1998_400mg_bid_TegretolXR - last dose</w:t>
      </w:r>
    </w:p>
    <w:p>
      <w:pPr>
        <w:pStyle w:val="BodyText"/>
      </w:pPr>
      <w:r>
        <w:t xml:space="preserve"> </w:t>
      </w:r>
    </w:p>
    <w:br w:type="page"/>
    <w:p>
      <w:pPr>
        <w:pStyle w:val="BodyText"/>
      </w:pPr>
      <w:bookmarkStart w:id="figure-3-52" w:name="figure-3-52"/>
      <w:bookmarkEnd w:id="figure-3-52"/>
    </w:p>
    <w:p>
      <w:pPr>
        <w:pStyle w:val="BodyText"/>
      </w:pPr>
      <w:r>
        <w:drawing>
          <wp:inline>
            <wp:extent cx="5969000" cy="4853513"/>
            <wp:effectExtent b="0" l="0" r="0" t="0"/>
            <wp:docPr descr="" title="" id="228" name="Picture"/>
            <a:graphic>
              <a:graphicData uri="http://schemas.openxmlformats.org/drawingml/2006/picture">
                <pic:pic>
                  <pic:nvPicPr>
                    <pic:cNvPr descr="images/006_section_results-and-discussion/009_section_ct-profiles/50_time_profile_plot_Carbamazepine_Strandjord1975_mean_400mg_sd_tabIR.png" id="229" name="Picture"/>
                    <pic:cNvPicPr>
                      <a:picLocks noChangeArrowheads="1" noChangeAspect="1"/>
                    </pic:cNvPicPr>
                  </pic:nvPicPr>
                  <pic:blipFill>
                    <a:blip r:embed="rId22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3-52: Strandjord1975_mean_400mg_sd_tabIR - observed mean data</w:t>
      </w:r>
    </w:p>
    <w:p>
      <w:pPr>
        <w:pStyle w:val="BodyText"/>
      </w:pPr>
      <w:r>
        <w:t xml:space="preserve"> </w:t>
      </w:r>
    </w:p>
    <w:br w:type="page"/>
    <w:p>
      <w:pPr>
        <w:pStyle w:val="BodyText"/>
      </w:pPr>
      <w:bookmarkStart w:id="figure-3-53" w:name="figure-3-53"/>
      <w:bookmarkEnd w:id="figure-3-53"/>
    </w:p>
    <w:p>
      <w:pPr>
        <w:pStyle w:val="BodyText"/>
      </w:pPr>
      <w:r>
        <w:drawing>
          <wp:inline>
            <wp:extent cx="5969000" cy="11576994"/>
            <wp:effectExtent b="0" l="0" r="0" t="0"/>
            <wp:docPr descr="" title="" id="231" name="Picture"/>
            <a:graphic>
              <a:graphicData uri="http://schemas.openxmlformats.org/drawingml/2006/picture">
                <pic:pic>
                  <pic:nvPicPr>
                    <pic:cNvPr descr="images/006_section_results-and-discussion/009_section_ct-profiles/51_time_profile_plot_Carbamazepine_Strandjord1975_mean_400mg_sd_tabIR.png" id="232" name="Picture"/>
                    <pic:cNvPicPr>
                      <a:picLocks noChangeArrowheads="1" noChangeAspect="1"/>
                    </pic:cNvPicPr>
                  </pic:nvPicPr>
                  <pic:blipFill>
                    <a:blip r:embed="rId230"/>
                    <a:stretch>
                      <a:fillRect/>
                    </a:stretch>
                  </pic:blipFill>
                  <pic:spPr bwMode="auto">
                    <a:xfrm>
                      <a:off x="0" y="0"/>
                      <a:ext cx="5969000" cy="11576994"/>
                    </a:xfrm>
                    <a:prstGeom prst="rect">
                      <a:avLst/>
                    </a:prstGeom>
                    <a:noFill/>
                    <a:ln w="9525">
                      <a:noFill/>
                      <a:headEnd/>
                      <a:tailEnd/>
                    </a:ln>
                  </pic:spPr>
                </pic:pic>
              </a:graphicData>
            </a:graphic>
          </wp:inline>
        </w:drawing>
      </w:r>
    </w:p>
    <w:p>
      <w:pPr>
        <w:pStyle w:val="BodyText"/>
      </w:pPr>
      <w:r>
        <w:rPr>
          <w:bCs/>
          <w:b/>
        </w:rPr>
        <w:t xml:space="preserve">Figure 3-53: Strandjord1975_mean_400mg_sd_tabIR - observed individual data</w:t>
      </w:r>
    </w:p>
    <w:p>
      <w:pPr>
        <w:pStyle w:val="BodyText"/>
      </w:pPr>
      <w:r>
        <w:t xml:space="preserve"> </w:t>
      </w:r>
    </w:p>
    <w:br w:type="page"/>
    <w:p>
      <w:pPr>
        <w:pStyle w:val="BodyText"/>
      </w:pPr>
      <w:bookmarkStart w:id="figure-3-54" w:name="figure-3-54"/>
      <w:bookmarkEnd w:id="figure-3-54"/>
    </w:p>
    <w:p>
      <w:pPr>
        <w:pStyle w:val="BodyText"/>
      </w:pPr>
      <w:r>
        <w:drawing>
          <wp:inline>
            <wp:extent cx="5969000" cy="4853513"/>
            <wp:effectExtent b="0" l="0" r="0" t="0"/>
            <wp:docPr descr="" title="" id="234" name="Picture"/>
            <a:graphic>
              <a:graphicData uri="http://schemas.openxmlformats.org/drawingml/2006/picture">
                <pic:pic>
                  <pic:nvPicPr>
                    <pic:cNvPr descr="images/006_section_results-and-discussion/009_section_ct-profiles/52_time_profile_plot_Carbamazepine_Sumi1987_200mg_sd_sol.png" id="235" name="Picture"/>
                    <pic:cNvPicPr>
                      <a:picLocks noChangeArrowheads="1" noChangeAspect="1"/>
                    </pic:cNvPicPr>
                  </pic:nvPicPr>
                  <pic:blipFill>
                    <a:blip r:embed="rId23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3-54: Sumi1987_200mg_sd_solution</w:t>
      </w:r>
    </w:p>
    <w:p>
      <w:pPr>
        <w:pStyle w:val="BodyText"/>
      </w:pPr>
      <w:r>
        <w:t xml:space="preserve"> </w:t>
      </w:r>
    </w:p>
    <w:br w:type="page"/>
    <w:p>
      <w:pPr>
        <w:pStyle w:val="BodyText"/>
      </w:pPr>
      <w:bookmarkStart w:id="figure-3-55" w:name="figure-3-55"/>
      <w:bookmarkEnd w:id="figure-3-55"/>
    </w:p>
    <w:p>
      <w:pPr>
        <w:pStyle w:val="BodyText"/>
      </w:pPr>
      <w:r>
        <w:drawing>
          <wp:inline>
            <wp:extent cx="5969000" cy="4853513"/>
            <wp:effectExtent b="0" l="0" r="0" t="0"/>
            <wp:docPr descr="" title="" id="237" name="Picture"/>
            <a:graphic>
              <a:graphicData uri="http://schemas.openxmlformats.org/drawingml/2006/picture">
                <pic:pic>
                  <pic:nvPicPr>
                    <pic:cNvPr descr="images/006_section_results-and-discussion/009_section_ct-profiles/53_time_profile_plot_Carbamazepine_Sumi1987_200mg_sd_tabletA.png" id="238" name="Picture"/>
                    <pic:cNvPicPr>
                      <a:picLocks noChangeArrowheads="1" noChangeAspect="1"/>
                    </pic:cNvPicPr>
                  </pic:nvPicPr>
                  <pic:blipFill>
                    <a:blip r:embed="rId23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3-55: Sumi1987_200mg_sd_tabletA</w:t>
      </w:r>
    </w:p>
    <w:p>
      <w:pPr>
        <w:pStyle w:val="BodyText"/>
      </w:pPr>
      <w:r>
        <w:t xml:space="preserve"> </w:t>
      </w:r>
    </w:p>
    <w:br w:type="page"/>
    <w:p>
      <w:pPr>
        <w:pStyle w:val="BodyText"/>
      </w:pPr>
      <w:bookmarkStart w:id="figure-3-56" w:name="figure-3-56"/>
      <w:bookmarkEnd w:id="figure-3-56"/>
    </w:p>
    <w:p>
      <w:pPr>
        <w:pStyle w:val="BodyText"/>
      </w:pPr>
      <w:r>
        <w:drawing>
          <wp:inline>
            <wp:extent cx="5969000" cy="4853513"/>
            <wp:effectExtent b="0" l="0" r="0" t="0"/>
            <wp:docPr descr="" title="" id="240" name="Picture"/>
            <a:graphic>
              <a:graphicData uri="http://schemas.openxmlformats.org/drawingml/2006/picture">
                <pic:pic>
                  <pic:nvPicPr>
                    <pic:cNvPr descr="images/006_section_results-and-discussion/009_section_ct-profiles/54_time_profile_plot_Carbamazepine_Sumi1987_200mg_sd_tabletB.png" id="241" name="Picture"/>
                    <pic:cNvPicPr>
                      <a:picLocks noChangeArrowheads="1" noChangeAspect="1"/>
                    </pic:cNvPicPr>
                  </pic:nvPicPr>
                  <pic:blipFill>
                    <a:blip r:embed="rId23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3-56: Sumi1987_200mg_sd_tabletB</w:t>
      </w:r>
    </w:p>
    <w:p>
      <w:pPr>
        <w:pStyle w:val="BodyText"/>
      </w:pPr>
      <w:r>
        <w:t xml:space="preserve"> </w:t>
      </w:r>
    </w:p>
    <w:br w:type="page"/>
    <w:p>
      <w:pPr>
        <w:pStyle w:val="BodyText"/>
      </w:pPr>
      <w:bookmarkStart w:id="figure-3-57" w:name="figure-3-57"/>
      <w:bookmarkEnd w:id="figure-3-57"/>
    </w:p>
    <w:p>
      <w:pPr>
        <w:pStyle w:val="BodyText"/>
      </w:pPr>
      <w:r>
        <w:drawing>
          <wp:inline>
            <wp:extent cx="5969000" cy="4853513"/>
            <wp:effectExtent b="0" l="0" r="0" t="0"/>
            <wp:docPr descr="" title="" id="243" name="Picture"/>
            <a:graphic>
              <a:graphicData uri="http://schemas.openxmlformats.org/drawingml/2006/picture">
                <pic:pic>
                  <pic:nvPicPr>
                    <pic:cNvPr descr="images/006_section_results-and-discussion/009_section_ct-profiles/55_time_profile_plot_Carbamazepine_Sumi1987_200mg_sd_tabletC.png" id="244" name="Picture"/>
                    <pic:cNvPicPr>
                      <a:picLocks noChangeArrowheads="1" noChangeAspect="1"/>
                    </pic:cNvPicPr>
                  </pic:nvPicPr>
                  <pic:blipFill>
                    <a:blip r:embed="rId24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3-57: Sumi1987_200mg_sd_tabletC</w:t>
      </w:r>
    </w:p>
    <w:p>
      <w:pPr>
        <w:pStyle w:val="BodyText"/>
      </w:pPr>
      <w:r>
        <w:t xml:space="preserve"> </w:t>
      </w:r>
    </w:p>
    <w:br w:type="page"/>
    <w:p>
      <w:pPr>
        <w:pStyle w:val="BodyText"/>
      </w:pPr>
      <w:bookmarkStart w:id="figure-3-58" w:name="figure-3-58"/>
      <w:bookmarkEnd w:id="figure-3-58"/>
    </w:p>
    <w:p>
      <w:pPr>
        <w:pStyle w:val="BodyText"/>
      </w:pPr>
      <w:r>
        <w:drawing>
          <wp:inline>
            <wp:extent cx="5969000" cy="4853513"/>
            <wp:effectExtent b="0" l="0" r="0" t="0"/>
            <wp:docPr descr="" title="" id="246" name="Picture"/>
            <a:graphic>
              <a:graphicData uri="http://schemas.openxmlformats.org/drawingml/2006/picture">
                <pic:pic>
                  <pic:nvPicPr>
                    <pic:cNvPr descr="images/006_section_results-and-discussion/009_section_ct-profiles/56_time_profile_plot_Carbamazepine_Tomson1983_GB_200mg_sd_susp.png" id="247" name="Picture"/>
                    <pic:cNvPicPr>
                      <a:picLocks noChangeArrowheads="1" noChangeAspect="1"/>
                    </pic:cNvPicPr>
                  </pic:nvPicPr>
                  <pic:blipFill>
                    <a:blip r:embed="rId24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3-58: Tomson1983_GB_200mg_sd_susp</w:t>
      </w:r>
    </w:p>
    <w:p>
      <w:pPr>
        <w:pStyle w:val="BodyText"/>
      </w:pPr>
      <w:r>
        <w:t xml:space="preserve"> </w:t>
      </w:r>
    </w:p>
    <w:br w:type="page"/>
    <w:p>
      <w:pPr>
        <w:pStyle w:val="BodyText"/>
      </w:pPr>
      <w:bookmarkStart w:id="figure-3-59" w:name="figure-3-59"/>
      <w:bookmarkEnd w:id="figure-3-59"/>
    </w:p>
    <w:p>
      <w:pPr>
        <w:pStyle w:val="BodyText"/>
      </w:pPr>
      <w:r>
        <w:drawing>
          <wp:inline>
            <wp:extent cx="5969000" cy="5464738"/>
            <wp:effectExtent b="0" l="0" r="0" t="0"/>
            <wp:docPr descr="" title="" id="249" name="Picture"/>
            <a:graphic>
              <a:graphicData uri="http://schemas.openxmlformats.org/drawingml/2006/picture">
                <pic:pic>
                  <pic:nvPicPr>
                    <pic:cNvPr descr="images/006_section_results-and-discussion/009_section_ct-profiles/57_time_profile_plot_Carbamazepine_USPatent2009_300mg_sd_capXR.png" id="250" name="Picture"/>
                    <pic:cNvPicPr>
                      <a:picLocks noChangeArrowheads="1" noChangeAspect="1"/>
                    </pic:cNvPicPr>
                  </pic:nvPicPr>
                  <pic:blipFill>
                    <a:blip r:embed="rId248"/>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3-59: USPatent2009_300mg_sd_capXR</w:t>
      </w:r>
    </w:p>
    <w:p>
      <w:pPr>
        <w:pStyle w:val="BodyText"/>
      </w:pPr>
      <w:r>
        <w:t xml:space="preserve"> </w:t>
      </w:r>
    </w:p>
    <w:br w:type="page"/>
    <w:p>
      <w:pPr>
        <w:pStyle w:val="BodyText"/>
      </w:pPr>
      <w:bookmarkStart w:id="figure-3-60" w:name="figure-3-60"/>
      <w:bookmarkEnd w:id="figure-3-60"/>
    </w:p>
    <w:p>
      <w:pPr>
        <w:pStyle w:val="BodyText"/>
      </w:pPr>
      <w:r>
        <w:drawing>
          <wp:inline>
            <wp:extent cx="5969000" cy="4853513"/>
            <wp:effectExtent b="0" l="0" r="0" t="0"/>
            <wp:docPr descr="" title="" id="252" name="Picture"/>
            <a:graphic>
              <a:graphicData uri="http://schemas.openxmlformats.org/drawingml/2006/picture">
                <pic:pic>
                  <pic:nvPicPr>
                    <pic:cNvPr descr="images/006_section_results-and-discussion/009_section_ct-profiles/58_time_profile_plot_Carbamazepine_Wada1978_200mg_sd_syrup.png" id="253" name="Picture"/>
                    <pic:cNvPicPr>
                      <a:picLocks noChangeArrowheads="1" noChangeAspect="1"/>
                    </pic:cNvPicPr>
                  </pic:nvPicPr>
                  <pic:blipFill>
                    <a:blip r:embed="rId25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3-60: Wada1987_200mg_sd_syrup_plasma</w:t>
      </w:r>
    </w:p>
    <w:p>
      <w:pPr>
        <w:pStyle w:val="BodyText"/>
      </w:pPr>
      <w:r>
        <w:t xml:space="preserve"> </w:t>
      </w:r>
    </w:p>
    <w:br w:type="page"/>
    <w:p>
      <w:pPr>
        <w:pStyle w:val="BodyText"/>
      </w:pPr>
      <w:bookmarkStart w:id="figure-3-61" w:name="figure-3-61"/>
      <w:bookmarkEnd w:id="figure-3-61"/>
    </w:p>
    <w:p>
      <w:pPr>
        <w:pStyle w:val="BodyText"/>
      </w:pPr>
      <w:r>
        <w:drawing>
          <wp:inline>
            <wp:extent cx="5969000" cy="4715987"/>
            <wp:effectExtent b="0" l="0" r="0" t="0"/>
            <wp:docPr descr="" title="" id="255" name="Picture"/>
            <a:graphic>
              <a:graphicData uri="http://schemas.openxmlformats.org/drawingml/2006/picture">
                <pic:pic>
                  <pic:nvPicPr>
                    <pic:cNvPr descr="images/006_section_results-and-discussion/009_section_ct-profiles/59_time_profile_plot_Carbamazepine_Wada1978_200mg_sd_syrup.png" id="256" name="Picture"/>
                    <pic:cNvPicPr>
                      <a:picLocks noChangeArrowheads="1" noChangeAspect="1"/>
                    </pic:cNvPicPr>
                  </pic:nvPicPr>
                  <pic:blipFill>
                    <a:blip r:embed="rId254"/>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3-61: Wada1987_200mg_sd_syrup_saliva</w:t>
      </w:r>
    </w:p>
    <w:p>
      <w:pPr>
        <w:pStyle w:val="BodyText"/>
      </w:pPr>
      <w:r>
        <w:t xml:space="preserve"> </w:t>
      </w:r>
    </w:p>
    <w:br w:type="page"/>
    <w:p>
      <w:pPr>
        <w:pStyle w:val="BodyText"/>
      </w:pPr>
      <w:bookmarkStart w:id="figure-3-62" w:name="figure-3-62"/>
      <w:bookmarkEnd w:id="figure-3-62"/>
    </w:p>
    <w:p>
      <w:pPr>
        <w:pStyle w:val="BodyText"/>
      </w:pPr>
      <w:r>
        <w:drawing>
          <wp:inline>
            <wp:extent cx="5969000" cy="4853513"/>
            <wp:effectExtent b="0" l="0" r="0" t="0"/>
            <wp:docPr descr="" title="" id="258" name="Picture"/>
            <a:graphic>
              <a:graphicData uri="http://schemas.openxmlformats.org/drawingml/2006/picture">
                <pic:pic>
                  <pic:nvPicPr>
                    <pic:cNvPr descr="images/006_section_results-and-discussion/009_section_ct-profiles/60_time_profile_plot_Carbamazepine_Wada1978_200mg_sd_tabIR.png" id="259" name="Picture"/>
                    <pic:cNvPicPr>
                      <a:picLocks noChangeArrowheads="1" noChangeAspect="1"/>
                    </pic:cNvPicPr>
                  </pic:nvPicPr>
                  <pic:blipFill>
                    <a:blip r:embed="rId25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3-62: Wada1978_200mg_sd_tabIR_plasma</w:t>
      </w:r>
    </w:p>
    <w:p>
      <w:pPr>
        <w:pStyle w:val="BodyText"/>
      </w:pPr>
      <w:r>
        <w:t xml:space="preserve"> </w:t>
      </w:r>
    </w:p>
    <w:br w:type="page"/>
    <w:p>
      <w:pPr>
        <w:pStyle w:val="BodyText"/>
      </w:pPr>
      <w:bookmarkStart w:id="figure-3-63" w:name="figure-3-63"/>
      <w:bookmarkEnd w:id="figure-3-63"/>
    </w:p>
    <w:p>
      <w:pPr>
        <w:pStyle w:val="BodyText"/>
      </w:pPr>
      <w:r>
        <w:drawing>
          <wp:inline>
            <wp:extent cx="5969000" cy="4715987"/>
            <wp:effectExtent b="0" l="0" r="0" t="0"/>
            <wp:docPr descr="" title="" id="261" name="Picture"/>
            <a:graphic>
              <a:graphicData uri="http://schemas.openxmlformats.org/drawingml/2006/picture">
                <pic:pic>
                  <pic:nvPicPr>
                    <pic:cNvPr descr="images/006_section_results-and-discussion/009_section_ct-profiles/61_time_profile_plot_Carbamazepine_Wada1978_200mg_sd_tabIR.png" id="262" name="Picture"/>
                    <pic:cNvPicPr>
                      <a:picLocks noChangeArrowheads="1" noChangeAspect="1"/>
                    </pic:cNvPicPr>
                  </pic:nvPicPr>
                  <pic:blipFill>
                    <a:blip r:embed="rId260"/>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3-63: Wada1978_200mg_sd_tabIR_plasma 1</w:t>
      </w:r>
    </w:p>
    <w:p>
      <w:pPr>
        <w:pStyle w:val="BodyText"/>
      </w:pPr>
      <w:r>
        <w:t xml:space="preserve"> </w:t>
      </w:r>
    </w:p>
    <w:br w:type="page"/>
    <w:p>
      <w:pPr>
        <w:pStyle w:val="BodyText"/>
      </w:pPr>
      <w:bookmarkStart w:id="figure-3-64" w:name="figure-3-64"/>
      <w:bookmarkEnd w:id="figure-3-64"/>
    </w:p>
    <w:p>
      <w:pPr>
        <w:pStyle w:val="BodyText"/>
      </w:pPr>
      <w:r>
        <w:drawing>
          <wp:inline>
            <wp:extent cx="5969000" cy="4853513"/>
            <wp:effectExtent b="0" l="0" r="0" t="0"/>
            <wp:docPr descr="" title="" id="264" name="Picture"/>
            <a:graphic>
              <a:graphicData uri="http://schemas.openxmlformats.org/drawingml/2006/picture">
                <pic:pic>
                  <pic:nvPicPr>
                    <pic:cNvPr descr="images/006_section_results-and-discussion/009_section_ct-profiles/62_time_profile_plot_Carbamazepine_Wong1983_control_400mg_sd_tabIR.png" id="265" name="Picture"/>
                    <pic:cNvPicPr>
                      <a:picLocks noChangeArrowheads="1" noChangeAspect="1"/>
                    </pic:cNvPicPr>
                  </pic:nvPicPr>
                  <pic:blipFill>
                    <a:blip r:embed="rId26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3-64: Wong1983_control_400mg_sd_tabIR</w:t>
      </w:r>
    </w:p>
    <w:p>
      <w:pPr>
        <w:pStyle w:val="BodyText"/>
      </w:pPr>
      <w:r>
        <w:t xml:space="preserve"> </w:t>
      </w:r>
    </w:p>
    <w:bookmarkEnd w:id="266"/>
    <w:bookmarkEnd w:id="267"/>
    <w:bookmarkStart w:id="268" w:name="conclusion"/>
    <w:p>
      <w:pPr>
        <w:pStyle w:val="Heading1"/>
      </w:pPr>
      <w:r>
        <w:t xml:space="preserve">Conclusion</w:t>
      </w:r>
      <w:bookmarkStart w:id="conclusion" w:name="conclusion"/>
      <w:bookmarkEnd w:id="conclusion"/>
    </w:p>
    <w:p>
      <w:pPr>
        <w:pStyle w:val="FirstParagraph"/>
      </w:pPr>
      <w:r>
        <w:t xml:space="preserve">The herein presented PBPK model adequately describes the pharmacokinetics of carbamazepine after single and multiple oral administration of various doses to healthy adults.</w:t>
      </w:r>
    </w:p>
    <w:p>
      <w:pPr>
        <w:pStyle w:val="BodyText"/>
      </w:pPr>
      <w:r>
        <w:t xml:space="preserve">In conclusion, the presented carbamazepine PBPK model is well-suited to be applied in drug-drug-interaction scenarios.</w:t>
      </w:r>
    </w:p>
    <w:bookmarkEnd w:id="268"/>
    <w:bookmarkStart w:id="269" w:name="references"/>
    <w:p>
      <w:pPr>
        <w:pStyle w:val="Heading1"/>
      </w:pPr>
      <w:r>
        <w:t xml:space="preserve">References</w:t>
      </w:r>
      <w:bookmarkStart w:id="main-references" w:name="main-references"/>
      <w:bookmarkEnd w:id="main-references"/>
    </w:p>
    <w:p>
      <w:pPr>
        <w:pStyle w:val="FirstParagraph"/>
      </w:pPr>
      <w:r>
        <w:rPr>
          <w:bCs/>
          <w:b/>
        </w:rPr>
        <w:t xml:space="preserve">Achour 2014</w:t>
      </w:r>
      <w:r>
        <w:t xml:space="preserve"> </w:t>
      </w:r>
      <w:r>
        <w:t xml:space="preserve">Achour, B., Russell, M. R., Barber, J., &amp; Rostami-Hodjegan, A. (2014). Simultaneous quantification of the abundance of several cytochrome P450 and uridine 5′-diphospho-glucuronosyltransferase enzymes in human liver microsomes using multiplexed targeted proteomics.</w:t>
      </w:r>
      <w:r>
        <w:t xml:space="preserve"> </w:t>
      </w:r>
      <w:r>
        <w:rPr>
          <w:iCs/>
          <w:i/>
        </w:rPr>
        <w:t xml:space="preserve">Drug metabolism and disposition</w:t>
      </w:r>
      <w:r>
        <w:t xml:space="preserve">,</w:t>
      </w:r>
      <w:r>
        <w:t xml:space="preserve"> </w:t>
      </w:r>
      <w:r>
        <w:rPr>
          <w:iCs/>
          <w:i/>
        </w:rPr>
        <w:t xml:space="preserve">42</w:t>
      </w:r>
      <w:r>
        <w:t xml:space="preserve">(4), 500-510.</w:t>
      </w:r>
    </w:p>
    <w:p>
      <w:pPr>
        <w:pStyle w:val="BodyText"/>
      </w:pPr>
      <w:r>
        <w:rPr>
          <w:bCs/>
          <w:b/>
        </w:rPr>
        <w:t xml:space="preserve">Almond 2016</w:t>
      </w:r>
      <w:r>
        <w:t xml:space="preserve"> </w:t>
      </w:r>
      <w:r>
        <w:t xml:space="preserve">Almond, L. M., Mukadam, S., Gardner, I., Okialda, K., Wong, S., Hatley, O., … &amp; Kenny, J. R. (2016). Prediction of drug-drug interactions arising from CYP3A induction using a physiologically based dynamic model.</w:t>
      </w:r>
      <w:r>
        <w:t xml:space="preserve"> </w:t>
      </w:r>
      <w:r>
        <w:rPr>
          <w:iCs/>
          <w:i/>
        </w:rPr>
        <w:t xml:space="preserve">Drug Metabolism and Disposition</w:t>
      </w:r>
      <w:r>
        <w:t xml:space="preserve">,</w:t>
      </w:r>
      <w:r>
        <w:t xml:space="preserve"> </w:t>
      </w:r>
      <w:r>
        <w:rPr>
          <w:iCs/>
          <w:i/>
        </w:rPr>
        <w:t xml:space="preserve">44</w:t>
      </w:r>
      <w:r>
        <w:t xml:space="preserve">(6), 821-832.</w:t>
      </w:r>
    </w:p>
    <w:p>
      <w:pPr>
        <w:pStyle w:val="BodyText"/>
      </w:pPr>
      <w:r>
        <w:rPr>
          <w:bCs/>
          <w:b/>
        </w:rPr>
        <w:t xml:space="preserve">Annaert 2010</w:t>
      </w:r>
      <w:r>
        <w:t xml:space="preserve"> </w:t>
      </w:r>
      <w:r>
        <w:t xml:space="preserve">Annaert, P., Brouwers, J., Bijnens, A., Lammert, F., Tack, J., &amp; Augustijns, P. (2010). Ex vivo permeability experiments in excised rat intestinal tissue and in vitro solubility measurements in aspirated human intestinal fluids support age-dependent oral drug absorption.</w:t>
      </w:r>
      <w:r>
        <w:t xml:space="preserve"> </w:t>
      </w:r>
      <w:r>
        <w:rPr>
          <w:iCs/>
          <w:i/>
        </w:rPr>
        <w:t xml:space="preserve">European journal of pharmaceutical sciences</w:t>
      </w:r>
      <w:r>
        <w:t xml:space="preserve">,</w:t>
      </w:r>
      <w:r>
        <w:t xml:space="preserve"> </w:t>
      </w:r>
      <w:r>
        <w:rPr>
          <w:iCs/>
          <w:i/>
        </w:rPr>
        <w:t xml:space="preserve">39</w:t>
      </w:r>
      <w:r>
        <w:t xml:space="preserve">(1-3), 15-22.</w:t>
      </w:r>
    </w:p>
    <w:p>
      <w:pPr>
        <w:pStyle w:val="BodyText"/>
      </w:pPr>
      <w:r>
        <w:rPr>
          <w:bCs/>
          <w:b/>
        </w:rPr>
        <w:t xml:space="preserve">Austin 2002</w:t>
      </w:r>
      <w:r>
        <w:t xml:space="preserve"> </w:t>
      </w:r>
      <w:r>
        <w:t xml:space="preserve">Austin, R. P., Barton, P., Cockroft, S. L., Wenlock, M. C., &amp; Riley, R. J. (2002). The influence of nonspecific microsomal binding on apparent intrinsic clearance, and its prediction from physicochemical properties.</w:t>
      </w:r>
      <w:r>
        <w:t xml:space="preserve"> </w:t>
      </w:r>
      <w:r>
        <w:rPr>
          <w:iCs/>
          <w:i/>
        </w:rPr>
        <w:t xml:space="preserve">Drug Metabolism and Disposition</w:t>
      </w:r>
      <w:r>
        <w:t xml:space="preserve">,</w:t>
      </w:r>
      <w:r>
        <w:t xml:space="preserve"> </w:t>
      </w:r>
      <w:r>
        <w:rPr>
          <w:iCs/>
          <w:i/>
        </w:rPr>
        <w:t xml:space="preserve">30</w:t>
      </w:r>
      <w:r>
        <w:t xml:space="preserve">(12), 1497-1503.</w:t>
      </w:r>
    </w:p>
    <w:p>
      <w:pPr>
        <w:pStyle w:val="BodyText"/>
      </w:pPr>
      <w:r>
        <w:rPr>
          <w:bCs/>
          <w:b/>
        </w:rPr>
        <w:t xml:space="preserve">Barzaghi 1987</w:t>
      </w:r>
      <w:r>
        <w:t xml:space="preserve"> </w:t>
      </w:r>
      <w:r>
        <w:t xml:space="preserve">Barzaghi, N., Gatti, G., Crema, F., Monteleone, M., Amione, C., Leone, L., &amp; Perucca, E. (1987). Inhibition by erythromycin of the conversion of carbamazepine to its active 10, 11‐epoxide metabolite.</w:t>
      </w:r>
      <w:r>
        <w:t xml:space="preserve"> </w:t>
      </w:r>
      <w:r>
        <w:rPr>
          <w:iCs/>
          <w:i/>
        </w:rPr>
        <w:t xml:space="preserve">British journal of clinical pharmacology</w:t>
      </w:r>
      <w:r>
        <w:t xml:space="preserve">,</w:t>
      </w:r>
      <w:r>
        <w:t xml:space="preserve"> </w:t>
      </w:r>
      <w:r>
        <w:rPr>
          <w:iCs/>
          <w:i/>
        </w:rPr>
        <w:t xml:space="preserve">24</w:t>
      </w:r>
      <w:r>
        <w:t xml:space="preserve">(6), 836-838.</w:t>
      </w:r>
    </w:p>
    <w:p>
      <w:pPr>
        <w:pStyle w:val="BodyText"/>
      </w:pPr>
      <w:r>
        <w:rPr>
          <w:bCs/>
          <w:b/>
        </w:rPr>
        <w:t xml:space="preserve">Bedada 2015</w:t>
      </w:r>
      <w:r>
        <w:t xml:space="preserve"> </w:t>
      </w:r>
      <w:r>
        <w:t xml:space="preserve">Bedada, S. K., &amp; Nearati, P. (2015). Effect of resveratrol on the pharmacokinetics of carbamazepine in healthy human volunteers.</w:t>
      </w:r>
      <w:r>
        <w:t xml:space="preserve"> </w:t>
      </w:r>
      <w:r>
        <w:rPr>
          <w:iCs/>
          <w:i/>
        </w:rPr>
        <w:t xml:space="preserve">Phytotherapy Research</w:t>
      </w:r>
      <w:r>
        <w:t xml:space="preserve">,</w:t>
      </w:r>
      <w:r>
        <w:t xml:space="preserve"> </w:t>
      </w:r>
      <w:r>
        <w:rPr>
          <w:iCs/>
          <w:i/>
        </w:rPr>
        <w:t xml:space="preserve">29</w:t>
      </w:r>
      <w:r>
        <w:t xml:space="preserve">(5), 701-706.</w:t>
      </w:r>
    </w:p>
    <w:p>
      <w:pPr>
        <w:pStyle w:val="BodyText"/>
      </w:pPr>
      <w:r>
        <w:rPr>
          <w:bCs/>
          <w:b/>
        </w:rPr>
        <w:t xml:space="preserve">Bedada 2016</w:t>
      </w:r>
      <w:r>
        <w:t xml:space="preserve"> </w:t>
      </w:r>
      <w:r>
        <w:t xml:space="preserve">Bedada, S. K., Appani, R., &amp; Boga, P. K. (2017). Effect of piperine on the metabolism and pharmacokinetics of carbamazepine in healthy volunteers.</w:t>
      </w:r>
      <w:r>
        <w:t xml:space="preserve"> </w:t>
      </w:r>
      <w:r>
        <w:rPr>
          <w:iCs/>
          <w:i/>
        </w:rPr>
        <w:t xml:space="preserve">Drug research</w:t>
      </w:r>
      <w:r>
        <w:t xml:space="preserve">,</w:t>
      </w:r>
      <w:r>
        <w:t xml:space="preserve"> </w:t>
      </w:r>
      <w:r>
        <w:rPr>
          <w:iCs/>
          <w:i/>
        </w:rPr>
        <w:t xml:space="preserve">67</w:t>
      </w:r>
      <w:r>
        <w:t xml:space="preserve">(01), 46-51.</w:t>
      </w:r>
    </w:p>
    <w:p>
      <w:pPr>
        <w:pStyle w:val="BodyText"/>
      </w:pPr>
      <w:r>
        <w:rPr>
          <w:bCs/>
          <w:b/>
        </w:rPr>
        <w:t xml:space="preserve">Bernus 1994</w:t>
      </w:r>
      <w:r>
        <w:t xml:space="preserve"> </w:t>
      </w:r>
      <w:r>
        <w:t xml:space="preserve">Bernus, I., Dickinson, R. G., Hooper, W. D., &amp; Eadie, M. J. (1994). Early stage autoinduction of carbamazepine metabolism in humans.</w:t>
      </w:r>
      <w:r>
        <w:t xml:space="preserve"> </w:t>
      </w:r>
      <w:r>
        <w:rPr>
          <w:iCs/>
          <w:i/>
        </w:rPr>
        <w:t xml:space="preserve">European journal of clinical pharmacology</w:t>
      </w:r>
      <w:r>
        <w:t xml:space="preserve">,</w:t>
      </w:r>
      <w:r>
        <w:t xml:space="preserve"> </w:t>
      </w:r>
      <w:r>
        <w:rPr>
          <w:iCs/>
          <w:i/>
        </w:rPr>
        <w:t xml:space="preserve">47</w:t>
      </w:r>
      <w:r>
        <w:t xml:space="preserve">(4), 355-360.</w:t>
      </w:r>
    </w:p>
    <w:p>
      <w:pPr>
        <w:pStyle w:val="BodyText"/>
      </w:pPr>
      <w:r>
        <w:rPr>
          <w:bCs/>
          <w:b/>
        </w:rPr>
        <w:t xml:space="preserve">Bianchetti 1987</w:t>
      </w:r>
      <w:r>
        <w:t xml:space="preserve"> </w:t>
      </w:r>
      <w:r>
        <w:t xml:space="preserve">Bianchetti, G., Padovani, P., Thenot, J. P., Thiercelin, J. F., &amp; Morselli, P. L. (1987). Pharmacokinetic interactions of progabide with other antiepileptic drugs.</w:t>
      </w:r>
      <w:r>
        <w:t xml:space="preserve"> </w:t>
      </w:r>
      <w:r>
        <w:rPr>
          <w:iCs/>
          <w:i/>
        </w:rPr>
        <w:t xml:space="preserve">Epilepsia</w:t>
      </w:r>
      <w:r>
        <w:t xml:space="preserve">,</w:t>
      </w:r>
      <w:r>
        <w:t xml:space="preserve"> </w:t>
      </w:r>
      <w:r>
        <w:rPr>
          <w:iCs/>
          <w:i/>
        </w:rPr>
        <w:t xml:space="preserve">28</w:t>
      </w:r>
      <w:r>
        <w:t xml:space="preserve">(1), 68-73.</w:t>
      </w:r>
    </w:p>
    <w:p>
      <w:pPr>
        <w:pStyle w:val="BodyText"/>
      </w:pPr>
      <w:r>
        <w:rPr>
          <w:bCs/>
          <w:b/>
        </w:rPr>
        <w:t xml:space="preserve">Burstein 2000</w:t>
      </w:r>
      <w:r>
        <w:t xml:space="preserve"> </w:t>
      </w:r>
      <w:r>
        <w:t xml:space="preserve">Burstein, A. H., Horton, R. L., Dunn, T., Alfaro, R. M., Piscitelli, S. C., &amp; Theodore, W. (2000). Lack of effect of St John’s Wort on carbamazepine pharmacokinetics in healthy volunteers.</w:t>
      </w:r>
      <w:r>
        <w:t xml:space="preserve"> </w:t>
      </w:r>
      <w:r>
        <w:rPr>
          <w:iCs/>
          <w:i/>
        </w:rPr>
        <w:t xml:space="preserve">Clinical Pharmacology &amp; Therapeutics</w:t>
      </w:r>
      <w:r>
        <w:t xml:space="preserve">,</w:t>
      </w:r>
      <w:r>
        <w:t xml:space="preserve"> </w:t>
      </w:r>
      <w:r>
        <w:rPr>
          <w:iCs/>
          <w:i/>
        </w:rPr>
        <w:t xml:space="preserve">68</w:t>
      </w:r>
      <w:r>
        <w:t xml:space="preserve">(6), 605-612.</w:t>
      </w:r>
    </w:p>
    <w:p>
      <w:pPr>
        <w:pStyle w:val="BodyText"/>
      </w:pPr>
      <w:r>
        <w:rPr>
          <w:bCs/>
          <w:b/>
        </w:rPr>
        <w:t xml:space="preserve">Caraco 1995</w:t>
      </w:r>
      <w:r>
        <w:t xml:space="preserve"> </w:t>
      </w:r>
      <w:r>
        <w:t xml:space="preserve">Caraco, Y., Zylber-Katz, E., Berry, E. M., &amp; Levy, M. (1995). Carbamazepine pharmacokinetics in obese and lean subjects.</w:t>
      </w:r>
      <w:r>
        <w:t xml:space="preserve"> </w:t>
      </w:r>
      <w:r>
        <w:rPr>
          <w:iCs/>
          <w:i/>
        </w:rPr>
        <w:t xml:space="preserve">Annals of Pharmacotherapy</w:t>
      </w:r>
      <w:r>
        <w:t xml:space="preserve">,</w:t>
      </w:r>
      <w:r>
        <w:t xml:space="preserve"> </w:t>
      </w:r>
      <w:r>
        <w:rPr>
          <w:iCs/>
          <w:i/>
        </w:rPr>
        <w:t xml:space="preserve">29</w:t>
      </w:r>
      <w:r>
        <w:t xml:space="preserve">(9), 843-847.</w:t>
      </w:r>
    </w:p>
    <w:p>
      <w:pPr>
        <w:pStyle w:val="BodyText"/>
      </w:pPr>
      <w:r>
        <w:rPr>
          <w:bCs/>
          <w:b/>
        </w:rPr>
        <w:t xml:space="preserve">Cawello 2010</w:t>
      </w:r>
      <w:r>
        <w:t xml:space="preserve"> </w:t>
      </w:r>
      <w:r>
        <w:t xml:space="preserve">Cawello, W., Nickel, B., &amp; Eggert‐Formella, A. (2010). No pharmacokinetic interaction between lacosamide and carbamazepine in healthy volunteers.</w:t>
      </w:r>
      <w:r>
        <w:t xml:space="preserve"> </w:t>
      </w:r>
      <w:r>
        <w:rPr>
          <w:iCs/>
          <w:i/>
        </w:rPr>
        <w:t xml:space="preserve">The Journal of Clinical Pharmacology</w:t>
      </w:r>
      <w:r>
        <w:t xml:space="preserve">,</w:t>
      </w:r>
      <w:r>
        <w:t xml:space="preserve"> </w:t>
      </w:r>
      <w:r>
        <w:rPr>
          <w:iCs/>
          <w:i/>
        </w:rPr>
        <w:t xml:space="preserve">50</w:t>
      </w:r>
      <w:r>
        <w:t xml:space="preserve">(4), 459-471.</w:t>
      </w:r>
    </w:p>
    <w:p>
      <w:pPr>
        <w:pStyle w:val="BodyText"/>
      </w:pPr>
      <w:r>
        <w:rPr>
          <w:bCs/>
          <w:b/>
        </w:rPr>
        <w:t xml:space="preserve">Cazali 2003</w:t>
      </w:r>
      <w:r>
        <w:t xml:space="preserve"> </w:t>
      </w:r>
      <w:r>
        <w:t xml:space="preserve">Cazali, N., Tran, A., Treluyer, J. M., Rey, E., d’Athis, P., Vincent, J., &amp; Pons, G. (2003). Inhibitory effect of stiripentol on carbamazepine and saquinavir metabolism in human.</w:t>
      </w:r>
      <w:r>
        <w:t xml:space="preserve"> </w:t>
      </w:r>
      <w:r>
        <w:rPr>
          <w:iCs/>
          <w:i/>
        </w:rPr>
        <w:t xml:space="preserve">British journal of clinical pharmacology</w:t>
      </w:r>
      <w:r>
        <w:t xml:space="preserve">,</w:t>
      </w:r>
      <w:r>
        <w:t xml:space="preserve"> </w:t>
      </w:r>
      <w:r>
        <w:rPr>
          <w:iCs/>
          <w:i/>
        </w:rPr>
        <w:t xml:space="preserve">56</w:t>
      </w:r>
      <w:r>
        <w:t xml:space="preserve">(5), 526-536.</w:t>
      </w:r>
    </w:p>
    <w:p>
      <w:pPr>
        <w:pStyle w:val="BodyText"/>
      </w:pPr>
      <w:r>
        <w:rPr>
          <w:bCs/>
          <w:b/>
        </w:rPr>
        <w:t xml:space="preserve">Clarysse 2011</w:t>
      </w:r>
      <w:r>
        <w:t xml:space="preserve"> </w:t>
      </w:r>
      <w:r>
        <w:t xml:space="preserve">Clarysse, S., Brouwers, J., Tack, J., Annaert, P., &amp; Augustijns, P. (2011). Intestinal drug solubility estimation based on simulated intestinal fluids: comparison with solubility in human intestinal fluids.</w:t>
      </w:r>
      <w:r>
        <w:t xml:space="preserve"> </w:t>
      </w:r>
      <w:r>
        <w:rPr>
          <w:iCs/>
          <w:i/>
        </w:rPr>
        <w:t xml:space="preserve">European journal of pharmaceutical sciences</w:t>
      </w:r>
      <w:r>
        <w:t xml:space="preserve">,</w:t>
      </w:r>
      <w:r>
        <w:t xml:space="preserve"> </w:t>
      </w:r>
      <w:r>
        <w:rPr>
          <w:iCs/>
          <w:i/>
        </w:rPr>
        <w:t xml:space="preserve">43</w:t>
      </w:r>
      <w:r>
        <w:t xml:space="preserve">(4), 260-269.</w:t>
      </w:r>
    </w:p>
    <w:p>
      <w:pPr>
        <w:pStyle w:val="BodyText"/>
      </w:pPr>
      <w:r>
        <w:rPr>
          <w:bCs/>
          <w:b/>
        </w:rPr>
        <w:t xml:space="preserve">Cotter 1977</w:t>
      </w:r>
      <w:r>
        <w:t xml:space="preserve"> </w:t>
      </w:r>
      <w:r>
        <w:t xml:space="preserve">Cotter, L. M., Eadie, M. J., Hooper, W. D., Lander, C. M., Smith, G. A., &amp; Tyrer, J. H. (1977). The pharmacokinetics of carbamazepine.</w:t>
      </w:r>
      <w:r>
        <w:t xml:space="preserve"> </w:t>
      </w:r>
      <w:r>
        <w:rPr>
          <w:iCs/>
          <w:i/>
        </w:rPr>
        <w:t xml:space="preserve">European journal of clinical pharmacology</w:t>
      </w:r>
      <w:r>
        <w:t xml:space="preserve">,</w:t>
      </w:r>
      <w:r>
        <w:t xml:space="preserve"> </w:t>
      </w:r>
      <w:r>
        <w:rPr>
          <w:iCs/>
          <w:i/>
        </w:rPr>
        <w:t xml:space="preserve">12</w:t>
      </w:r>
      <w:r>
        <w:t xml:space="preserve">(6), 451-456.</w:t>
      </w:r>
    </w:p>
    <w:p>
      <w:pPr>
        <w:pStyle w:val="BodyText"/>
      </w:pPr>
      <w:r>
        <w:rPr>
          <w:bCs/>
          <w:b/>
        </w:rPr>
        <w:t xml:space="preserve">Dalton 1985a</w:t>
      </w:r>
      <w:r>
        <w:t xml:space="preserve"> </w:t>
      </w:r>
      <w:r>
        <w:t xml:space="preserve">Dalton, M. J., Powell, J. R., &amp; Messenheimer Jr, J. A. (1985). The Influence of Cimetidine on Single‐Dose Carbamazepine Pharmacokinetics.</w:t>
      </w:r>
      <w:r>
        <w:t xml:space="preserve"> </w:t>
      </w:r>
      <w:r>
        <w:rPr>
          <w:iCs/>
          <w:i/>
        </w:rPr>
        <w:t xml:space="preserve">Epilepsia</w:t>
      </w:r>
      <w:r>
        <w:t xml:space="preserve">,</w:t>
      </w:r>
      <w:r>
        <w:t xml:space="preserve"> </w:t>
      </w:r>
      <w:r>
        <w:rPr>
          <w:iCs/>
          <w:i/>
        </w:rPr>
        <w:t xml:space="preserve">26</w:t>
      </w:r>
      <w:r>
        <w:t xml:space="preserve">(2), 127-130.</w:t>
      </w:r>
    </w:p>
    <w:p>
      <w:pPr>
        <w:pStyle w:val="BodyText"/>
      </w:pPr>
      <w:r>
        <w:rPr>
          <w:bCs/>
          <w:b/>
        </w:rPr>
        <w:t xml:space="preserve">Dalton 1985b</w:t>
      </w:r>
      <w:r>
        <w:t xml:space="preserve"> </w:t>
      </w:r>
      <w:r>
        <w:t xml:space="preserve">Dalton, M. J., Powell, J. R., Messenheimer Jr, J. A., Nazario, M., &amp; Mallet, L. (1985). Ranitidine Does Not Alter Single-Dose Carbamazepin Pharmacokinetics in Healthy Adults.</w:t>
      </w:r>
      <w:r>
        <w:t xml:space="preserve"> </w:t>
      </w:r>
      <w:r>
        <w:rPr>
          <w:iCs/>
          <w:i/>
        </w:rPr>
        <w:t xml:space="preserve">Drug intelligence &amp; clinical pharmacy</w:t>
      </w:r>
      <w:r>
        <w:t xml:space="preserve">,</w:t>
      </w:r>
      <w:r>
        <w:t xml:space="preserve"> </w:t>
      </w:r>
      <w:r>
        <w:rPr>
          <w:iCs/>
          <w:i/>
        </w:rPr>
        <w:t xml:space="preserve">19</w:t>
      </w:r>
      <w:r>
        <w:t xml:space="preserve">(12), 941-944.</w:t>
      </w:r>
    </w:p>
    <w:p>
      <w:pPr>
        <w:pStyle w:val="BodyText"/>
      </w:pPr>
      <w:r>
        <w:rPr>
          <w:bCs/>
          <w:b/>
        </w:rPr>
        <w:t xml:space="preserve">Di Salle 1974</w:t>
      </w:r>
      <w:r>
        <w:t xml:space="preserve"> </w:t>
      </w:r>
      <w:r>
        <w:t xml:space="preserve">Di Salle, E., Pacifici, G. M., &amp; Morselli, P. L. (1974). Studies on plasma protein binding of carbamazepine.</w:t>
      </w:r>
      <w:r>
        <w:t xml:space="preserve"> </w:t>
      </w:r>
      <w:r>
        <w:rPr>
          <w:iCs/>
          <w:i/>
        </w:rPr>
        <w:t xml:space="preserve">Pharmacological research communications</w:t>
      </w:r>
      <w:r>
        <w:t xml:space="preserve">,</w:t>
      </w:r>
      <w:r>
        <w:t xml:space="preserve"> </w:t>
      </w:r>
      <w:r>
        <w:rPr>
          <w:iCs/>
          <w:i/>
        </w:rPr>
        <w:t xml:space="preserve">6</w:t>
      </w:r>
      <w:r>
        <w:t xml:space="preserve">(2), 193-202.</w:t>
      </w:r>
    </w:p>
    <w:p>
      <w:pPr>
        <w:pStyle w:val="BodyText"/>
      </w:pPr>
      <w:r>
        <w:rPr>
          <w:bCs/>
          <w:b/>
        </w:rPr>
        <w:t xml:space="preserve">Drugbank DB00564</w:t>
      </w:r>
      <w:r>
        <w:t xml:space="preserve">. URL: https://www.drugbank.ca/drugs/DB00564, accessed on 12-14-2020.</w:t>
      </w:r>
    </w:p>
    <w:p>
      <w:pPr>
        <w:pStyle w:val="BodyText"/>
      </w:pPr>
      <w:r>
        <w:rPr>
          <w:bCs/>
          <w:b/>
        </w:rPr>
        <w:t xml:space="preserve">Drugbank DBMET00291</w:t>
      </w:r>
      <w:r>
        <w:t xml:space="preserve">. URL: https://www.drugbank.ca/metabolites/DBMET00291, accessed on 12-16-2020.</w:t>
      </w:r>
    </w:p>
    <w:p>
      <w:pPr>
        <w:pStyle w:val="BodyText"/>
      </w:pPr>
      <w:r>
        <w:rPr>
          <w:bCs/>
          <w:b/>
        </w:rPr>
        <w:t xml:space="preserve">Egnell 2003</w:t>
      </w:r>
      <w:r>
        <w:t xml:space="preserve"> </w:t>
      </w:r>
      <w:r>
        <w:t xml:space="preserve">Egnell, A. C., Houston, B., &amp; Boyer, S. (2003). In vivo CYP3A4 heteroactivation is a possible mechanism for the drug interaction between felbamate and carbamazepine.</w:t>
      </w:r>
      <w:r>
        <w:t xml:space="preserve"> </w:t>
      </w:r>
      <w:r>
        <w:rPr>
          <w:iCs/>
          <w:i/>
        </w:rPr>
        <w:t xml:space="preserve">Journal of Pharmacology and Experimental Therapeutics</w:t>
      </w:r>
      <w:r>
        <w:t xml:space="preserve">,</w:t>
      </w:r>
      <w:r>
        <w:t xml:space="preserve"> </w:t>
      </w:r>
      <w:r>
        <w:rPr>
          <w:iCs/>
          <w:i/>
        </w:rPr>
        <w:t xml:space="preserve">305</w:t>
      </w:r>
      <w:r>
        <w:t xml:space="preserve">(3), 1251-1262.</w:t>
      </w:r>
    </w:p>
    <w:p>
      <w:pPr>
        <w:pStyle w:val="BodyText"/>
      </w:pPr>
      <w:r>
        <w:rPr>
          <w:bCs/>
          <w:b/>
        </w:rPr>
        <w:t xml:space="preserve">Eichelbaum 1985</w:t>
      </w:r>
      <w:r>
        <w:t xml:space="preserve"> </w:t>
      </w:r>
      <w:r>
        <w:t xml:space="preserve">Eichelbaum, M., Tomson, T., Tybring, G., &amp; Bertilsson, L. (1985). Carbamazepine metabolism in man.</w:t>
      </w:r>
      <w:r>
        <w:t xml:space="preserve"> </w:t>
      </w:r>
      <w:r>
        <w:rPr>
          <w:iCs/>
          <w:i/>
        </w:rPr>
        <w:t xml:space="preserve">Clinical pharmacokinetics</w:t>
      </w:r>
      <w:r>
        <w:t xml:space="preserve">,</w:t>
      </w:r>
      <w:r>
        <w:t xml:space="preserve"> </w:t>
      </w:r>
      <w:r>
        <w:rPr>
          <w:iCs/>
          <w:i/>
        </w:rPr>
        <w:t xml:space="preserve">10</w:t>
      </w:r>
      <w:r>
        <w:t xml:space="preserve">(1), 80-90.</w:t>
      </w:r>
    </w:p>
    <w:p>
      <w:pPr>
        <w:pStyle w:val="BodyText"/>
      </w:pPr>
      <w:r>
        <w:rPr>
          <w:bCs/>
          <w:b/>
        </w:rPr>
        <w:t xml:space="preserve">Elqidra 2004</w:t>
      </w:r>
      <w:r>
        <w:t xml:space="preserve"> </w:t>
      </w:r>
      <w:r>
        <w:t xml:space="preserve">Elqidra, R., Ünlü, N., Capan, Y., Sahin, G., Dalkara, T., &amp; Hincal, A. A. (2004). Effect of polymorphism on in vitro-in vivo properties of carbamazepine conventional tablets.</w:t>
      </w:r>
      <w:r>
        <w:t xml:space="preserve"> </w:t>
      </w:r>
      <w:r>
        <w:rPr>
          <w:iCs/>
          <w:i/>
        </w:rPr>
        <w:t xml:space="preserve">Journal of Drug Delivery Science and Technology</w:t>
      </w:r>
      <w:r>
        <w:t xml:space="preserve">,</w:t>
      </w:r>
      <w:r>
        <w:t xml:space="preserve"> </w:t>
      </w:r>
      <w:r>
        <w:rPr>
          <w:iCs/>
          <w:i/>
        </w:rPr>
        <w:t xml:space="preserve">14</w:t>
      </w:r>
      <w:r>
        <w:t xml:space="preserve">(2), 147-153.</w:t>
      </w:r>
    </w:p>
    <w:p>
      <w:pPr>
        <w:pStyle w:val="BodyText"/>
      </w:pPr>
      <w:r>
        <w:rPr>
          <w:bCs/>
          <w:b/>
        </w:rPr>
        <w:t xml:space="preserve">European Patent Application EP 1044681 A2</w:t>
      </w:r>
      <w:r>
        <w:t xml:space="preserve"> </w:t>
      </w:r>
      <w:r>
        <w:t xml:space="preserve">European Patent Application 2000, EP 1044681 A2, Application no. 00650026.8. URL: https://patentimages.storage.googleapis.com/0c/45/b7/d2be4fa9d24371/EP1044681A2.pdf, accessed on 12-01-2022.</w:t>
      </w:r>
    </w:p>
    <w:p>
      <w:pPr>
        <w:pStyle w:val="BodyText"/>
      </w:pPr>
      <w:r>
        <w:rPr>
          <w:bCs/>
          <w:b/>
        </w:rPr>
        <w:t xml:space="preserve">Faucette 2004</w:t>
      </w:r>
      <w:r>
        <w:t xml:space="preserve"> </w:t>
      </w:r>
      <w:r>
        <w:t xml:space="preserve">Faucette, S. R., Wang, H., Hamilton, G. A., Jolley, S. L., Gilbert, D., Lindley, C., … &amp; LeCluyse, E. L. (2004). Regulation of CYP2B6 in primary human hepatocytes by prototypical inducers.</w:t>
      </w:r>
      <w:r>
        <w:t xml:space="preserve"> </w:t>
      </w:r>
      <w:r>
        <w:rPr>
          <w:iCs/>
          <w:i/>
        </w:rPr>
        <w:t xml:space="preserve">Drug Metabolism and Disposition</w:t>
      </w:r>
      <w:r>
        <w:t xml:space="preserve">,</w:t>
      </w:r>
      <w:r>
        <w:t xml:space="preserve"> </w:t>
      </w:r>
      <w:r>
        <w:rPr>
          <w:iCs/>
          <w:i/>
        </w:rPr>
        <w:t xml:space="preserve">32</w:t>
      </w:r>
      <w:r>
        <w:t xml:space="preserve">(3), 348-358.</w:t>
      </w:r>
    </w:p>
    <w:p>
      <w:pPr>
        <w:pStyle w:val="BodyText"/>
      </w:pPr>
      <w:r>
        <w:rPr>
          <w:bCs/>
          <w:b/>
        </w:rPr>
        <w:t xml:space="preserve">Faucette 2007</w:t>
      </w:r>
      <w:r>
        <w:t xml:space="preserve"> </w:t>
      </w:r>
      <w:r>
        <w:t xml:space="preserve">Faucette, S. R., Zhang, T. C., Moore, R., Sueyoshi, T., Omiecinski, C. J., LeCluyse, E. L., … &amp; Wang, H. (2007). Relative activation of human pregnane X receptor versus constitutive androstane receptor defines distinct classes of CYP2B6 and CYP3A4 inducers.</w:t>
      </w:r>
      <w:r>
        <w:t xml:space="preserve"> </w:t>
      </w:r>
      <w:r>
        <w:rPr>
          <w:iCs/>
          <w:i/>
        </w:rPr>
        <w:t xml:space="preserve">Journal of Pharmacology and Experimental Therapeutics</w:t>
      </w:r>
      <w:r>
        <w:t xml:space="preserve">,</w:t>
      </w:r>
      <w:r>
        <w:t xml:space="preserve"> </w:t>
      </w:r>
      <w:r>
        <w:rPr>
          <w:iCs/>
          <w:i/>
        </w:rPr>
        <w:t xml:space="preserve">320</w:t>
      </w:r>
      <w:r>
        <w:t xml:space="preserve">(1), 72-80.</w:t>
      </w:r>
    </w:p>
    <w:p>
      <w:pPr>
        <w:pStyle w:val="BodyText"/>
      </w:pPr>
      <w:r>
        <w:rPr>
          <w:bCs/>
          <w:b/>
        </w:rPr>
        <w:t xml:space="preserve">Fenet 2012</w:t>
      </w:r>
      <w:r>
        <w:t xml:space="preserve"> </w:t>
      </w:r>
      <w:r>
        <w:t xml:space="preserve">Fenet, H., Mathieu, O., Mahjoub, O., Li, Z., Hillaire-Buys, D., Casellas, C., &amp; Gomez, E. (2012). Carbamazepine, carbamazepine epoxide and dihydroxycarbamazepine sorption to soil and occurrence in a wastewater reuse site in Tunisia.</w:t>
      </w:r>
      <w:r>
        <w:t xml:space="preserve"> </w:t>
      </w:r>
      <w:r>
        <w:rPr>
          <w:iCs/>
          <w:i/>
        </w:rPr>
        <w:t xml:space="preserve">Chemosphere</w:t>
      </w:r>
      <w:r>
        <w:t xml:space="preserve">,</w:t>
      </w:r>
      <w:r>
        <w:t xml:space="preserve"> </w:t>
      </w:r>
      <w:r>
        <w:rPr>
          <w:iCs/>
          <w:i/>
        </w:rPr>
        <w:t xml:space="preserve">88</w:t>
      </w:r>
      <w:r>
        <w:t xml:space="preserve">(1), 49-54.</w:t>
      </w:r>
    </w:p>
    <w:p>
      <w:pPr>
        <w:pStyle w:val="BodyText"/>
      </w:pPr>
      <w:r>
        <w:rPr>
          <w:bCs/>
          <w:b/>
        </w:rPr>
        <w:t xml:space="preserve">Fuhr 2021</w:t>
      </w:r>
      <w:r>
        <w:t xml:space="preserve"> </w:t>
      </w:r>
      <w:r>
        <w:t xml:space="preserve">Fuhr, L. M., Marok, F. Z., Hanke, N., Selzer, D., &amp; Lehr, T. (2021). Pharmacokinetics of the CYP3A4 and CYP2B6 Inducer Carbamazepine and Its Drug–Drug Interaction Potential: A Physiologically Based Pharmacokinetic Modeling Approach.</w:t>
      </w:r>
      <w:r>
        <w:t xml:space="preserve"> </w:t>
      </w:r>
      <w:r>
        <w:rPr>
          <w:iCs/>
          <w:i/>
        </w:rPr>
        <w:t xml:space="preserve">Pharmaceutics</w:t>
      </w:r>
      <w:r>
        <w:t xml:space="preserve">,</w:t>
      </w:r>
      <w:r>
        <w:t xml:space="preserve"> </w:t>
      </w:r>
      <w:r>
        <w:rPr>
          <w:iCs/>
          <w:i/>
        </w:rPr>
        <w:t xml:space="preserve">13</w:t>
      </w:r>
      <w:r>
        <w:t xml:space="preserve">(2), 270.</w:t>
      </w:r>
    </w:p>
    <w:p>
      <w:pPr>
        <w:pStyle w:val="BodyText"/>
      </w:pPr>
      <w:r>
        <w:rPr>
          <w:bCs/>
          <w:b/>
        </w:rPr>
        <w:t xml:space="preserve">Gérardin 1976</w:t>
      </w:r>
      <w:r>
        <w:t xml:space="preserve"> </w:t>
      </w:r>
      <w:r>
        <w:t xml:space="preserve">Gérardin, A. P., Abadie, F. V., Campestrini, J. A., &amp; Theobald, W. (1976). Pharmacokinetics of carbamazepine in normal humans after single and repeated oral doses.</w:t>
      </w:r>
      <w:r>
        <w:t xml:space="preserve"> </w:t>
      </w:r>
      <w:r>
        <w:rPr>
          <w:iCs/>
          <w:i/>
        </w:rPr>
        <w:t xml:space="preserve">Journal of pharmacokinetics and biopharmaceutics</w:t>
      </w:r>
      <w:r>
        <w:t xml:space="preserve">,</w:t>
      </w:r>
      <w:r>
        <w:t xml:space="preserve"> </w:t>
      </w:r>
      <w:r>
        <w:rPr>
          <w:iCs/>
          <w:i/>
        </w:rPr>
        <w:t xml:space="preserve">4</w:t>
      </w:r>
      <w:r>
        <w:t xml:space="preserve">(6), 521-535.</w:t>
      </w:r>
    </w:p>
    <w:p>
      <w:pPr>
        <w:pStyle w:val="BodyText"/>
      </w:pPr>
      <w:r>
        <w:rPr>
          <w:bCs/>
          <w:b/>
        </w:rPr>
        <w:t xml:space="preserve">Gérardin 1990</w:t>
      </w:r>
      <w:r>
        <w:t xml:space="preserve"> </w:t>
      </w:r>
      <w:r>
        <w:t xml:space="preserve">Gérardin, A., Dubois, J. P., Moppert, J., &amp; Geller, L. (1990). Absolute bioavailability of carbamazepine after oral administration of a 2% syrup.</w:t>
      </w:r>
      <w:r>
        <w:t xml:space="preserve"> </w:t>
      </w:r>
      <w:r>
        <w:rPr>
          <w:iCs/>
          <w:i/>
        </w:rPr>
        <w:t xml:space="preserve">Epilepsia</w:t>
      </w:r>
      <w:r>
        <w:t xml:space="preserve">,</w:t>
      </w:r>
      <w:r>
        <w:t xml:space="preserve"> </w:t>
      </w:r>
      <w:r>
        <w:rPr>
          <w:iCs/>
          <w:i/>
        </w:rPr>
        <w:t xml:space="preserve">31</w:t>
      </w:r>
      <w:r>
        <w:t xml:space="preserve">(3), 334-338.</w:t>
      </w:r>
    </w:p>
    <w:p>
      <w:pPr>
        <w:pStyle w:val="BodyText"/>
      </w:pPr>
      <w:r>
        <w:rPr>
          <w:bCs/>
          <w:b/>
        </w:rPr>
        <w:t xml:space="preserve">Hooper 1975</w:t>
      </w:r>
      <w:r>
        <w:t xml:space="preserve"> </w:t>
      </w:r>
      <w:r>
        <w:t xml:space="preserve">Hooper, W. D., Dubetz, D. K., Bochner, F., Cotter, L. M., Smith, G. A., Eadie, M. J., &amp; Tyrer, J. H. (1975). Plasma protein binding of carbamazepine.</w:t>
      </w:r>
      <w:r>
        <w:t xml:space="preserve"> </w:t>
      </w:r>
      <w:r>
        <w:rPr>
          <w:iCs/>
          <w:i/>
        </w:rPr>
        <w:t xml:space="preserve">Clinical Pharmacology &amp; Therapeutics</w:t>
      </w:r>
      <w:r>
        <w:t xml:space="preserve">,</w:t>
      </w:r>
      <w:r>
        <w:t xml:space="preserve"> </w:t>
      </w:r>
      <w:r>
        <w:rPr>
          <w:iCs/>
          <w:i/>
        </w:rPr>
        <w:t xml:space="preserve">17</w:t>
      </w:r>
      <w:r>
        <w:t xml:space="preserve">(4), 433-440.</w:t>
      </w:r>
    </w:p>
    <w:p>
      <w:pPr>
        <w:pStyle w:val="BodyText"/>
      </w:pPr>
      <w:r>
        <w:rPr>
          <w:bCs/>
          <w:b/>
        </w:rPr>
        <w:t xml:space="preserve">Huang 2004</w:t>
      </w:r>
      <w:r>
        <w:t xml:space="preserve"> </w:t>
      </w:r>
      <w:r>
        <w:t xml:space="preserve">Huang, W., Lin, Y. S., McConn, D. J., Calamia, J. C., Totah, R. A., Isoherranen, N., … &amp; Thummel, K. E. (2004). Evidence of significant contribution from CYP3A5 to hepatic drug metabolism.</w:t>
      </w:r>
      <w:r>
        <w:t xml:space="preserve"> </w:t>
      </w:r>
      <w:r>
        <w:rPr>
          <w:iCs/>
          <w:i/>
        </w:rPr>
        <w:t xml:space="preserve">Drug metabolism and disposition</w:t>
      </w:r>
      <w:r>
        <w:t xml:space="preserve">,</w:t>
      </w:r>
      <w:r>
        <w:t xml:space="preserve"> </w:t>
      </w:r>
      <w:r>
        <w:rPr>
          <w:iCs/>
          <w:i/>
        </w:rPr>
        <w:t xml:space="preserve">32</w:t>
      </w:r>
      <w:r>
        <w:t xml:space="preserve">(12), 1434-1445.</w:t>
      </w:r>
    </w:p>
    <w:p>
      <w:pPr>
        <w:pStyle w:val="BodyText"/>
      </w:pPr>
      <w:r>
        <w:rPr>
          <w:bCs/>
          <w:b/>
        </w:rPr>
        <w:t xml:space="preserve">Ji 2008</w:t>
      </w:r>
      <w:r>
        <w:t xml:space="preserve"> </w:t>
      </w:r>
      <w:r>
        <w:t xml:space="preserve">Ji, P., Damle, B., Xie, J., Unger, S. E., Grasela, D. M., &amp; Kaul, S. (2008). Pharmacokinetic interaction between efavirenz and carbamazepine after multiple‐dose administration in healthy subjects.</w:t>
      </w:r>
      <w:r>
        <w:t xml:space="preserve"> </w:t>
      </w:r>
      <w:r>
        <w:rPr>
          <w:iCs/>
          <w:i/>
        </w:rPr>
        <w:t xml:space="preserve">The Journal of Clinical Pharmacology</w:t>
      </w:r>
      <w:r>
        <w:t xml:space="preserve">,</w:t>
      </w:r>
      <w:r>
        <w:t xml:space="preserve"> </w:t>
      </w:r>
      <w:r>
        <w:rPr>
          <w:iCs/>
          <w:i/>
        </w:rPr>
        <w:t xml:space="preserve">48</w:t>
      </w:r>
      <w:r>
        <w:t xml:space="preserve">(8), 948-956.</w:t>
      </w:r>
    </w:p>
    <w:p>
      <w:pPr>
        <w:pStyle w:val="BodyText"/>
      </w:pPr>
      <w:r>
        <w:rPr>
          <w:bCs/>
          <w:b/>
        </w:rPr>
        <w:t xml:space="preserve">Kayali 1994</w:t>
      </w:r>
      <w:r>
        <w:t xml:space="preserve"> </w:t>
      </w:r>
      <w:r>
        <w:t xml:space="preserve">Kayali, A., Tuglular, I., &amp; Ertas, M. (1994). Pharmacokinetics of carbamazepine Part I: a new bioequivalency parameter based on a relative bioavailability trial.</w:t>
      </w:r>
      <w:r>
        <w:t xml:space="preserve"> </w:t>
      </w:r>
      <w:r>
        <w:rPr>
          <w:iCs/>
          <w:i/>
        </w:rPr>
        <w:t xml:space="preserve">European journal of drug metabolism and pharmacokinetics</w:t>
      </w:r>
      <w:r>
        <w:t xml:space="preserve">,</w:t>
      </w:r>
      <w:r>
        <w:t xml:space="preserve"> </w:t>
      </w:r>
      <w:r>
        <w:rPr>
          <w:iCs/>
          <w:i/>
        </w:rPr>
        <w:t xml:space="preserve">19</w:t>
      </w:r>
      <w:r>
        <w:t xml:space="preserve">(4), 319-325.</w:t>
      </w:r>
    </w:p>
    <w:p>
      <w:pPr>
        <w:pStyle w:val="BodyText"/>
      </w:pPr>
      <w:r>
        <w:rPr>
          <w:bCs/>
          <w:b/>
        </w:rPr>
        <w:t xml:space="preserve">Kerr 1994</w:t>
      </w:r>
      <w:r>
        <w:t xml:space="preserve"> </w:t>
      </w:r>
      <w:r>
        <w:t xml:space="preserve">Kerr, B. M., Thummel, K. E., Wurden, C. J., Klein, S. M., Kroetz, D. L., Gonzalez, F. J., &amp; Levy, R. (1994). Human liver carbamazepine metabolism: role of CYP3A4 and CYP2C8 in 10, 11-epoxide formation.</w:t>
      </w:r>
      <w:r>
        <w:t xml:space="preserve"> </w:t>
      </w:r>
      <w:r>
        <w:rPr>
          <w:iCs/>
          <w:i/>
        </w:rPr>
        <w:t xml:space="preserve">Biochemical pharmacology</w:t>
      </w:r>
      <w:r>
        <w:t xml:space="preserve">,</w:t>
      </w:r>
      <w:r>
        <w:t xml:space="preserve"> </w:t>
      </w:r>
      <w:r>
        <w:rPr>
          <w:iCs/>
          <w:i/>
        </w:rPr>
        <w:t xml:space="preserve">47</w:t>
      </w:r>
      <w:r>
        <w:t xml:space="preserve">(11), 1969-1979.</w:t>
      </w:r>
    </w:p>
    <w:p>
      <w:pPr>
        <w:pStyle w:val="BodyText"/>
      </w:pPr>
      <w:r>
        <w:rPr>
          <w:bCs/>
          <w:b/>
        </w:rPr>
        <w:t xml:space="preserve">Kim 2005</w:t>
      </w:r>
      <w:r>
        <w:t xml:space="preserve"> </w:t>
      </w:r>
      <w:r>
        <w:t xml:space="preserve">Kim, K. A., Oh, S. O., Park, P. W., &amp; Park, J. Y. (2005). Effect of probenecid on the pharmacokinetics of carbamazepine in healthy subjects.</w:t>
      </w:r>
      <w:r>
        <w:t xml:space="preserve"> </w:t>
      </w:r>
      <w:r>
        <w:rPr>
          <w:iCs/>
          <w:i/>
        </w:rPr>
        <w:t xml:space="preserve">European journal of clinical pharmacology</w:t>
      </w:r>
      <w:r>
        <w:t xml:space="preserve">,</w:t>
      </w:r>
      <w:r>
        <w:t xml:space="preserve"> </w:t>
      </w:r>
      <w:r>
        <w:rPr>
          <w:iCs/>
          <w:i/>
        </w:rPr>
        <w:t xml:space="preserve">61</w:t>
      </w:r>
      <w:r>
        <w:t xml:space="preserve">(4), 275-280.</w:t>
      </w:r>
    </w:p>
    <w:p>
      <w:pPr>
        <w:pStyle w:val="BodyText"/>
      </w:pPr>
      <w:r>
        <w:rPr>
          <w:bCs/>
          <w:b/>
        </w:rPr>
        <w:t xml:space="preserve">Kovacević 2009</w:t>
      </w:r>
      <w:r>
        <w:t xml:space="preserve"> </w:t>
      </w:r>
      <w:r>
        <w:t xml:space="preserve">Kovacević, I., Parojcic, J., Homsek, I., Tubic-Grozdanis, M., &amp; Langguth, P. (2009). Justification of biowaiver for carbamazepine, a low soluble high permeable compound, in solid dosage forms based on IVIVC and gastrointestinal simulation.</w:t>
      </w:r>
      <w:r>
        <w:t xml:space="preserve"> </w:t>
      </w:r>
      <w:r>
        <w:rPr>
          <w:iCs/>
          <w:i/>
        </w:rPr>
        <w:t xml:space="preserve">Molecular pharmaceutics</w:t>
      </w:r>
      <w:r>
        <w:t xml:space="preserve">,</w:t>
      </w:r>
      <w:r>
        <w:t xml:space="preserve"> </w:t>
      </w:r>
      <w:r>
        <w:rPr>
          <w:iCs/>
          <w:i/>
        </w:rPr>
        <w:t xml:space="preserve">6</w:t>
      </w:r>
      <w:r>
        <w:t xml:space="preserve">(1), 40-47.</w:t>
      </w:r>
    </w:p>
    <w:p>
      <w:pPr>
        <w:pStyle w:val="BodyText"/>
      </w:pPr>
      <w:r>
        <w:rPr>
          <w:bCs/>
          <w:b/>
        </w:rPr>
        <w:t xml:space="preserve">Kuepfer 2016</w:t>
      </w:r>
      <w:r>
        <w:t xml:space="preserve"> </w:t>
      </w:r>
      <w:r>
        <w:t xml:space="preserve">Kuepfer, L., Niederalt, C., Wendl, T., Schlender, J. F., Willmann, S., Lippert, J., … &amp; Teutonico, D. (2016). Applied concepts in PBPK modeling: how to build a PBPK/PD model.</w:t>
      </w:r>
      <w:r>
        <w:t xml:space="preserve"> </w:t>
      </w:r>
      <w:r>
        <w:rPr>
          <w:iCs/>
          <w:i/>
        </w:rPr>
        <w:t xml:space="preserve">CPT: pharmacometrics &amp; systems pharmacology</w:t>
      </w:r>
      <w:r>
        <w:t xml:space="preserve">,</w:t>
      </w:r>
      <w:r>
        <w:t xml:space="preserve"> </w:t>
      </w:r>
      <w:r>
        <w:rPr>
          <w:iCs/>
          <w:i/>
        </w:rPr>
        <w:t xml:space="preserve">5</w:t>
      </w:r>
      <w:r>
        <w:t xml:space="preserve">(10), 516-531.</w:t>
      </w:r>
    </w:p>
    <w:p>
      <w:pPr>
        <w:pStyle w:val="BodyText"/>
      </w:pPr>
      <w:r>
        <w:rPr>
          <w:bCs/>
          <w:b/>
        </w:rPr>
        <w:t xml:space="preserve">Lertratanangkoon 1982</w:t>
      </w:r>
      <w:r>
        <w:t xml:space="preserve"> </w:t>
      </w:r>
      <w:r>
        <w:t xml:space="preserve">Lertratanangkoon, K., &amp; Horning, M. G. (1982). Metabolism of carbamazepine.</w:t>
      </w:r>
      <w:r>
        <w:t xml:space="preserve"> </w:t>
      </w:r>
      <w:r>
        <w:rPr>
          <w:iCs/>
          <w:i/>
        </w:rPr>
        <w:t xml:space="preserve">Drug Metabolism and Disposition</w:t>
      </w:r>
      <w:r>
        <w:t xml:space="preserve">,</w:t>
      </w:r>
      <w:r>
        <w:t xml:space="preserve"> </w:t>
      </w:r>
      <w:r>
        <w:rPr>
          <w:iCs/>
          <w:i/>
        </w:rPr>
        <w:t xml:space="preserve">10</w:t>
      </w:r>
      <w:r>
        <w:t xml:space="preserve">(1), 1-10.</w:t>
      </w:r>
    </w:p>
    <w:p>
      <w:pPr>
        <w:pStyle w:val="BodyText"/>
      </w:pPr>
      <w:r>
        <w:rPr>
          <w:bCs/>
          <w:b/>
        </w:rPr>
        <w:t xml:space="preserve">Lennernäs 2007</w:t>
      </w:r>
      <w:r>
        <w:t xml:space="preserve"> </w:t>
      </w:r>
      <w:r>
        <w:t xml:space="preserve">Lennernäs, H. (2007). Intestinal permeability and its relevance for absorption and elimination.</w:t>
      </w:r>
      <w:r>
        <w:t xml:space="preserve"> </w:t>
      </w:r>
      <w:r>
        <w:rPr>
          <w:iCs/>
          <w:i/>
        </w:rPr>
        <w:t xml:space="preserve">Xenobiotica</w:t>
      </w:r>
      <w:r>
        <w:t xml:space="preserve">,</w:t>
      </w:r>
      <w:r>
        <w:t xml:space="preserve"> </w:t>
      </w:r>
      <w:r>
        <w:rPr>
          <w:iCs/>
          <w:i/>
        </w:rPr>
        <w:t xml:space="preserve">37</w:t>
      </w:r>
      <w:r>
        <w:t xml:space="preserve">(10-11), 1015-1051.</w:t>
      </w:r>
    </w:p>
    <w:p>
      <w:pPr>
        <w:pStyle w:val="BodyText"/>
      </w:pPr>
      <w:r>
        <w:rPr>
          <w:bCs/>
          <w:b/>
        </w:rPr>
        <w:t xml:space="preserve">Levy 1975</w:t>
      </w:r>
      <w:r>
        <w:t xml:space="preserve"> </w:t>
      </w:r>
      <w:r>
        <w:t xml:space="preserve">Levy, R. H., Pitlick, W. H., Troupin, A. S., Green, J. R., &amp; Neal, J. M. (1975). Pharmacokinetics of carbamazepine in normal man.</w:t>
      </w:r>
      <w:r>
        <w:t xml:space="preserve"> </w:t>
      </w:r>
      <w:r>
        <w:rPr>
          <w:iCs/>
          <w:i/>
        </w:rPr>
        <w:t xml:space="preserve">Clinical Pharmacology &amp; Therapeutics</w:t>
      </w:r>
      <w:r>
        <w:t xml:space="preserve">,</w:t>
      </w:r>
      <w:r>
        <w:t xml:space="preserve"> </w:t>
      </w:r>
      <w:r>
        <w:rPr>
          <w:iCs/>
          <w:i/>
        </w:rPr>
        <w:t xml:space="preserve">17</w:t>
      </w:r>
      <w:r>
        <w:t xml:space="preserve">(6), 657-668.</w:t>
      </w:r>
    </w:p>
    <w:p>
      <w:pPr>
        <w:pStyle w:val="BodyText"/>
      </w:pPr>
      <w:r>
        <w:rPr>
          <w:bCs/>
          <w:b/>
        </w:rPr>
        <w:t xml:space="preserve">McLean 2001</w:t>
      </w:r>
      <w:r>
        <w:t xml:space="preserve"> </w:t>
      </w:r>
      <w:r>
        <w:t xml:space="preserve">McLean, A., Browne, S., Zhang, Y., Slaughter, E., Halstenson, C., &amp; Couch, R. (2001). The influence of food on the bioavailability of a twice‐daily controlled release carbamazepine formulation.</w:t>
      </w:r>
      <w:r>
        <w:t xml:space="preserve"> </w:t>
      </w:r>
      <w:r>
        <w:rPr>
          <w:iCs/>
          <w:i/>
        </w:rPr>
        <w:t xml:space="preserve">The Journal of Clinical Pharmacology</w:t>
      </w:r>
      <w:r>
        <w:t xml:space="preserve">,</w:t>
      </w:r>
      <w:r>
        <w:t xml:space="preserve"> </w:t>
      </w:r>
      <w:r>
        <w:rPr>
          <w:iCs/>
          <w:i/>
        </w:rPr>
        <w:t xml:space="preserve">41</w:t>
      </w:r>
      <w:r>
        <w:t xml:space="preserve">(2), 183-186.</w:t>
      </w:r>
    </w:p>
    <w:p>
      <w:pPr>
        <w:pStyle w:val="BodyText"/>
      </w:pPr>
      <w:r>
        <w:rPr>
          <w:bCs/>
          <w:b/>
        </w:rPr>
        <w:t xml:space="preserve">Meyer 1992</w:t>
      </w:r>
      <w:r>
        <w:t xml:space="preserve"> </w:t>
      </w:r>
      <w:r>
        <w:t xml:space="preserve">Meyer, M. C., Straughn, A. B., Jarvi, E. J., Wood, G. C., Pelsor, F. R., &amp; Shah, V. P. (1992). The bioinequivalence of carbamazepine tablets with a history of clinical failures.</w:t>
      </w:r>
      <w:r>
        <w:t xml:space="preserve"> </w:t>
      </w:r>
      <w:r>
        <w:rPr>
          <w:iCs/>
          <w:i/>
        </w:rPr>
        <w:t xml:space="preserve">Pharmaceutical Research</w:t>
      </w:r>
      <w:r>
        <w:t xml:space="preserve">,</w:t>
      </w:r>
      <w:r>
        <w:t xml:space="preserve"> </w:t>
      </w:r>
      <w:r>
        <w:rPr>
          <w:iCs/>
          <w:i/>
        </w:rPr>
        <w:t xml:space="preserve">9</w:t>
      </w:r>
      <w:r>
        <w:t xml:space="preserve">(12), 1612-1616.</w:t>
      </w:r>
    </w:p>
    <w:p>
      <w:pPr>
        <w:pStyle w:val="BodyText"/>
      </w:pPr>
      <w:r>
        <w:rPr>
          <w:bCs/>
          <w:b/>
        </w:rPr>
        <w:t xml:space="preserve">Meyer 1998</w:t>
      </w:r>
      <w:r>
        <w:t xml:space="preserve"> </w:t>
      </w:r>
      <w:r>
        <w:t xml:space="preserve">Meyer, M. C., Straughn, A. B., Mhatre, R. M., Shah, V. P., Williams, R. L., &amp; Lesko, L. J. (1998). The relative bioavailability and in vivo-in vitro correlations for four marketed carbamazepine tablets.</w:t>
      </w:r>
      <w:r>
        <w:t xml:space="preserve"> </w:t>
      </w:r>
      <w:r>
        <w:rPr>
          <w:iCs/>
          <w:i/>
        </w:rPr>
        <w:t xml:space="preserve">Pharmaceutical research</w:t>
      </w:r>
      <w:r>
        <w:t xml:space="preserve">,</w:t>
      </w:r>
      <w:r>
        <w:t xml:space="preserve"> </w:t>
      </w:r>
      <w:r>
        <w:rPr>
          <w:iCs/>
          <w:i/>
        </w:rPr>
        <w:t xml:space="preserve">15</w:t>
      </w:r>
      <w:r>
        <w:t xml:space="preserve">(11), 1787-1791.</w:t>
      </w:r>
    </w:p>
    <w:p>
      <w:pPr>
        <w:pStyle w:val="BodyText"/>
      </w:pPr>
      <w:r>
        <w:rPr>
          <w:bCs/>
          <w:b/>
        </w:rPr>
        <w:t xml:space="preserve">Meyer 2012</w:t>
      </w:r>
      <w:r>
        <w:t xml:space="preserve"> </w:t>
      </w:r>
      <w:r>
        <w:t xml:space="preserve">Meyer, M., Schneckener, S., Ludewig, B., Kuepfer, L., &amp; Lippert, J. (2012). Using expression data for quantification of active processes in physiologically based pharmacokinetic modeling.</w:t>
      </w:r>
      <w:r>
        <w:t xml:space="preserve"> </w:t>
      </w:r>
      <w:r>
        <w:rPr>
          <w:iCs/>
          <w:i/>
        </w:rPr>
        <w:t xml:space="preserve">Drug Metabolism and Disposition</w:t>
      </w:r>
      <w:r>
        <w:t xml:space="preserve">,</w:t>
      </w:r>
      <w:r>
        <w:t xml:space="preserve"> </w:t>
      </w:r>
      <w:r>
        <w:rPr>
          <w:iCs/>
          <w:i/>
        </w:rPr>
        <w:t xml:space="preserve">40</w:t>
      </w:r>
      <w:r>
        <w:t xml:space="preserve">(5), 892-901.</w:t>
      </w:r>
    </w:p>
    <w:p>
      <w:pPr>
        <w:pStyle w:val="BodyText"/>
      </w:pPr>
      <w:r>
        <w:rPr>
          <w:bCs/>
          <w:b/>
        </w:rPr>
        <w:t xml:space="preserve">Miles 1989</w:t>
      </w:r>
      <w:r>
        <w:t xml:space="preserve"> </w:t>
      </w:r>
      <w:r>
        <w:t xml:space="preserve">Miles, M. V., &amp; Tennison, M. B. (1989). Erythromycin effects on multiple-dose carbamazepine kinetics.</w:t>
      </w:r>
      <w:r>
        <w:t xml:space="preserve"> </w:t>
      </w:r>
      <w:r>
        <w:rPr>
          <w:iCs/>
          <w:i/>
        </w:rPr>
        <w:t xml:space="preserve">Therapeutic drug monitoring</w:t>
      </w:r>
      <w:r>
        <w:t xml:space="preserve">,</w:t>
      </w:r>
      <w:r>
        <w:t xml:space="preserve"> </w:t>
      </w:r>
      <w:r>
        <w:rPr>
          <w:iCs/>
          <w:i/>
        </w:rPr>
        <w:t xml:space="preserve">11</w:t>
      </w:r>
      <w:r>
        <w:t xml:space="preserve">(1), 47-52.</w:t>
      </w:r>
    </w:p>
    <w:p>
      <w:pPr>
        <w:pStyle w:val="BodyText"/>
      </w:pPr>
      <w:r>
        <w:rPr>
          <w:bCs/>
          <w:b/>
        </w:rPr>
        <w:t xml:space="preserve">Møller 2001</w:t>
      </w:r>
      <w:r>
        <w:t xml:space="preserve"> </w:t>
      </w:r>
      <w:r>
        <w:t xml:space="preserve">Møller, S. E., Larsen, F., Khan, A. Z., &amp; Rolan, P. E. (2001). Lack of effect of citalopram on the steady-state pharmacokinetics of carbamazepine in healthy male subjects.</w:t>
      </w:r>
      <w:r>
        <w:t xml:space="preserve"> </w:t>
      </w:r>
      <w:r>
        <w:rPr>
          <w:iCs/>
          <w:i/>
        </w:rPr>
        <w:t xml:space="preserve">Journal of clinical psychopharmacology</w:t>
      </w:r>
      <w:r>
        <w:t xml:space="preserve">,</w:t>
      </w:r>
      <w:r>
        <w:t xml:space="preserve"> </w:t>
      </w:r>
      <w:r>
        <w:rPr>
          <w:iCs/>
          <w:i/>
        </w:rPr>
        <w:t xml:space="preserve">21</w:t>
      </w:r>
      <w:r>
        <w:t xml:space="preserve">(5), 493-499.</w:t>
      </w:r>
    </w:p>
    <w:p>
      <w:pPr>
        <w:pStyle w:val="BodyText"/>
      </w:pPr>
      <w:r>
        <w:rPr>
          <w:bCs/>
          <w:b/>
        </w:rPr>
        <w:t xml:space="preserve">Morselli 1975</w:t>
      </w:r>
      <w:r>
        <w:t xml:space="preserve"> </w:t>
      </w:r>
      <w:r>
        <w:t xml:space="preserve">Morselli, P. L., Gerna, M., De Maio, D., Zanda, G., Viani, F., &amp; Garattini, S. (1975). Pharmacokinetic studies on carbamazepine in volunteers and in epileptic patients. In:</w:t>
      </w:r>
      <w:r>
        <w:t xml:space="preserve"> </w:t>
      </w:r>
      <w:r>
        <w:rPr>
          <w:iCs/>
          <w:i/>
        </w:rPr>
        <w:t xml:space="preserve">Clinical pharmacology of anti-epileptic drugs</w:t>
      </w:r>
      <w:r>
        <w:t xml:space="preserve"> </w:t>
      </w:r>
      <w:r>
        <w:t xml:space="preserve">(pp. 166-180). Springer, Berlin, Heidelberg.</w:t>
      </w:r>
    </w:p>
    <w:p>
      <w:pPr>
        <w:pStyle w:val="BodyText"/>
      </w:pPr>
      <w:r>
        <w:rPr>
          <w:bCs/>
          <w:b/>
        </w:rPr>
        <w:t xml:space="preserve">Nishimura 2003</w:t>
      </w:r>
      <w:r>
        <w:t xml:space="preserve"> </w:t>
      </w:r>
      <w:r>
        <w:t xml:space="preserve">Nishimura, M., Yaguti, H., Yoshitsugu, H., Naito, S., &amp; Satoh, T. (2003). Tissue Distribution of mRNA Expression of Human Cytochrome P450 Isoforms Assessed by High-Sensitivity Real-Time Reverse Transcription PCR.</w:t>
      </w:r>
      <w:r>
        <w:t xml:space="preserve"> </w:t>
      </w:r>
      <w:r>
        <w:rPr>
          <w:iCs/>
          <w:i/>
        </w:rPr>
        <w:t xml:space="preserve">Yakugaku zasshi</w:t>
      </w:r>
      <w:r>
        <w:t xml:space="preserve">,</w:t>
      </w:r>
      <w:r>
        <w:t xml:space="preserve"> </w:t>
      </w:r>
      <w:r>
        <w:rPr>
          <w:iCs/>
          <w:i/>
        </w:rPr>
        <w:t xml:space="preserve">123</w:t>
      </w:r>
      <w:r>
        <w:t xml:space="preserve">(5), 369-375.</w:t>
      </w:r>
    </w:p>
    <w:p>
      <w:pPr>
        <w:pStyle w:val="BodyText"/>
      </w:pPr>
      <w:r>
        <w:rPr>
          <w:bCs/>
          <w:b/>
        </w:rPr>
        <w:t xml:space="preserve">Pearce 2002</w:t>
      </w:r>
      <w:r>
        <w:t xml:space="preserve"> </w:t>
      </w:r>
      <w:r>
        <w:t xml:space="preserve">Pearce, R. E., Vakkalagadda, G. R., &amp; Leeder, J. S. (2002). Pathways of carbamazepine bioactivation in vitro I. Characterization of human cytochromes P450 responsible for the formation of 2- and 3-hydroxylated metabolites.</w:t>
      </w:r>
      <w:r>
        <w:t xml:space="preserve"> </w:t>
      </w:r>
      <w:r>
        <w:rPr>
          <w:iCs/>
          <w:i/>
        </w:rPr>
        <w:t xml:space="preserve">Drug metabolism and disposition</w:t>
      </w:r>
      <w:r>
        <w:t xml:space="preserve">,</w:t>
      </w:r>
      <w:r>
        <w:t xml:space="preserve"> </w:t>
      </w:r>
      <w:r>
        <w:rPr>
          <w:iCs/>
          <w:i/>
        </w:rPr>
        <w:t xml:space="preserve">30</w:t>
      </w:r>
      <w:r>
        <w:t xml:space="preserve">(11), 1170-1179.</w:t>
      </w:r>
    </w:p>
    <w:p>
      <w:pPr>
        <w:pStyle w:val="BodyText"/>
      </w:pPr>
      <w:r>
        <w:rPr>
          <w:bCs/>
          <w:b/>
        </w:rPr>
        <w:t xml:space="preserve">Pelkonen 2001</w:t>
      </w:r>
      <w:r>
        <w:t xml:space="preserve"> </w:t>
      </w:r>
      <w:r>
        <w:t xml:space="preserve">Pelkonen, O., Myllynen, P., Taavitsainen, P., Boobis, A. R., Watts, P., Lake, B. G., … &amp; Lewis, D. F. V. (2001). Carbamazepine: a</w:t>
      </w:r>
      <w:r>
        <w:t xml:space="preserve"> </w:t>
      </w:r>
      <w:r>
        <w:t xml:space="preserve">‘</w:t>
      </w:r>
      <w:r>
        <w:t xml:space="preserve">blind</w:t>
      </w:r>
      <w:r>
        <w:t xml:space="preserve">’</w:t>
      </w:r>
      <w:r>
        <w:t xml:space="preserve"> </w:t>
      </w:r>
      <w:r>
        <w:t xml:space="preserve">assessment of CYP-associated metabolism and interactions in human liver-derived in vitro systems.</w:t>
      </w:r>
      <w:r>
        <w:t xml:space="preserve"> </w:t>
      </w:r>
      <w:r>
        <w:rPr>
          <w:iCs/>
          <w:i/>
        </w:rPr>
        <w:t xml:space="preserve">Xenobiotica</w:t>
      </w:r>
      <w:r>
        <w:t xml:space="preserve">,</w:t>
      </w:r>
      <w:r>
        <w:t xml:space="preserve"> </w:t>
      </w:r>
      <w:r>
        <w:rPr>
          <w:iCs/>
          <w:i/>
        </w:rPr>
        <w:t xml:space="preserve">31</w:t>
      </w:r>
      <w:r>
        <w:t xml:space="preserve">(6), 321-343.</w:t>
      </w:r>
    </w:p>
    <w:p>
      <w:pPr>
        <w:pStyle w:val="BodyText"/>
      </w:pPr>
      <w:r>
        <w:rPr>
          <w:bCs/>
          <w:b/>
        </w:rPr>
        <w:t xml:space="preserve">PK-Sim Ontogeny Database Version 7.3</w:t>
      </w:r>
      <w:r>
        <w:t xml:space="preserve"> </w:t>
      </w:r>
      <w:r>
        <w:t xml:space="preserve">URL: https://github.com/Open-Systems-Pharmacology/OSPSuite.Documentation/blob/38cf71b384cfc25cfa0ce4d2f3addfd32757e13b/PK-Sim%20Ontogeny%20Database%20Version%207.3.pdf, accessed on 12-01-2022.</w:t>
      </w:r>
    </w:p>
    <w:p>
      <w:pPr>
        <w:pStyle w:val="BodyText"/>
      </w:pPr>
      <w:r>
        <w:rPr>
          <w:bCs/>
          <w:b/>
        </w:rPr>
        <w:t xml:space="preserve">Pynnönen 1977</w:t>
      </w:r>
      <w:r>
        <w:t xml:space="preserve"> </w:t>
      </w:r>
      <w:r>
        <w:t xml:space="preserve">Pynnönen, S. (1977). The pharmacokinetics of carbamazepine in plasma and saliva of man.</w:t>
      </w:r>
      <w:r>
        <w:t xml:space="preserve"> </w:t>
      </w:r>
      <w:r>
        <w:rPr>
          <w:iCs/>
          <w:i/>
        </w:rPr>
        <w:t xml:space="preserve">Acta pharmacologica et toxicologica</w:t>
      </w:r>
      <w:r>
        <w:t xml:space="preserve">,</w:t>
      </w:r>
      <w:r>
        <w:t xml:space="preserve"> </w:t>
      </w:r>
      <w:r>
        <w:rPr>
          <w:iCs/>
          <w:i/>
        </w:rPr>
        <w:t xml:space="preserve">41</w:t>
      </w:r>
      <w:r>
        <w:t xml:space="preserve">(5), 465-471.</w:t>
      </w:r>
    </w:p>
    <w:p>
      <w:pPr>
        <w:pStyle w:val="BodyText"/>
      </w:pPr>
      <w:r>
        <w:rPr>
          <w:bCs/>
          <w:b/>
        </w:rPr>
        <w:t xml:space="preserve">Rawlins 1975</w:t>
      </w:r>
      <w:r>
        <w:t xml:space="preserve"> </w:t>
      </w:r>
      <w:r>
        <w:t xml:space="preserve">Rawlins, M. D., Collste, P., Bertilsson, L., &amp; Palmer, L. (1975). Distribution and elimination kinetics of carbamazepine in man.</w:t>
      </w:r>
      <w:r>
        <w:t xml:space="preserve"> </w:t>
      </w:r>
      <w:r>
        <w:rPr>
          <w:iCs/>
          <w:i/>
        </w:rPr>
        <w:t xml:space="preserve">European journal of clinical pharmacology</w:t>
      </w:r>
      <w:r>
        <w:t xml:space="preserve">,</w:t>
      </w:r>
      <w:r>
        <w:t xml:space="preserve"> </w:t>
      </w:r>
      <w:r>
        <w:rPr>
          <w:iCs/>
          <w:i/>
        </w:rPr>
        <w:t xml:space="preserve">8</w:t>
      </w:r>
      <w:r>
        <w:t xml:space="preserve">(2), 91-96.</w:t>
      </w:r>
    </w:p>
    <w:p>
      <w:pPr>
        <w:pStyle w:val="BodyText"/>
      </w:pPr>
      <w:r>
        <w:rPr>
          <w:bCs/>
          <w:b/>
        </w:rPr>
        <w:t xml:space="preserve">Rodrigues 1999</w:t>
      </w:r>
      <w:r>
        <w:t xml:space="preserve"> </w:t>
      </w:r>
      <w:r>
        <w:t xml:space="preserve">Rodrigues, A. D. (1999). Integrated cytochrome P450 reaction phenotyping: attempting to bridge the gap between cDNA-expressed cytochromes P450 and native human liver microsomes.</w:t>
      </w:r>
      <w:r>
        <w:t xml:space="preserve"> </w:t>
      </w:r>
      <w:r>
        <w:rPr>
          <w:iCs/>
          <w:i/>
        </w:rPr>
        <w:t xml:space="preserve">Biochemical pharmacology</w:t>
      </w:r>
      <w:r>
        <w:t xml:space="preserve">,</w:t>
      </w:r>
      <w:r>
        <w:t xml:space="preserve"> </w:t>
      </w:r>
      <w:r>
        <w:rPr>
          <w:iCs/>
          <w:i/>
        </w:rPr>
        <w:t xml:space="preserve">57</w:t>
      </w:r>
      <w:r>
        <w:t xml:space="preserve">(5), 465-480.</w:t>
      </w:r>
    </w:p>
    <w:p>
      <w:pPr>
        <w:pStyle w:val="BodyText"/>
      </w:pPr>
      <w:r>
        <w:rPr>
          <w:bCs/>
          <w:b/>
        </w:rPr>
        <w:t xml:space="preserve">Saint-Salvi 1987</w:t>
      </w:r>
      <w:r>
        <w:t xml:space="preserve"> </w:t>
      </w:r>
      <w:r>
        <w:t xml:space="preserve">Saint-Salvi, B., Tremblay, D., Surjus, A., &amp; Lefebvre, M. A. (1987). A Study of the Interaction of Roxithromycin with Theophylline and Carbarmazepine.</w:t>
      </w:r>
      <w:r>
        <w:t xml:space="preserve"> </w:t>
      </w:r>
      <w:r>
        <w:rPr>
          <w:iCs/>
          <w:i/>
        </w:rPr>
        <w:t xml:space="preserve">Journal of Antimicrobial Chemotherapy</w:t>
      </w:r>
      <w:r>
        <w:t xml:space="preserve">,</w:t>
      </w:r>
      <w:r>
        <w:t xml:space="preserve"> </w:t>
      </w:r>
      <w:r>
        <w:rPr>
          <w:iCs/>
          <w:i/>
        </w:rPr>
        <w:t xml:space="preserve">20</w:t>
      </w:r>
      <w:r>
        <w:t xml:space="preserve">(suppl_B), 121-129.</w:t>
      </w:r>
    </w:p>
    <w:p>
      <w:pPr>
        <w:pStyle w:val="BodyText"/>
      </w:pPr>
      <w:r>
        <w:rPr>
          <w:bCs/>
          <w:b/>
        </w:rPr>
        <w:t xml:space="preserve">Sakamoto 2013</w:t>
      </w:r>
      <w:r>
        <w:t xml:space="preserve"> </w:t>
      </w:r>
      <w:r>
        <w:t xml:space="preserve">Sakamoto, M., Itoh, T., &amp; Fujiwara, R. (2013). Prediction of in vivo carbamazepine 10, 11-epoxidation from in vitro metabolic studies with human liver microsomes: importance of its sigmoidal kinetics.</w:t>
      </w:r>
      <w:r>
        <w:t xml:space="preserve"> </w:t>
      </w:r>
      <w:r>
        <w:rPr>
          <w:iCs/>
          <w:i/>
        </w:rPr>
        <w:t xml:space="preserve">Biological and Pharmaceutical Bulletin</w:t>
      </w:r>
      <w:r>
        <w:t xml:space="preserve">,</w:t>
      </w:r>
      <w:r>
        <w:t xml:space="preserve"> </w:t>
      </w:r>
      <w:r>
        <w:rPr>
          <w:iCs/>
          <w:i/>
        </w:rPr>
        <w:t xml:space="preserve">36</w:t>
      </w:r>
      <w:r>
        <w:t xml:space="preserve">(12), 1959-1963.</w:t>
      </w:r>
    </w:p>
    <w:p>
      <w:pPr>
        <w:pStyle w:val="BodyText"/>
      </w:pPr>
      <w:r>
        <w:rPr>
          <w:bCs/>
          <w:b/>
        </w:rPr>
        <w:t xml:space="preserve">Söderlind 2010</w:t>
      </w:r>
      <w:r>
        <w:t xml:space="preserve"> </w:t>
      </w:r>
      <w:r>
        <w:t xml:space="preserve">Söderlind, E., Karlsson, E., Carlsson, A., Kong, R., Lenz, A., Lindborg, S., &amp; Sheng, J. J. (2010). Simulating fasted human intestinal fluids: understanding the roles of lecithin and bile acids.</w:t>
      </w:r>
      <w:r>
        <w:t xml:space="preserve"> </w:t>
      </w:r>
      <w:r>
        <w:rPr>
          <w:iCs/>
          <w:i/>
        </w:rPr>
        <w:t xml:space="preserve">Molecular pharmaceutics</w:t>
      </w:r>
      <w:r>
        <w:t xml:space="preserve">,</w:t>
      </w:r>
      <w:r>
        <w:t xml:space="preserve"> </w:t>
      </w:r>
      <w:r>
        <w:rPr>
          <w:iCs/>
          <w:i/>
        </w:rPr>
        <w:t xml:space="preserve">7</w:t>
      </w:r>
      <w:r>
        <w:t xml:space="preserve">(5), 1498-1507.</w:t>
      </w:r>
    </w:p>
    <w:p>
      <w:pPr>
        <w:pStyle w:val="BodyText"/>
      </w:pPr>
      <w:r>
        <w:rPr>
          <w:bCs/>
          <w:b/>
        </w:rPr>
        <w:t xml:space="preserve">Staines 2004</w:t>
      </w:r>
      <w:r>
        <w:t xml:space="preserve"> </w:t>
      </w:r>
      <w:r>
        <w:t xml:space="preserve">Staines, A. G., Coughtrie, M. W., &amp; Burchell, B. (2004). N-glucuronidation of carbamazepine in human tissues is mediated by UGT2B7.</w:t>
      </w:r>
      <w:r>
        <w:t xml:space="preserve"> </w:t>
      </w:r>
      <w:r>
        <w:rPr>
          <w:iCs/>
          <w:i/>
        </w:rPr>
        <w:t xml:space="preserve">Journal of Pharmacology and Experimental Therapeutics</w:t>
      </w:r>
      <w:r>
        <w:t xml:space="preserve">,</w:t>
      </w:r>
      <w:r>
        <w:t xml:space="preserve"> </w:t>
      </w:r>
      <w:r>
        <w:rPr>
          <w:iCs/>
          <w:i/>
        </w:rPr>
        <w:t xml:space="preserve">311</w:t>
      </w:r>
      <w:r>
        <w:t xml:space="preserve">(3), 1131-1137.</w:t>
      </w:r>
    </w:p>
    <w:p>
      <w:pPr>
        <w:pStyle w:val="BodyText"/>
      </w:pPr>
      <w:r>
        <w:rPr>
          <w:bCs/>
          <w:b/>
        </w:rPr>
        <w:t xml:space="preserve">Stevens 1998</w:t>
      </w:r>
      <w:r>
        <w:t xml:space="preserve"> </w:t>
      </w:r>
      <w:r>
        <w:t xml:space="preserve">Stevens, R. E., Limsakun, T., Evans, G., &amp; Mason, J. D. H. (1998). Controlled, multidose, pharmacokinetic evaluation of two extended‐release carbamazepine formulations (Carbatrol and Tegretol‐XR).</w:t>
      </w:r>
      <w:r>
        <w:t xml:space="preserve"> </w:t>
      </w:r>
      <w:r>
        <w:rPr>
          <w:iCs/>
          <w:i/>
        </w:rPr>
        <w:t xml:space="preserve">Journal of pharmaceutical sciences</w:t>
      </w:r>
      <w:r>
        <w:t xml:space="preserve">,</w:t>
      </w:r>
      <w:r>
        <w:t xml:space="preserve"> </w:t>
      </w:r>
      <w:r>
        <w:rPr>
          <w:iCs/>
          <w:i/>
        </w:rPr>
        <w:t xml:space="preserve">87</w:t>
      </w:r>
      <w:r>
        <w:t xml:space="preserve">(12), 1531-1534.</w:t>
      </w:r>
    </w:p>
    <w:p>
      <w:pPr>
        <w:pStyle w:val="BodyText"/>
      </w:pPr>
      <w:r>
        <w:rPr>
          <w:bCs/>
          <w:b/>
        </w:rPr>
        <w:t xml:space="preserve">Strandjord 1975</w:t>
      </w:r>
      <w:r>
        <w:t xml:space="preserve"> </w:t>
      </w:r>
      <w:r>
        <w:t xml:space="preserve">Strandjord, R. E., &amp; Johannessen, S. I. (1975). A preliminary study of serum carbamazepine levels in healthy subjects and in patients with epilepsy. In:</w:t>
      </w:r>
      <w:r>
        <w:t xml:space="preserve"> </w:t>
      </w:r>
      <w:r>
        <w:rPr>
          <w:iCs/>
          <w:i/>
        </w:rPr>
        <w:t xml:space="preserve">Clinical pharmacology of anti-epileptic drugs</w:t>
      </w:r>
      <w:r>
        <w:t xml:space="preserve"> </w:t>
      </w:r>
      <w:r>
        <w:t xml:space="preserve">(pp. 181-188). Springer, Berlin, Heidelberg.</w:t>
      </w:r>
    </w:p>
    <w:p>
      <w:pPr>
        <w:pStyle w:val="BodyText"/>
      </w:pPr>
      <w:r>
        <w:rPr>
          <w:bCs/>
          <w:b/>
        </w:rPr>
        <w:t xml:space="preserve">Sumi 1987</w:t>
      </w:r>
      <w:r>
        <w:t xml:space="preserve"> </w:t>
      </w:r>
      <w:r>
        <w:t xml:space="preserve">Sumi, M., Watari, N., Umezawa, O., &amp; Kaneniwa, N. (1987). Pharmacokinetic study of carbamazepine and its epoxide metabolite in humans.</w:t>
      </w:r>
      <w:r>
        <w:t xml:space="preserve"> </w:t>
      </w:r>
      <w:r>
        <w:rPr>
          <w:iCs/>
          <w:i/>
        </w:rPr>
        <w:t xml:space="preserve">Journal of pharmacobio-dynamics</w:t>
      </w:r>
      <w:r>
        <w:t xml:space="preserve">,</w:t>
      </w:r>
      <w:r>
        <w:t xml:space="preserve"> </w:t>
      </w:r>
      <w:r>
        <w:rPr>
          <w:iCs/>
          <w:i/>
        </w:rPr>
        <w:t xml:space="preserve">10</w:t>
      </w:r>
      <w:r>
        <w:t xml:space="preserve">(11), 652-661.</w:t>
      </w:r>
    </w:p>
    <w:p>
      <w:pPr>
        <w:pStyle w:val="BodyText"/>
      </w:pPr>
      <w:r>
        <w:rPr>
          <w:bCs/>
          <w:b/>
        </w:rPr>
        <w:t xml:space="preserve">Terhaag 1978</w:t>
      </w:r>
      <w:r>
        <w:t xml:space="preserve"> </w:t>
      </w:r>
      <w:r>
        <w:t xml:space="preserve">Terhaag, B., Richter, K., &amp; Diettrich, H. (1978). Concentration behavior of carbamazepine in bile and plasma of man.</w:t>
      </w:r>
      <w:r>
        <w:t xml:space="preserve"> </w:t>
      </w:r>
      <w:r>
        <w:rPr>
          <w:iCs/>
          <w:i/>
        </w:rPr>
        <w:t xml:space="preserve">International journal of clinical pharmacology and biopharmacy</w:t>
      </w:r>
      <w:r>
        <w:t xml:space="preserve">,</w:t>
      </w:r>
      <w:r>
        <w:t xml:space="preserve"> </w:t>
      </w:r>
      <w:r>
        <w:rPr>
          <w:iCs/>
          <w:i/>
        </w:rPr>
        <w:t xml:space="preserve">16</w:t>
      </w:r>
      <w:r>
        <w:t xml:space="preserve">(12), 607-609.</w:t>
      </w:r>
    </w:p>
    <w:p>
      <w:pPr>
        <w:pStyle w:val="BodyText"/>
      </w:pPr>
      <w:r>
        <w:rPr>
          <w:bCs/>
          <w:b/>
        </w:rPr>
        <w:t xml:space="preserve">Tomaszewska 2013</w:t>
      </w:r>
      <w:r>
        <w:t xml:space="preserve"> </w:t>
      </w:r>
      <w:r>
        <w:t xml:space="preserve">Tomaszewska, I. (2013). In vitro and Physiologically Based Pharmacokinetic models for pharmaceutical cocrystals. Doctoral dissertation, University of Bath. https://purehost.bath.ac.uk/ws/portalfiles/portal/187934939/UnivBath_PhD_2013_I_Tomaszewska.pdf, accessed on 12-01-2022.</w:t>
      </w:r>
    </w:p>
    <w:p>
      <w:pPr>
        <w:pStyle w:val="BodyText"/>
      </w:pPr>
      <w:r>
        <w:rPr>
          <w:bCs/>
          <w:b/>
        </w:rPr>
        <w:t xml:space="preserve">Tomson 1983</w:t>
      </w:r>
      <w:r>
        <w:t xml:space="preserve"> </w:t>
      </w:r>
      <w:r>
        <w:t xml:space="preserve">Tomson, T., Tybring, G., &amp; Bertilsson, L. (1983). Single‐dose kinetics and metabolism of carbamazepine‐10, 11‐epoxide.</w:t>
      </w:r>
      <w:r>
        <w:t xml:space="preserve"> </w:t>
      </w:r>
      <w:r>
        <w:rPr>
          <w:iCs/>
          <w:i/>
        </w:rPr>
        <w:t xml:space="preserve">Clinical Pharmacology &amp; Therapeutics</w:t>
      </w:r>
      <w:r>
        <w:t xml:space="preserve">,</w:t>
      </w:r>
      <w:r>
        <w:t xml:space="preserve"> </w:t>
      </w:r>
      <w:r>
        <w:rPr>
          <w:iCs/>
          <w:i/>
        </w:rPr>
        <w:t xml:space="preserve">33</w:t>
      </w:r>
      <w:r>
        <w:t xml:space="preserve">(1), 58-65.</w:t>
      </w:r>
    </w:p>
    <w:p>
      <w:pPr>
        <w:pStyle w:val="BodyText"/>
      </w:pPr>
      <w:r>
        <w:rPr>
          <w:bCs/>
          <w:b/>
        </w:rPr>
        <w:t xml:space="preserve">US Patent Application - US 2009/0169619 A1</w:t>
      </w:r>
      <w:r>
        <w:t xml:space="preserve">. United States Patent Application 2009, Publication no.: US 2009/0169619 A1. https://patentimages.storage.googleapis.com/66/d4/30/f3588f44ab2b6f/US20090169619A1.pdf, accessed on 12-01-2022.</w:t>
      </w:r>
    </w:p>
    <w:p>
      <w:pPr>
        <w:pStyle w:val="BodyText"/>
      </w:pPr>
      <w:r>
        <w:rPr>
          <w:bCs/>
          <w:b/>
        </w:rPr>
        <w:t xml:space="preserve">US Patent Application - US 2014/0302138 A1</w:t>
      </w:r>
      <w:r>
        <w:t xml:space="preserve">. United States Patent Application 2014, Publication no.: US 2014/0302138 A1. https://patentimages.storage.googleapis.com/57/d9/18/0d8cbfa046681d/US20140302138A1.pdf, accessed on 12-01-2022.</w:t>
      </w:r>
    </w:p>
    <w:p>
      <w:pPr>
        <w:pStyle w:val="BodyText"/>
      </w:pPr>
      <w:r>
        <w:rPr>
          <w:bCs/>
          <w:b/>
        </w:rPr>
        <w:t xml:space="preserve">Vinçon 1987</w:t>
      </w:r>
      <w:r>
        <w:t xml:space="preserve"> </w:t>
      </w:r>
      <w:r>
        <w:t xml:space="preserve">Vinçon, G., Albin, H., Demotes-Mainard, F., Guyot, M., Bistue, C., &amp; Loiseau, P. (1987). Effects of josamycin on carbamazepine kinetics.</w:t>
      </w:r>
      <w:r>
        <w:t xml:space="preserve"> </w:t>
      </w:r>
      <w:r>
        <w:rPr>
          <w:iCs/>
          <w:i/>
        </w:rPr>
        <w:t xml:space="preserve">European journal of clinical pharmacology</w:t>
      </w:r>
      <w:r>
        <w:t xml:space="preserve">,</w:t>
      </w:r>
      <w:r>
        <w:t xml:space="preserve"> </w:t>
      </w:r>
      <w:r>
        <w:rPr>
          <w:iCs/>
          <w:i/>
        </w:rPr>
        <w:t xml:space="preserve">32</w:t>
      </w:r>
      <w:r>
        <w:t xml:space="preserve">(3), 321-323.</w:t>
      </w:r>
    </w:p>
    <w:p>
      <w:pPr>
        <w:pStyle w:val="BodyText"/>
      </w:pPr>
      <w:r>
        <w:rPr>
          <w:bCs/>
          <w:b/>
        </w:rPr>
        <w:t xml:space="preserve">Wada 1978</w:t>
      </w:r>
      <w:r>
        <w:t xml:space="preserve"> </w:t>
      </w:r>
      <w:r>
        <w:t xml:space="preserve">Wada, J. A., Troupin, A. S., Friel, P., Remick, R., Leal, K., &amp; Pearmain, J. (1978). Pharmacokinetic comparison of tablet and suspension dosage forms of carbamazepine.</w:t>
      </w:r>
      <w:r>
        <w:t xml:space="preserve"> </w:t>
      </w:r>
      <w:r>
        <w:rPr>
          <w:iCs/>
          <w:i/>
        </w:rPr>
        <w:t xml:space="preserve">Epilepsia</w:t>
      </w:r>
      <w:r>
        <w:t xml:space="preserve">,</w:t>
      </w:r>
      <w:r>
        <w:t xml:space="preserve"> </w:t>
      </w:r>
      <w:r>
        <w:rPr>
          <w:iCs/>
          <w:i/>
        </w:rPr>
        <w:t xml:space="preserve">19</w:t>
      </w:r>
      <w:r>
        <w:t xml:space="preserve">(3), 251-255.</w:t>
      </w:r>
    </w:p>
    <w:p>
      <w:pPr>
        <w:pStyle w:val="BodyText"/>
      </w:pPr>
      <w:r>
        <w:rPr>
          <w:bCs/>
          <w:b/>
        </w:rPr>
        <w:t xml:space="preserve">Williamson 2016</w:t>
      </w:r>
      <w:r>
        <w:t xml:space="preserve"> </w:t>
      </w:r>
      <w:r>
        <w:t xml:space="preserve">Williamson, B., Lorbeer, M., Mitchell, M. D., Brayman, T. G., &amp; Riley, R. J. (2016). Evaluation of a novel PXR‐knockout in HepaRG™ cells.</w:t>
      </w:r>
      <w:r>
        <w:t xml:space="preserve"> </w:t>
      </w:r>
      <w:r>
        <w:rPr>
          <w:iCs/>
          <w:i/>
        </w:rPr>
        <w:t xml:space="preserve">Pharmacology research &amp; perspectives</w:t>
      </w:r>
      <w:r>
        <w:t xml:space="preserve">,</w:t>
      </w:r>
      <w:r>
        <w:t xml:space="preserve"> </w:t>
      </w:r>
      <w:r>
        <w:rPr>
          <w:iCs/>
          <w:i/>
        </w:rPr>
        <w:t xml:space="preserve">4</w:t>
      </w:r>
      <w:r>
        <w:t xml:space="preserve">(5), e00264.</w:t>
      </w:r>
    </w:p>
    <w:p>
      <w:pPr>
        <w:pStyle w:val="BodyText"/>
      </w:pPr>
      <w:r>
        <w:rPr>
          <w:bCs/>
          <w:b/>
        </w:rPr>
        <w:t xml:space="preserve">Willmann 2007</w:t>
      </w:r>
      <w:r>
        <w:t xml:space="preserve"> </w:t>
      </w:r>
      <w:r>
        <w:t xml:space="preserve">Willmann, S., Höhn, K., Edginton, A., Sevestre, M., Solodenko, J., Weiss, W., … &amp; Schmitt, W. (2007). Development of a physiology-based whole-body population model for assessing the influence of individual variability on the pharmacokinetics of drugs.</w:t>
      </w:r>
      <w:r>
        <w:t xml:space="preserve"> </w:t>
      </w:r>
      <w:r>
        <w:rPr>
          <w:iCs/>
          <w:i/>
        </w:rPr>
        <w:t xml:space="preserve">Journal of pharmacokinetics and pharmacodynamics</w:t>
      </w:r>
      <w:r>
        <w:t xml:space="preserve">,</w:t>
      </w:r>
      <w:r>
        <w:t xml:space="preserve"> </w:t>
      </w:r>
      <w:r>
        <w:rPr>
          <w:iCs/>
          <w:i/>
        </w:rPr>
        <w:t xml:space="preserve">34</w:t>
      </w:r>
      <w:r>
        <w:t xml:space="preserve">(3), 401-431.</w:t>
      </w:r>
    </w:p>
    <w:p>
      <w:pPr>
        <w:pStyle w:val="BodyText"/>
      </w:pPr>
      <w:r>
        <w:rPr>
          <w:bCs/>
          <w:b/>
        </w:rPr>
        <w:t xml:space="preserve">Wong 1983</w:t>
      </w:r>
      <w:r>
        <w:t xml:space="preserve"> </w:t>
      </w:r>
      <w:r>
        <w:t xml:space="preserve">Wong, Y. Y., Ludden, T. M., &amp; Bell, R. D. (1983). Effect of erythromycin on carbamazepine kinetics.</w:t>
      </w:r>
      <w:r>
        <w:t xml:space="preserve"> </w:t>
      </w:r>
      <w:r>
        <w:rPr>
          <w:iCs/>
          <w:i/>
        </w:rPr>
        <w:t xml:space="preserve">Clinical Pharmacology &amp; Therapeutics</w:t>
      </w:r>
      <w:r>
        <w:t xml:space="preserve">,</w:t>
      </w:r>
      <w:r>
        <w:t xml:space="preserve"> </w:t>
      </w:r>
      <w:r>
        <w:rPr>
          <w:iCs/>
          <w:i/>
        </w:rPr>
        <w:t xml:space="preserve">33</w:t>
      </w:r>
      <w:r>
        <w:t xml:space="preserve">(4), 460-464.</w:t>
      </w:r>
    </w:p>
    <w:bookmarkEnd w:id="269"/>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80" Target="media/rId80.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83" Target="media/rId83.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86" Target="media/rId86.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89" Target="media/rId89.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233" Target="media/rId233.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92" Target="media/rId92.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hyperlink" Id="rId20" Target="https://github.com/Open-Systems-Pharmacology/OSP-PBPK-Model-Library"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Open-Systems-Pharmacology/OSP-PBPK-Model-Libr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carbamazepine in healthy adults</dc:title>
  <dc:creator/>
  <cp:keywords/>
  <dcterms:created xsi:type="dcterms:W3CDTF">2025-03-17T12:00:24Z</dcterms:created>
  <dcterms:modified xsi:type="dcterms:W3CDTF">2025-03-17T12:00:24Z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Planhttps://github.com/Open-Systems-Pharmacology/Carbamazepine-Model/releases/tag/v1.0OSP Version12.0Qualification Framework Version3.3This evaluation report and the corresponding PK-Sim project file are stored at:https://github.com/Open-Systems-Pharmacology/OSP-PBPK-Model-Library</vt:lpwstr>
  </property>
  <property fmtid="{D5CDD505-2E9C-101B-9397-08002B2CF9AE}" pid="3" name="subtitle">
    <vt:lpwstr/>
  </property>
</Properties>
</file>