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1.png" ContentType="image/png"/>
  <Override PartName="/word/media/rId42.png" ContentType="image/png"/>
  <Override PartName="/word/media/rId53.png" ContentType="image/png"/>
  <Override PartName="/word/media/rId54.png" ContentType="image/png"/>
  <Override PartName="/word/media/rId55.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Building</w:t>
      </w:r>
      <w:r>
        <w:t xml:space="preserve"> </w:t>
      </w:r>
      <w:r>
        <w:t xml:space="preserve">and</w:t>
      </w:r>
      <w:r>
        <w:t xml:space="preserve"> </w:t>
      </w:r>
      <w:r>
        <w:t xml:space="preserve">evaluation</w:t>
      </w:r>
      <w:r>
        <w:t xml:space="preserve"> </w:t>
      </w:r>
      <w:r>
        <w:t xml:space="preserve">of</w:t>
      </w:r>
      <w:r>
        <w:t xml:space="preserve"> </w:t>
      </w:r>
      <w:r>
        <w:t xml:space="preserve">a</w:t>
      </w:r>
      <w:r>
        <w:t xml:space="preserve"> </w:t>
      </w:r>
      <w:r>
        <w:t xml:space="preserve">PBPK</w:t>
      </w:r>
      <w:r>
        <w:t xml:space="preserve"> </w:t>
      </w:r>
      <w:r>
        <w:t xml:space="preserve">model</w:t>
      </w:r>
      <w:r>
        <w:t xml:space="preserve"> </w:t>
      </w:r>
      <w:r>
        <w:t xml:space="preserve">for</w:t>
      </w:r>
      <w:r>
        <w:t xml:space="preserve"> </w:t>
      </w:r>
      <w:r>
        <w:t xml:space="preserve">domain</w:t>
      </w:r>
      <w:r>
        <w:t xml:space="preserve"> </w:t>
      </w:r>
      <w:r>
        <w:t xml:space="preserve">antibody</w:t>
      </w:r>
      <w:r>
        <w:t xml:space="preserve"> </w:t>
      </w:r>
      <w:r>
        <w:t xml:space="preserve">dAb2</w:t>
      </w:r>
      <w:r>
        <w:t xml:space="preserve"> </w:t>
      </w:r>
      <w:r>
        <w:t xml:space="preserve">in</w:t>
      </w:r>
      <w:r>
        <w:t xml:space="preserve"> </w:t>
      </w:r>
      <w:r>
        <w:t xml:space="preserve">mice</w:t>
      </w:r>
    </w:p>
    <w:tbl>
      <w:tblPr>
        <w:tblStyle w:val="Table"/>
        <w:tblW w:type="pct" w:w="5000.0"/>
        <w:tblLook w:firstRow="1"/>
      </w:tblPr>
      <w:tblGrid>
        <w:gridCol w:w="3478"/>
        <w:gridCol w:w="4441"/>
      </w:tblGrid>
      <w:tr>
        <w:trPr>
          <w:cnfStyle w:firstRow="1"/>
        </w:trPr>
        <w:tc>
          <w:tcPr>
            <w:tcBorders>
              <w:bottom w:val="single"/>
            </w:tcBorders>
            <w:vAlign w:val="bottom"/>
          </w:tcPr>
          <w:p>
            <w:pPr>
              <w:pStyle w:val="Compact"/>
              <w:jc w:val="left"/>
            </w:pPr>
            <w:r>
              <w:t xml:space="preserve">Version</w:t>
            </w:r>
          </w:p>
        </w:tc>
        <w:tc>
          <w:tcPr>
            <w:tcBorders>
              <w:bottom w:val="single"/>
            </w:tcBorders>
            <w:vAlign w:val="bottom"/>
          </w:tcPr>
          <w:p>
            <w:pPr>
              <w:pStyle w:val="Compact"/>
              <w:jc w:val="left"/>
            </w:pPr>
            <w:r>
              <w:t xml:space="preserve">x.x-OSPy.y</w:t>
            </w:r>
          </w:p>
        </w:tc>
      </w:tr>
      <w:tr>
        <w:tc>
          <w:p>
            <w:pPr>
              <w:pStyle w:val="Compact"/>
              <w:jc w:val="left"/>
            </w:pPr>
            <w:r>
              <w:t xml:space="preserve">based</w:t>
            </w:r>
            <w:r>
              <w:t xml:space="preserve"> </w:t>
            </w:r>
            <w:r>
              <w:t xml:space="preserve">on</w:t>
            </w:r>
            <w:r>
              <w:t xml:space="preserve"> </w:t>
            </w:r>
            <w:r>
              <w:rPr>
                <w:i/>
              </w:rPr>
              <w:t xml:space="preserve">Model</w:t>
            </w:r>
            <w:r>
              <w:rPr>
                <w:i/>
              </w:rPr>
              <w:t xml:space="preserve"> </w:t>
            </w:r>
            <w:r>
              <w:rPr>
                <w:i/>
              </w:rPr>
              <w:t xml:space="preserve">Snapshot</w:t>
            </w:r>
            <w:r>
              <w:t xml:space="preserve"> </w:t>
            </w:r>
            <w:r>
              <w:t xml:space="preserve">and</w:t>
            </w:r>
            <w:r>
              <w:t xml:space="preserve"> </w:t>
            </w:r>
            <w:r>
              <w:rPr>
                <w:i/>
              </w:rPr>
              <w:t xml:space="preserve">Evaluation</w:t>
            </w:r>
            <w:r>
              <w:rPr>
                <w:i/>
              </w:rPr>
              <w:t xml:space="preserve"> </w:t>
            </w:r>
            <w:r>
              <w:rPr>
                <w:i/>
              </w:rPr>
              <w:t xml:space="preserve">Plan</w:t>
            </w:r>
          </w:p>
        </w:tc>
        <w:tc>
          <w:p>
            <w:pPr>
              <w:pStyle w:val="Compact"/>
              <w:jc w:val="left"/>
            </w:pPr>
            <w:r>
              <w:t xml:space="preserve">https://github.com/Open-Systems-Pharmacology/dAb2-Model/releases/tag/vx.x</w:t>
            </w:r>
          </w:p>
        </w:tc>
      </w:tr>
      <w:tr>
        <w:tc>
          <w:p>
            <w:pPr>
              <w:pStyle w:val="Compact"/>
              <w:jc w:val="left"/>
            </w:pPr>
            <w:r>
              <w:t xml:space="preserve">OSP</w:t>
            </w:r>
            <w:r>
              <w:t xml:space="preserve"> </w:t>
            </w:r>
            <w:r>
              <w:t xml:space="preserve">Version</w:t>
            </w:r>
          </w:p>
        </w:tc>
        <w:tc>
          <w:p>
            <w:pPr>
              <w:pStyle w:val="Compact"/>
              <w:jc w:val="left"/>
            </w:pPr>
            <w:r>
              <w:t xml:space="preserve">y.y</w:t>
            </w:r>
          </w:p>
        </w:tc>
      </w:tr>
      <w:tr>
        <w:tc>
          <w:p>
            <w:pPr>
              <w:pStyle w:val="Compact"/>
              <w:jc w:val="left"/>
            </w:pPr>
            <w:r>
              <w:t xml:space="preserve">Qualification</w:t>
            </w:r>
            <w:r>
              <w:t xml:space="preserve"> </w:t>
            </w:r>
            <w:r>
              <w:t xml:space="preserve">Framework</w:t>
            </w:r>
            <w:r>
              <w:t xml:space="preserve"> </w:t>
            </w:r>
            <w:r>
              <w:t xml:space="preserve">Version</w:t>
            </w:r>
          </w:p>
        </w:tc>
        <w:tc>
          <w:p>
            <w:pPr>
              <w:pStyle w:val="Compact"/>
              <w:jc w:val="left"/>
            </w:pPr>
            <w:r>
              <w:t xml:space="preserve">z.z</w:t>
            </w:r>
          </w:p>
        </w:tc>
      </w:tr>
    </w:tbl>
    <w:p>
      <w:pPr>
        <w:pStyle w:val="Abstract"/>
      </w:pPr>
      <w:r>
        <w:t xml:space="preserve">This</w:t>
      </w:r>
      <w:r>
        <w:t xml:space="preserve"> </w:t>
      </w:r>
      <w:r>
        <w:t xml:space="preserve">evaluation</w:t>
      </w:r>
      <w:r>
        <w:t xml:space="preserve"> </w:t>
      </w:r>
      <w:r>
        <w:t xml:space="preserve">report</w:t>
      </w:r>
      <w:r>
        <w:t xml:space="preserve"> </w:t>
      </w:r>
      <w:r>
        <w:t xml:space="preserve">and</w:t>
      </w:r>
      <w:r>
        <w:t xml:space="preserve"> </w:t>
      </w:r>
      <w:r>
        <w:t xml:space="preserve">the</w:t>
      </w:r>
      <w:r>
        <w:t xml:space="preserve"> </w:t>
      </w:r>
      <w:r>
        <w:t xml:space="preserve">corresponding</w:t>
      </w:r>
      <w:r>
        <w:t xml:space="preserve"> </w:t>
      </w:r>
      <w:r>
        <w:t xml:space="preserve">PK-Sim</w:t>
      </w:r>
      <w:r>
        <w:t xml:space="preserve"> </w:t>
      </w:r>
      <w:r>
        <w:t xml:space="preserve">project</w:t>
      </w:r>
      <w:r>
        <w:t xml:space="preserve"> </w:t>
      </w:r>
      <w:r>
        <w:t xml:space="preserve">file</w:t>
      </w:r>
      <w:r>
        <w:t xml:space="preserve"> </w:t>
      </w:r>
      <w:r>
        <w:t xml:space="preserve">are</w:t>
      </w:r>
      <w:r>
        <w:t xml:space="preserve"> </w:t>
      </w:r>
      <w:r>
        <w:t xml:space="preserve">filed</w:t>
      </w:r>
      <w:r>
        <w:t xml:space="preserve"> </w:t>
      </w:r>
      <w:r>
        <w:t xml:space="preserve">at:</w:t>
      </w:r>
    </w:p>
    <w:p>
      <w:pPr>
        <w:pStyle w:val="Abstract"/>
      </w:pPr>
      <w:r>
        <w:t xml:space="preserve">https://github.com/Open-Systems-Pharmacology/OSP-PBPK-Model-Library/</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p>
    <w:p>
      <w:pPr>
        <w:pStyle w:val="Heading1"/>
      </w:pPr>
      <w:bookmarkStart w:id="20" w:name="introduction"/>
      <w:r>
        <w:t xml:space="preserve">Introduction</w:t>
      </w:r>
      <w:bookmarkEnd w:id="20"/>
    </w:p>
    <w:p>
      <w:pPr>
        <w:pStyle w:val="FirstParagraph"/>
      </w:pPr>
      <w:r>
        <w:t xml:space="preserve">The dAb2 domain antibody is a fusion protein consisting of a VH (heavy chain) and a Vk (light chain) antibody fragment without known binding affinity which was used to a develop a PBPK model (</w:t>
      </w:r>
      <w:hyperlink w:anchor="Xa559bd5247f9128e74e6edcc17de37648e8cde6">
        <w:r>
          <w:rPr>
            <w:rStyle w:val="Hyperlink"/>
          </w:rPr>
          <w:t xml:space="preserve">Sepp2015</w:t>
        </w:r>
      </w:hyperlink>
      <w:r>
        <w:t xml:space="preserve">).</w:t>
      </w:r>
    </w:p>
    <w:p>
      <w:pPr>
        <w:pStyle w:val="BodyText"/>
      </w:pPr>
      <w:r>
        <w:t xml:space="preserve">Since the dAb2 is smaller than antibodies, the PK data (blood and tissue concentration–time profiles in mice) (</w:t>
      </w:r>
      <w:hyperlink w:anchor="Xa559bd5247f9128e74e6edcc17de37648e8cde6">
        <w:r>
          <w:rPr>
            <w:rStyle w:val="Hyperlink"/>
          </w:rPr>
          <w:t xml:space="preserve">Sepp2015</w:t>
        </w:r>
      </w:hyperlink>
      <w:r>
        <w:t xml:space="preserve">) were also used together with pharmacokinetic (PK) data from 5 other compounds to identify unknown parameters during the development of the generic large molecule physiologically based pharmacokinetic (PBPK) model in PK-Sim (</w:t>
      </w:r>
      <w:hyperlink w:anchor="Xa559bd5247f9128e74e6edcc17de37648e8cde6">
        <w:r>
          <w:rPr>
            <w:rStyle w:val="Hyperlink"/>
          </w:rPr>
          <w:t xml:space="preserve">Niederalt 2018</w:t>
        </w:r>
      </w:hyperlink>
      <w:r>
        <w:t xml:space="preserve">).</w:t>
      </w:r>
    </w:p>
    <w:p>
      <w:pPr>
        <w:pStyle w:val="BodyText"/>
      </w:pPr>
      <w:r>
        <w:t xml:space="preserve">The herein presented evaluation report evaluates the performance of the PBPK model for dAb2 in mice for the PK data used for the development of the generic large molecule model in PK-Sim.</w:t>
      </w:r>
    </w:p>
    <w:p>
      <w:pPr>
        <w:pStyle w:val="BodyText"/>
      </w:pPr>
      <w:r>
        <w:t xml:space="preserve">The presented dAb2 PBPK model as well as the respective evaluation plan and evaluation report are provided open-source (https://github.com/Open-Systems-Pharmacology/dAb2-Model)</w:t>
      </w:r>
    </w:p>
    <w:p>
      <w:pPr>
        <w:pStyle w:val="BodyText"/>
      </w:pPr>
    </w:p>
    <w:p>
      <w:pPr>
        <w:pStyle w:val="Heading1"/>
      </w:pPr>
      <w:bookmarkStart w:id="21" w:name="methods"/>
      <w:r>
        <w:t xml:space="preserve">Methods</w:t>
      </w:r>
      <w:bookmarkEnd w:id="21"/>
    </w:p>
    <w:p>
      <w:pPr>
        <w:pStyle w:val="FirstParagraph"/>
      </w:pPr>
    </w:p>
    <w:p>
      <w:pPr>
        <w:pStyle w:val="Heading2"/>
      </w:pPr>
      <w:bookmarkStart w:id="22" w:name="modeling-strategy"/>
      <w:r>
        <w:t xml:space="preserve">Modeling Strategy</w:t>
      </w:r>
      <w:bookmarkEnd w:id="22"/>
    </w:p>
    <w:p>
      <w:pPr>
        <w:pStyle w:val="FirstParagraph"/>
      </w:pPr>
      <w:r>
        <w:t xml:space="preserve">The development of the large molecule PBPK model in PK-Sim® has previously been described by Niederalt et al. (</w:t>
      </w:r>
      <w:hyperlink w:anchor="Xa559bd5247f9128e74e6edcc17de37648e8cde6">
        <w:r>
          <w:rPr>
            <w:rStyle w:val="Hyperlink"/>
          </w:rPr>
          <w:t xml:space="preserve">Niederalt 2018</w:t>
        </w:r>
      </w:hyperlink>
      <w:r>
        <w:t xml:space="preserve">). In short, the model was built as an extension of the PK-Sim® model for small molecules incorporating (i) the two-pore formalism for drug extravasation from blood plasma to interstitial space, (ii) lymph flow, (iii) endosomal clearance and (iv) protection from endosomal clearance by neonatal Fc receptor (FcRn) mediated recycling.</w:t>
      </w:r>
    </w:p>
    <w:p>
      <w:pPr>
        <w:pStyle w:val="BodyText"/>
      </w:pPr>
      <w:r>
        <w:t xml:space="preserve">For model development and evaluation, PK data were used from compounds with a wide range of solute radii and from different species. The PK data used for parameter estimation were from the following compounds: antibody–drug conjugate BAY 79-4620 in mice (Bayer in house data), antibody 7E3 in wild-type and FcRn knockout mice (</w:t>
      </w:r>
      <w:hyperlink w:anchor="Xa559bd5247f9128e74e6edcc17de37648e8cde6">
        <w:r>
          <w:rPr>
            <w:rStyle w:val="Hyperlink"/>
          </w:rPr>
          <w:t xml:space="preserve">Garg 2007</w:t>
        </w:r>
      </w:hyperlink>
      <w:r>
        <w:t xml:space="preserve">,</w:t>
      </w:r>
      <w:r>
        <w:t xml:space="preserve"> </w:t>
      </w:r>
      <w:hyperlink w:anchor="Xa559bd5247f9128e74e6edcc17de37648e8cde6">
        <w:r>
          <w:rPr>
            <w:rStyle w:val="Hyperlink"/>
          </w:rPr>
          <w:t xml:space="preserve">Garg2009</w:t>
        </w:r>
      </w:hyperlink>
      <w:r>
        <w:t xml:space="preserve">), domain antibody dAb2 in mice (</w:t>
      </w:r>
      <w:hyperlink w:anchor="Xa559bd5247f9128e74e6edcc17de37648e8cde6">
        <w:r>
          <w:rPr>
            <w:rStyle w:val="Hyperlink"/>
          </w:rPr>
          <w:t xml:space="preserve">Sepp 2015</w:t>
        </w:r>
      </w:hyperlink>
      <w:r>
        <w:t xml:space="preserve">), antibodies MEDI-524 and MEDI-524-YTE in monkeys (</w:t>
      </w:r>
      <w:hyperlink w:anchor="Xa559bd5247f9128e74e6edcc17de37648e8cde6">
        <w:r>
          <w:rPr>
            <w:rStyle w:val="Hyperlink"/>
          </w:rPr>
          <w:t xml:space="preserve">Dall’Acqua 2006</w:t>
        </w:r>
      </w:hyperlink>
      <w:r>
        <w:t xml:space="preserve">), and antibody CDA1 in humans (</w:t>
      </w:r>
      <w:hyperlink w:anchor="Xa559bd5247f9128e74e6edcc17de37648e8cde6">
        <w:r>
          <w:rPr>
            <w:rStyle w:val="Hyperlink"/>
          </w:rPr>
          <w:t xml:space="preserve">Taylor 2008</w:t>
        </w:r>
      </w:hyperlink>
      <w:r>
        <w:t xml:space="preserve">). The PK data used for model evaluation were from inulin in rats (</w:t>
      </w:r>
      <w:hyperlink w:anchor="Xa559bd5247f9128e74e6edcc17de37648e8cde6">
        <w:r>
          <w:rPr>
            <w:rStyle w:val="Hyperlink"/>
          </w:rPr>
          <w:t xml:space="preserve">Tsuji1983</w:t>
        </w:r>
      </w:hyperlink>
      <w:r>
        <w:t xml:space="preserve">) and tefibazumab in humans (</w:t>
      </w:r>
      <w:hyperlink w:anchor="Xa559bd5247f9128e74e6edcc17de37648e8cde6">
        <w:r>
          <w:rPr>
            <w:rStyle w:val="Hyperlink"/>
          </w:rPr>
          <w:t xml:space="preserve">Reilly 2005</w:t>
        </w:r>
      </w:hyperlink>
      <w:r>
        <w:t xml:space="preserve">).</w:t>
      </w:r>
    </w:p>
    <w:p>
      <w:pPr>
        <w:pStyle w:val="BodyText"/>
      </w:pPr>
      <w:r>
        <w:t xml:space="preserve">The PBPK model including the estimated physiological parameters as described by Niederalt et al. (</w:t>
      </w:r>
      <w:hyperlink w:anchor="Xa559bd5247f9128e74e6edcc17de37648e8cde6">
        <w:r>
          <w:rPr>
            <w:rStyle w:val="Hyperlink"/>
          </w:rPr>
          <w:t xml:space="preserve">Niederalt 2018</w:t>
        </w:r>
      </w:hyperlink>
      <w:r>
        <w:t xml:space="preserve">) is available in the Open Systems Pharmacology Suite from version 7.1 onwards.</w:t>
      </w:r>
    </w:p>
    <w:p>
      <w:pPr>
        <w:pStyle w:val="BodyText"/>
      </w:pPr>
      <w:r>
        <w:t xml:space="preserve">This evaluation report focuses on the PBPK model for the domain antibody dAb2.</w:t>
      </w:r>
    </w:p>
    <w:p>
      <w:pPr>
        <w:pStyle w:val="BodyText"/>
      </w:pPr>
      <w:r>
        <w:t xml:space="preserve">Details about input data (physicochemical,</w:t>
      </w:r>
      <w:r>
        <w:t xml:space="preserve"> </w:t>
      </w:r>
      <w:r>
        <w:rPr>
          <w:i/>
        </w:rPr>
        <w:t xml:space="preserve">in vitro</w:t>
      </w:r>
      <w:r>
        <w:t xml:space="preserve"> </w:t>
      </w:r>
      <w:r>
        <w:t xml:space="preserve">and PK) can be found in</w:t>
      </w:r>
      <w:r>
        <w:t xml:space="preserve"> </w:t>
      </w:r>
      <w:hyperlink w:anchor="X681d1fae3f233cf07e1ee33c73d775b8586b96f">
        <w:r>
          <w:rPr>
            <w:rStyle w:val="Hyperlink"/>
          </w:rPr>
          <w:t xml:space="preserve">Section 2.2</w:t>
        </w:r>
      </w:hyperlink>
      <w:r>
        <w:t xml:space="preserve">.</w:t>
      </w:r>
    </w:p>
    <w:p>
      <w:pPr>
        <w:pStyle w:val="BodyText"/>
      </w:pPr>
      <w:r>
        <w:t xml:space="preserve">Details about the structural model and its parameters can be found in</w:t>
      </w:r>
      <w:r>
        <w:t xml:space="preserve"> </w:t>
      </w:r>
      <w:hyperlink w:anchor="X920e58f6eb345d17092abc826058b6950015cf7">
        <w:r>
          <w:rPr>
            <w:rStyle w:val="Hyperlink"/>
          </w:rPr>
          <w:t xml:space="preserve">Section 2.3</w:t>
        </w:r>
      </w:hyperlink>
      <w:r>
        <w:t xml:space="preserve">.</w:t>
      </w:r>
    </w:p>
    <w:p>
      <w:pPr>
        <w:pStyle w:val="BodyText"/>
      </w:pPr>
    </w:p>
    <w:p>
      <w:pPr>
        <w:pStyle w:val="Heading2"/>
      </w:pPr>
      <w:bookmarkStart w:id="23" w:name="data"/>
      <w:r>
        <w:t xml:space="preserve">Data</w:t>
      </w:r>
      <w:bookmarkEnd w:id="23"/>
    </w:p>
    <w:p>
      <w:pPr>
        <w:pStyle w:val="Heading3"/>
      </w:pPr>
      <w:bookmarkStart w:id="24" w:name="in-vitro-physico-chemical-data"/>
      <w:r>
        <w:t xml:space="preserve">In vitro / physico-chemical Data</w:t>
      </w:r>
      <w:r>
        <w:t xml:space="preserve"> </w:t>
      </w:r>
      <w:bookmarkEnd w:id="24"/>
    </w:p>
    <w:p>
      <w:pPr>
        <w:pStyle w:val="FirstParagraph"/>
      </w:pPr>
      <w:r>
        <w:t xml:space="preserve">A literature search was performed to collect available information on physicochemical properties of dAb2. The obtained information from literature is summarized in the table below.</w:t>
      </w:r>
    </w:p>
    <w:tbl>
      <w:tblPr>
        <w:tblStyle w:val="Table"/>
        <w:tblW w:type="pct" w:w="5000.0"/>
        <w:tblLook w:firstRow="1"/>
      </w:tblPr>
      <w:tblGrid>
        <w:gridCol w:w="895"/>
        <w:gridCol w:w="550"/>
        <w:gridCol w:w="619"/>
        <w:gridCol w:w="1721"/>
        <w:gridCol w:w="4132"/>
      </w:tblGrid>
      <w:tr>
        <w:trPr>
          <w:cnfStyle w:firstRow="1"/>
        </w:trPr>
        <w:tc>
          <w:tcPr>
            <w:tcBorders>
              <w:bottom w:val="single"/>
            </w:tcBorders>
            <w:vAlign w:val="bottom"/>
          </w:tcPr>
          <w:p>
            <w:pPr>
              <w:pStyle w:val="Compact"/>
              <w:jc w:val="left"/>
            </w:pPr>
            <w:r>
              <w:rPr>
                <w:b/>
              </w:rPr>
              <w:t xml:space="preserve">Parameter</w:t>
            </w:r>
          </w:p>
        </w:tc>
        <w:tc>
          <w:tcPr>
            <w:tcBorders>
              <w:bottom w:val="single"/>
            </w:tcBorders>
            <w:vAlign w:val="bottom"/>
          </w:tcPr>
          <w:p>
            <w:pPr>
              <w:pStyle w:val="Compact"/>
              <w:jc w:val="left"/>
            </w:pPr>
            <w:r>
              <w:rPr>
                <w:b/>
              </w:rPr>
              <w:t xml:space="preserve">Unit</w:t>
            </w:r>
          </w:p>
        </w:tc>
        <w:tc>
          <w:tcPr>
            <w:tcBorders>
              <w:bottom w:val="single"/>
            </w:tcBorders>
            <w:vAlign w:val="bottom"/>
          </w:tcPr>
          <w:p>
            <w:pPr>
              <w:pStyle w:val="Compact"/>
              <w:jc w:val="left"/>
            </w:pPr>
            <w:r>
              <w:rPr>
                <w:b/>
              </w:rPr>
              <w:t xml:space="preserve">Value</w:t>
            </w:r>
          </w:p>
        </w:tc>
        <w:tc>
          <w:tcPr>
            <w:tcBorders>
              <w:bottom w:val="single"/>
            </w:tcBorders>
            <w:vAlign w:val="bottom"/>
          </w:tcPr>
          <w:p>
            <w:pPr>
              <w:pStyle w:val="Compact"/>
              <w:jc w:val="left"/>
            </w:pPr>
            <w:r>
              <w:t xml:space="preserve">Source</w:t>
            </w:r>
          </w:p>
        </w:tc>
        <w:tc>
          <w:tcPr>
            <w:tcBorders>
              <w:bottom w:val="single"/>
            </w:tcBorders>
            <w:vAlign w:val="bottom"/>
          </w:tcPr>
          <w:p>
            <w:pPr>
              <w:pStyle w:val="Compact"/>
              <w:jc w:val="left"/>
            </w:pPr>
            <w:r>
              <w:rPr>
                <w:b/>
              </w:rPr>
              <w:t xml:space="preserve">Description</w:t>
            </w:r>
          </w:p>
        </w:tc>
      </w:tr>
      <w:tr>
        <w:tc>
          <w:p>
            <w:pPr>
              <w:pStyle w:val="Compact"/>
              <w:jc w:val="left"/>
            </w:pPr>
            <w:r>
              <w:t xml:space="preserve">MW</w:t>
            </w:r>
          </w:p>
        </w:tc>
        <w:tc>
          <w:p>
            <w:pPr>
              <w:pStyle w:val="Compact"/>
              <w:jc w:val="left"/>
            </w:pPr>
            <w:r>
              <w:t xml:space="preserve">g/mol</w:t>
            </w:r>
          </w:p>
        </w:tc>
        <w:tc>
          <w:p>
            <w:pPr>
              <w:pStyle w:val="Compact"/>
              <w:jc w:val="left"/>
            </w:pPr>
            <w:r>
              <w:t xml:space="preserve">25600</w:t>
            </w:r>
          </w:p>
        </w:tc>
        <w:tc>
          <w:p>
            <w:pPr>
              <w:pStyle w:val="Compact"/>
              <w:jc w:val="left"/>
            </w:pPr>
            <w:hyperlink w:anchor="Xa559bd5247f9128e74e6edcc17de37648e8cde6">
              <w:r>
                <w:rPr>
                  <w:rStyle w:val="Hyperlink"/>
                </w:rPr>
                <w:t xml:space="preserve">Sepp2015</w:t>
              </w:r>
            </w:hyperlink>
          </w:p>
        </w:tc>
        <w:tc>
          <w:p>
            <w:pPr>
              <w:pStyle w:val="Compact"/>
              <w:jc w:val="left"/>
            </w:pPr>
            <w:r>
              <w:t xml:space="preserve">Molecular weight</w:t>
            </w:r>
          </w:p>
        </w:tc>
      </w:tr>
      <w:tr>
        <w:tc>
          <w:p>
            <w:pPr>
              <w:pStyle w:val="Compact"/>
              <w:jc w:val="left"/>
            </w:pPr>
            <w:r>
              <w:t xml:space="preserve">r</w:t>
            </w:r>
          </w:p>
        </w:tc>
        <w:tc>
          <w:p>
            <w:pPr>
              <w:pStyle w:val="Compact"/>
              <w:jc w:val="left"/>
            </w:pPr>
            <w:r>
              <w:t xml:space="preserve">nm</w:t>
            </w:r>
          </w:p>
        </w:tc>
        <w:tc>
          <w:p>
            <w:pPr>
              <w:pStyle w:val="Compact"/>
              <w:jc w:val="left"/>
            </w:pPr>
            <w:r>
              <w:t xml:space="preserve">2.43</w:t>
            </w:r>
          </w:p>
        </w:tc>
        <w:tc>
          <w:p>
            <w:pPr>
              <w:pStyle w:val="Compact"/>
              <w:jc w:val="left"/>
            </w:pPr>
            <w:r>
              <w:t xml:space="preserve">calculated from MW</w:t>
            </w:r>
          </w:p>
        </w:tc>
        <w:tc>
          <w:p>
            <w:pPr>
              <w:pStyle w:val="Compact"/>
              <w:jc w:val="left"/>
            </w:pPr>
            <w:r>
              <w:t xml:space="preserve">Hydrodynamic solute radius. Calculated by empirical equation given in</w:t>
            </w:r>
            <w:r>
              <w:t xml:space="preserve"> </w:t>
            </w:r>
            <w:hyperlink w:anchor="Xa559bd5247f9128e74e6edcc17de37648e8cde6">
              <w:r>
                <w:rPr>
                  <w:rStyle w:val="Hyperlink"/>
                </w:rPr>
                <w:t xml:space="preserve">Niederalt2018</w:t>
              </w:r>
            </w:hyperlink>
            <w:r>
              <w:t xml:space="preserve">, supplemental material</w:t>
            </w:r>
          </w:p>
        </w:tc>
      </w:tr>
      <w:tr>
        <w:tc>
          <w:p>
            <w:pPr>
              <w:pStyle w:val="Compact"/>
              <w:jc w:val="left"/>
            </w:pPr>
            <w:r>
              <w:t xml:space="preserve">Kd (FcRn)</w:t>
            </w:r>
          </w:p>
        </w:tc>
        <w:tc>
          <w:p>
            <w:pPr>
              <w:pStyle w:val="Compact"/>
              <w:jc w:val="left"/>
            </w:pPr>
            <w:r>
              <w:t xml:space="preserve">µM</w:t>
            </w:r>
          </w:p>
        </w:tc>
        <w:tc>
          <w:p>
            <w:pPr>
              <w:pStyle w:val="Compact"/>
              <w:jc w:val="left"/>
            </w:pPr>
            <w:r>
              <w:t xml:space="preserve">999,999</w:t>
            </w:r>
          </w:p>
        </w:tc>
        <w:tc>
          <w:p/>
        </w:tc>
        <w:tc>
          <w:p>
            <w:pPr>
              <w:pStyle w:val="Compact"/>
              <w:jc w:val="left"/>
            </w:pPr>
            <w:r>
              <w:t xml:space="preserve">high value representing no FcRn binding</w:t>
            </w:r>
          </w:p>
        </w:tc>
      </w:tr>
    </w:tbl>
    <w:p>
      <w:pPr>
        <w:pStyle w:val="Heading3"/>
      </w:pPr>
      <w:bookmarkStart w:id="25" w:name="pk-data"/>
      <w:r>
        <w:t xml:space="preserve">PK Data</w:t>
      </w:r>
      <w:r>
        <w:t xml:space="preserve"> </w:t>
      </w:r>
      <w:bookmarkEnd w:id="25"/>
    </w:p>
    <w:p>
      <w:pPr>
        <w:pStyle w:val="FirstParagraph"/>
      </w:pPr>
      <w:r>
        <w:t xml:space="preserve">Published plasma and tissue PK data on dAb2 in mice were used.</w:t>
      </w:r>
    </w:p>
    <w:tbl>
      <w:tblPr>
        <w:tblStyle w:val="Table"/>
        <w:tblW w:type="pct" w:w="5000.0"/>
        <w:tblLook w:firstRow="1"/>
      </w:tblPr>
      <w:tblGrid>
        <w:gridCol w:w="2329"/>
        <w:gridCol w:w="5590"/>
      </w:tblGrid>
      <w:tr>
        <w:trPr>
          <w:cnfStyle w:firstRow="1"/>
        </w:trPr>
        <w:tc>
          <w:tcPr>
            <w:tcBorders>
              <w:bottom w:val="single"/>
            </w:tcBorders>
            <w:vAlign w:val="bottom"/>
          </w:tcPr>
          <w:p>
            <w:pPr>
              <w:pStyle w:val="Compact"/>
              <w:jc w:val="left"/>
            </w:pPr>
            <w:r>
              <w:t xml:space="preserve">Publication</w:t>
            </w:r>
          </w:p>
        </w:tc>
        <w:tc>
          <w:tcPr>
            <w:tcBorders>
              <w:bottom w:val="single"/>
            </w:tcBorders>
            <w:vAlign w:val="bottom"/>
          </w:tcPr>
          <w:p>
            <w:pPr>
              <w:pStyle w:val="Compact"/>
              <w:jc w:val="left"/>
            </w:pPr>
            <w:r>
              <w:t xml:space="preserve">Description</w:t>
            </w:r>
          </w:p>
        </w:tc>
      </w:tr>
      <w:tr>
        <w:tc>
          <w:p>
            <w:pPr>
              <w:pStyle w:val="Compact"/>
              <w:jc w:val="left"/>
            </w:pPr>
            <w:hyperlink w:anchor="Xa559bd5247f9128e74e6edcc17de37648e8cde6">
              <w:r>
                <w:rPr>
                  <w:rStyle w:val="Hyperlink"/>
                </w:rPr>
                <w:t xml:space="preserve">Sepp2015</w:t>
              </w:r>
            </w:hyperlink>
          </w:p>
        </w:tc>
        <w:tc>
          <w:p>
            <w:pPr>
              <w:pStyle w:val="Compact"/>
              <w:jc w:val="left"/>
            </w:pPr>
            <w:r>
              <w:t xml:space="preserve">Plasma and tissue PK data after an intravenous dose of dose of 10 mg/kg in mice. Tissue concentrations were analyzed using quantitative whole-body autoradiography. The concentrations were reported as percentage of injected dose / g tissue. These values were converted to concentrations in µg/ml assuming a density of 1 g/ml for all tissues except for bone for which a density of 1.5 g/ml was assumed (as in Ref.</w:t>
            </w:r>
            <w:r>
              <w:t xml:space="preserve"> </w:t>
            </w:r>
            <w:hyperlink w:anchor="Xa559bd5247f9128e74e6edcc17de37648e8cde6">
              <w:r>
                <w:rPr>
                  <w:rStyle w:val="Hyperlink"/>
                </w:rPr>
                <w:t xml:space="preserve">Baxter 1994</w:t>
              </w:r>
            </w:hyperlink>
            <w:r>
              <w:t xml:space="preserve">). Furthermore, a body weight of 29 g (i.e. a dose of 290 µg) was assumed for unit conversion of the experimental concentrations (body weight range reported: 26-33 g).</w:t>
            </w:r>
          </w:p>
        </w:tc>
      </w:tr>
    </w:tbl>
    <w:p>
      <w:pPr>
        <w:pStyle w:val="BodyText"/>
      </w:pPr>
    </w:p>
    <w:p>
      <w:pPr>
        <w:pStyle w:val="Heading2"/>
      </w:pPr>
      <w:bookmarkStart w:id="26" w:name="model-parameters-and-assumptions"/>
      <w:r>
        <w:t xml:space="preserve">Model Parameters and Assumptions</w:t>
      </w:r>
      <w:bookmarkEnd w:id="26"/>
    </w:p>
    <w:p>
      <w:pPr>
        <w:pStyle w:val="Heading3"/>
      </w:pPr>
      <w:bookmarkStart w:id="27" w:name="absorption"/>
      <w:r>
        <w:t xml:space="preserve">Absorption</w:t>
      </w:r>
      <w:r>
        <w:t xml:space="preserve"> </w:t>
      </w:r>
      <w:bookmarkEnd w:id="27"/>
    </w:p>
    <w:p>
      <w:pPr>
        <w:pStyle w:val="FirstParagraph"/>
      </w:pPr>
      <w:r>
        <w:t xml:space="preserve">There is no absorption process since dAb2 was administered intravenously.</w:t>
      </w:r>
    </w:p>
    <w:p>
      <w:pPr>
        <w:pStyle w:val="Heading3"/>
      </w:pPr>
      <w:bookmarkStart w:id="28" w:name="distribution"/>
      <w:r>
        <w:t xml:space="preserve">Distribution</w:t>
      </w:r>
      <w:r>
        <w:t xml:space="preserve"> </w:t>
      </w:r>
      <w:bookmarkEnd w:id="28"/>
    </w:p>
    <w:p>
      <w:pPr>
        <w:pStyle w:val="FirstParagraph"/>
      </w:pPr>
      <w:r>
        <w:t xml:space="preserve">The standard lymph and fluid recirculation flow rates and the standard vascular properties of the different tissues (hydraulic conductivity, pore radii, fraction of flow via large pores) from PK-Sim were used. dAb2, among other compounds, has been used to identify these lymph and fluid recirculation flow rates used in PK-Sim (</w:t>
      </w:r>
      <w:hyperlink w:anchor="Xa559bd5247f9128e74e6edcc17de37648e8cde6">
        <w:r>
          <w:rPr>
            <w:rStyle w:val="Hyperlink"/>
          </w:rPr>
          <w:t xml:space="preserve">Niederalt 2018</w:t>
        </w:r>
      </w:hyperlink>
      <w:r>
        <w:t xml:space="preserve">).</w:t>
      </w:r>
    </w:p>
    <w:p>
      <w:pPr>
        <w:pStyle w:val="Heading3"/>
      </w:pPr>
      <w:bookmarkStart w:id="29" w:name="metabolism-and-elimination"/>
      <w:r>
        <w:t xml:space="preserve">Metabolism and Elimination</w:t>
      </w:r>
      <w:r>
        <w:t xml:space="preserve"> </w:t>
      </w:r>
      <w:bookmarkEnd w:id="29"/>
    </w:p>
    <w:p>
      <w:pPr>
        <w:pStyle w:val="FirstParagraph"/>
      </w:pPr>
      <w:r>
        <w:t xml:space="preserve">dAb2 is predominantly renally eliminated by glomerular filtration (</w:t>
      </w:r>
      <w:hyperlink w:anchor="Xa559bd5247f9128e74e6edcc17de37648e8cde6">
        <w:r>
          <w:rPr>
            <w:rStyle w:val="Hyperlink"/>
          </w:rPr>
          <w:t xml:space="preserve">Sepp 2015</w:t>
        </w:r>
      </w:hyperlink>
      <w:r>
        <w:t xml:space="preserve">). Due to the molecular size of dAb2 the glomerular filtration is hindered and the glomerular filtration fraction was fitted. While being only of minor importance, the endosomal clearance process is present. The standard physiological parameters related to endosomal clearance were used (assuming no binding to FcRn).</w:t>
      </w:r>
    </w:p>
    <w:p>
      <w:pPr>
        <w:pStyle w:val="Heading3"/>
      </w:pPr>
      <w:bookmarkStart w:id="30" w:name="tissue-concentrations"/>
      <w:r>
        <w:t xml:space="preserve">Tissue Concentrations</w:t>
      </w:r>
      <w:r>
        <w:t xml:space="preserve"> </w:t>
      </w:r>
      <w:bookmarkEnd w:id="30"/>
    </w:p>
    <w:p>
      <w:pPr>
        <w:pStyle w:val="FirstParagraph"/>
      </w:pPr>
      <w:r>
        <w:t xml:space="preserve">For the comparison with experimental data, the parameters</w:t>
      </w:r>
      <w:r>
        <w:t xml:space="preserve"> </w:t>
      </w:r>
      <w:r>
        <w:rPr>
          <w:rStyle w:val="VerbatimChar"/>
        </w:rPr>
        <w:t xml:space="preserve">Fraction of blood for sampling</w:t>
      </w:r>
      <w:r>
        <w:t xml:space="preserve"> </w:t>
      </w:r>
      <w:r>
        <w:t xml:space="preserve">used in the Observer for the tissue concentrations were set for all organs to 0.42 for comparison with autoradiography data according to the fit results (across compounds) in Ref. (</w:t>
      </w:r>
      <w:hyperlink w:anchor="Xa559bd5247f9128e74e6edcc17de37648e8cde6">
        <w:r>
          <w:rPr>
            <w:rStyle w:val="Hyperlink"/>
          </w:rPr>
          <w:t xml:space="preserve">Niederalt 2018</w:t>
        </w:r>
      </w:hyperlink>
      <w:r>
        <w:t xml:space="preserve">). (The parameter</w:t>
      </w:r>
      <w:r>
        <w:t xml:space="preserve"> </w:t>
      </w:r>
      <w:r>
        <w:rPr>
          <w:rStyle w:val="VerbatimChar"/>
        </w:rPr>
        <w:t xml:space="preserve">Fraction of blood for sampling</w:t>
      </w:r>
      <w:r>
        <w:t xml:space="preserve"> </w:t>
      </w:r>
      <w:r>
        <w:t xml:space="preserve">specifies residual blood in tissue as ratio of blood volume contributing to the measured tissue concentration to the total in vivo capillary blood volume.)</w:t>
      </w:r>
    </w:p>
    <w:p>
      <w:pPr>
        <w:pStyle w:val="BodyText"/>
      </w:pPr>
      <w:r>
        <w:t xml:space="preserve">In the present evaluation report, the experimental gut concentrations were compared to simulated organ concentrations for small and large intestine separately in the goodness of fit plots as well as in the concentration-time profile plot.</w:t>
      </w:r>
    </w:p>
    <w:p>
      <w:pPr>
        <w:pStyle w:val="Heading3"/>
      </w:pPr>
      <w:bookmarkStart w:id="31" w:name="automated-parameter-identification"/>
      <w:r>
        <w:t xml:space="preserve">Automated Parameter Identification</w:t>
      </w:r>
      <w:r>
        <w:t xml:space="preserve"> </w:t>
      </w:r>
      <w:bookmarkEnd w:id="31"/>
    </w:p>
    <w:p>
      <w:pPr>
        <w:pStyle w:val="FirstParagraph"/>
      </w:pPr>
      <w:r>
        <w:t xml:space="preserve">The table shows the parameter values that were specified in the model based on the parameter identification reported in Ref. (</w:t>
      </w:r>
      <w:hyperlink w:anchor="Xa559bd5247f9128e74e6edcc17de37648e8cde6">
        <w:r>
          <w:rPr>
            <w:rStyle w:val="Hyperlink"/>
          </w:rPr>
          <w:t xml:space="preserve">Niederalt 2018</w:t>
        </w:r>
      </w:hyperlink>
      <w:r>
        <w:t xml:space="preserve">), and which were not included in the PK-Sim database since version 7.1.</w:t>
      </w:r>
    </w:p>
    <w:tbl>
      <w:tblPr>
        <w:tblStyle w:val="Table"/>
        <w:tblW w:type="pct" w:w="5000.0"/>
        <w:tblLook w:firstRow="1"/>
      </w:tblPr>
      <w:tblGrid>
        <w:gridCol w:w="6015"/>
        <w:gridCol w:w="1503"/>
        <w:gridCol w:w="401"/>
      </w:tblGrid>
      <w:tr>
        <w:trPr>
          <w:cnfStyle w:firstRow="1"/>
        </w:trPr>
        <w:tc>
          <w:tcPr>
            <w:tcBorders>
              <w:bottom w:val="single"/>
            </w:tcBorders>
            <w:vAlign w:val="bottom"/>
          </w:tcPr>
          <w:p>
            <w:pPr>
              <w:pStyle w:val="Compact"/>
              <w:jc w:val="left"/>
            </w:pPr>
            <w:r>
              <w:t xml:space="preserve">Model Parameter</w:t>
            </w:r>
          </w:p>
        </w:tc>
        <w:tc>
          <w:tcPr>
            <w:tcBorders>
              <w:bottom w:val="single"/>
            </w:tcBorders>
            <w:vAlign w:val="bottom"/>
          </w:tcPr>
          <w:p>
            <w:pPr>
              <w:pStyle w:val="Compact"/>
              <w:jc w:val="left"/>
            </w:pPr>
            <w:r>
              <w:t xml:space="preserve">Optimized Value</w:t>
            </w:r>
          </w:p>
        </w:tc>
        <w:tc>
          <w:tcPr>
            <w:tcBorders>
              <w:bottom w:val="single"/>
            </w:tcBorders>
            <w:vAlign w:val="bottom"/>
          </w:tcPr>
          <w:p>
            <w:pPr>
              <w:pStyle w:val="Compact"/>
              <w:jc w:val="left"/>
            </w:pPr>
            <w:r>
              <w:t xml:space="preserve">Unit</w:t>
            </w:r>
          </w:p>
        </w:tc>
      </w:tr>
      <w:tr>
        <w:tc>
          <w:p>
            <w:pPr>
              <w:pStyle w:val="Compact"/>
              <w:jc w:val="left"/>
            </w:pPr>
            <w:r>
              <w:rPr>
                <w:rStyle w:val="VerbatimChar"/>
              </w:rPr>
              <w:t xml:space="preserve">GFR fraction</w:t>
            </w:r>
            <w:r>
              <w:t xml:space="preserve"> </w:t>
            </w:r>
            <w:r>
              <w:t xml:space="preserve">(glomerular filtration rate fraction)</w:t>
            </w:r>
          </w:p>
        </w:tc>
        <w:tc>
          <w:p>
            <w:pPr>
              <w:pStyle w:val="Compact"/>
              <w:jc w:val="left"/>
            </w:pPr>
            <w:r>
              <w:t xml:space="preserve">0.24</w:t>
            </w:r>
          </w:p>
        </w:tc>
        <w:tc>
          <w:p>
            <w:pPr>
              <w:pStyle w:val="Compact"/>
              <w:jc w:val="left"/>
            </w:pPr>
            <w:r>
              <w:t xml:space="preserve">-</w:t>
            </w:r>
          </w:p>
        </w:tc>
      </w:tr>
      <w:tr>
        <w:tc>
          <w:p>
            <w:pPr>
              <w:pStyle w:val="Compact"/>
              <w:jc w:val="left"/>
            </w:pPr>
            <w:r>
              <w:rPr>
                <w:rStyle w:val="VerbatimChar"/>
              </w:rPr>
              <w:t xml:space="preserve">Fraction of blood for sampling</w:t>
            </w:r>
            <w:r>
              <w:t xml:space="preserve"> </w:t>
            </w:r>
            <w:r>
              <w:t xml:space="preserve">(all organs) - for comparison with autoradiography data</w:t>
            </w:r>
          </w:p>
        </w:tc>
        <w:tc>
          <w:p>
            <w:pPr>
              <w:pStyle w:val="Compact"/>
              <w:jc w:val="left"/>
            </w:pPr>
            <w:r>
              <w:t xml:space="preserve">0.42</w:t>
            </w:r>
          </w:p>
        </w:tc>
        <w:tc>
          <w:p/>
        </w:tc>
      </w:tr>
    </w:tbl>
    <w:p>
      <w:pPr>
        <w:pStyle w:val="BodyText"/>
      </w:pPr>
    </w:p>
    <w:p>
      <w:pPr>
        <w:pStyle w:val="Heading1"/>
      </w:pPr>
      <w:bookmarkStart w:id="32" w:name="results-and-discussion"/>
      <w:r>
        <w:t xml:space="preserve">Results and Discussion</w:t>
      </w:r>
      <w:bookmarkEnd w:id="32"/>
    </w:p>
    <w:p>
      <w:pPr>
        <w:pStyle w:val="FirstParagraph"/>
      </w:pPr>
      <w:r>
        <w:t xml:space="preserve">The PBPK model for dAb2 was evaluated with blood and tissue PK data in mice.</w:t>
      </w:r>
    </w:p>
    <w:p>
      <w:pPr>
        <w:pStyle w:val="BodyText"/>
      </w:pPr>
      <w:r>
        <w:t xml:space="preserve">These PK data (except for kidney) have been used together with PK data from 5 other compounds to simultaneously identify parameters during the development of the generic model for proteins and large molecules in PK-Sim (</w:t>
      </w:r>
      <w:hyperlink w:anchor="Xa559bd5247f9128e74e6edcc17de37648e8cde6">
        <w:r>
          <w:rPr>
            <w:rStyle w:val="Hyperlink"/>
          </w:rPr>
          <w:t xml:space="preserve">Niederalt 2018</w:t>
        </w:r>
      </w:hyperlink>
      <w:r>
        <w:t xml:space="preserve">).</w:t>
      </w:r>
    </w:p>
    <w:p>
      <w:pPr>
        <w:pStyle w:val="BodyText"/>
      </w:pPr>
      <w:r>
        <w:t xml:space="preserve">As expected, the kidney concentrations are considerably underestimated by the PBPK simulations. In the present PBPK model, the kidney has the same organ model structure as other organs. Thus, drug within the tubular fluid does not account to total kidney concentrations. Drug in tubular fluid is relevant for small proteins which are renally cleared by glomerular filtration. For these proteins, the representation of the kidney has to be extended in order to describe total kidney concentrations, see e.g. Sepp et. al. 2015 (</w:t>
      </w:r>
      <w:hyperlink w:anchor="Xa559bd5247f9128e74e6edcc17de37648e8cde6">
        <w:r>
          <w:rPr>
            <w:rStyle w:val="Hyperlink"/>
          </w:rPr>
          <w:t xml:space="preserve">Sepp 2015</w:t>
        </w:r>
      </w:hyperlink>
      <w:r>
        <w:t xml:space="preserve">).</w:t>
      </w:r>
    </w:p>
    <w:p>
      <w:pPr>
        <w:pStyle w:val="BodyText"/>
      </w:pPr>
      <w:r>
        <w:t xml:space="preserve">The next sections show:</w:t>
      </w:r>
    </w:p>
    <w:p>
      <w:pPr>
        <w:numPr>
          <w:ilvl w:val="0"/>
          <w:numId w:val="1001"/>
        </w:numPr>
        <w:pStyle w:val="Compact"/>
      </w:pPr>
      <w:r>
        <w:t xml:space="preserve">the final model parameters for the building blocks:</w:t>
      </w:r>
      <w:r>
        <w:t xml:space="preserve"> </w:t>
      </w:r>
      <w:hyperlink w:anchor="final-input-parameters">
        <w:r>
          <w:rPr>
            <w:rStyle w:val="Hyperlink"/>
          </w:rPr>
          <w:t xml:space="preserve">Section 3.1</w:t>
        </w:r>
      </w:hyperlink>
      <w:r>
        <w:t xml:space="preserve">.</w:t>
      </w:r>
    </w:p>
    <w:p>
      <w:pPr>
        <w:numPr>
          <w:ilvl w:val="0"/>
          <w:numId w:val="1001"/>
        </w:numPr>
        <w:pStyle w:val="Compact"/>
      </w:pPr>
      <w:r>
        <w:t xml:space="preserve">the overall goodness of fit:</w:t>
      </w:r>
      <w:r>
        <w:t xml:space="preserve"> </w:t>
      </w:r>
      <w:hyperlink w:anchor="diagnostics-plots">
        <w:r>
          <w:rPr>
            <w:rStyle w:val="Hyperlink"/>
          </w:rPr>
          <w:t xml:space="preserve">Section 3.2</w:t>
        </w:r>
      </w:hyperlink>
      <w:r>
        <w:t xml:space="preserve">.</w:t>
      </w:r>
    </w:p>
    <w:p>
      <w:pPr>
        <w:numPr>
          <w:ilvl w:val="0"/>
          <w:numId w:val="1001"/>
        </w:numPr>
        <w:pStyle w:val="Compact"/>
      </w:pPr>
      <w:r>
        <w:t xml:space="preserve">simulated vs. observed concentration-time profiles for the clinical studies used for model building and for model verification:</w:t>
      </w:r>
      <w:r>
        <w:t xml:space="preserve"> </w:t>
      </w:r>
      <w:hyperlink w:anchor="ct-profiles">
        <w:r>
          <w:rPr>
            <w:rStyle w:val="Hyperlink"/>
          </w:rPr>
          <w:t xml:space="preserve">Section 3.3</w:t>
        </w:r>
      </w:hyperlink>
      <w:r>
        <w:t xml:space="preserve">.</w:t>
      </w:r>
    </w:p>
    <w:p>
      <w:pPr>
        <w:pStyle w:val="FirstParagraph"/>
      </w:pPr>
    </w:p>
    <w:p>
      <w:pPr>
        <w:pStyle w:val="Heading2"/>
      </w:pPr>
      <w:bookmarkStart w:id="33" w:name="final-input-parameters"/>
      <w:r>
        <w:t xml:space="preserve">Final input parameters</w:t>
      </w:r>
      <w:bookmarkEnd w:id="33"/>
    </w:p>
    <w:p>
      <w:pPr>
        <w:pStyle w:val="FirstParagraph"/>
      </w:pPr>
      <w:r>
        <w:t xml:space="preserve">The compound parameter values of the final PBPK model are illustrated below.</w:t>
      </w:r>
    </w:p>
    <w:p>
      <w:pPr>
        <w:pStyle w:val="Heading3"/>
      </w:pPr>
      <w:bookmarkStart w:id="34" w:name="compound-dab2"/>
      <w:r>
        <w:t xml:space="preserve">Compound: dAb2</w:t>
      </w:r>
      <w:bookmarkEnd w:id="34"/>
    </w:p>
    <w:p>
      <w:pPr>
        <w:pStyle w:val="Heading4"/>
      </w:pPr>
      <w:bookmarkStart w:id="35" w:name="parameters"/>
      <w:r>
        <w:t xml:space="preserve">Parameters</w:t>
      </w:r>
      <w:bookmarkEnd w:id="35"/>
    </w:p>
    <w:tbl>
      <w:tblPr>
        <w:tblStyle w:val="Table"/>
        <w:tblW w:type="pct" w:w="5000.0"/>
        <w:tblLook w:firstRow="1"/>
      </w:tblPr>
      <w:tblGrid>
        <w:gridCol w:w="2843"/>
        <w:gridCol w:w="812"/>
        <w:gridCol w:w="3046"/>
        <w:gridCol w:w="744"/>
        <w:gridCol w:w="473"/>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c>
          <w:tcPr>
            <w:tcBorders>
              <w:bottom w:val="single"/>
            </w:tcBorders>
            <w:vAlign w:val="bottom"/>
          </w:tcPr>
          <w:p>
            <w:pPr>
              <w:pStyle w:val="Compact"/>
              <w:jc w:val="left"/>
            </w:pPr>
            <w:r>
              <w:t xml:space="preserve">Value Origin</w:t>
            </w:r>
          </w:p>
        </w:tc>
        <w:tc>
          <w:tcPr>
            <w:tcBorders>
              <w:bottom w:val="single"/>
            </w:tcBorders>
            <w:vAlign w:val="bottom"/>
          </w:tcPr>
          <w:p>
            <w:pPr>
              <w:pStyle w:val="Compact"/>
              <w:jc w:val="left"/>
            </w:pPr>
            <w:r>
              <w:t xml:space="preserve">Alternative</w:t>
            </w:r>
          </w:p>
        </w:tc>
        <w:tc>
          <w:tcPr>
            <w:tcBorders>
              <w:bottom w:val="single"/>
            </w:tcBorders>
            <w:vAlign w:val="bottom"/>
          </w:tcPr>
          <w:p>
            <w:pPr>
              <w:pStyle w:val="Compact"/>
              <w:jc w:val="left"/>
            </w:pPr>
            <w:r>
              <w:t xml:space="preserve">Default</w:t>
            </w:r>
          </w:p>
        </w:tc>
      </w:tr>
      <w:tr>
        <w:tc>
          <w:p>
            <w:pPr>
              <w:pStyle w:val="Compact"/>
              <w:jc w:val="left"/>
            </w:pPr>
            <w:r>
              <w:t xml:space="preserve">Solubility at reference pH</w:t>
            </w:r>
          </w:p>
        </w:tc>
        <w:tc>
          <w:p>
            <w:pPr>
              <w:pStyle w:val="Compact"/>
              <w:jc w:val="left"/>
            </w:pPr>
            <w:r>
              <w:t xml:space="preserve">9999 mg/l</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Reference pH</w:t>
            </w:r>
          </w:p>
        </w:tc>
        <w:tc>
          <w:p>
            <w:pPr>
              <w:pStyle w:val="Compact"/>
              <w:jc w:val="left"/>
            </w:pPr>
            <w:r>
              <w:t xml:space="preserve">7</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Lipophilicity</w:t>
            </w:r>
          </w:p>
        </w:tc>
        <w:tc>
          <w:p>
            <w:pPr>
              <w:pStyle w:val="Compact"/>
              <w:jc w:val="left"/>
            </w:pPr>
            <w:r>
              <w:t xml:space="preserve">-5 Log Units</w:t>
            </w:r>
          </w:p>
        </w:tc>
        <w:tc>
          <w:p>
            <w:pPr>
              <w:pStyle w:val="Compact"/>
              <w:jc w:val="left"/>
            </w:pPr>
            <w:r>
              <w:t xml:space="preserve">Other-/Dummy value not used in the simulation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Fraction unbound (plasma, reference value)</w:t>
            </w:r>
          </w:p>
        </w:tc>
        <w:tc>
          <w:p>
            <w:pPr>
              <w:pStyle w:val="Compact"/>
              <w:jc w:val="left"/>
            </w:pPr>
            <w:r>
              <w:t xml:space="preserve">1</w:t>
            </w:r>
          </w:p>
        </w:tc>
        <w:tc>
          <w:p>
            <w:pPr>
              <w:pStyle w:val="Compact"/>
              <w:jc w:val="left"/>
            </w:pPr>
            <w:r>
              <w:t xml:space="preserve">Other-Assumption</w:t>
            </w:r>
          </w:p>
        </w:tc>
        <w:tc>
          <w:p>
            <w:pPr>
              <w:pStyle w:val="Compact"/>
              <w:jc w:val="left"/>
            </w:pPr>
            <w:r>
              <w:t xml:space="preserve">Measurement</w:t>
            </w:r>
          </w:p>
        </w:tc>
        <w:tc>
          <w:p>
            <w:pPr>
              <w:pStyle w:val="Compact"/>
              <w:jc w:val="left"/>
            </w:pPr>
            <w:r>
              <w:t xml:space="preserve">True</w:t>
            </w:r>
          </w:p>
        </w:tc>
      </w:tr>
      <w:tr>
        <w:tc>
          <w:p>
            <w:pPr>
              <w:pStyle w:val="Compact"/>
              <w:jc w:val="left"/>
            </w:pPr>
            <w:r>
              <w:t xml:space="preserve">Is small molecule</w:t>
            </w:r>
          </w:p>
        </w:tc>
        <w:tc>
          <w:p>
            <w:pPr>
              <w:pStyle w:val="Compact"/>
              <w:jc w:val="left"/>
            </w:pPr>
            <w:r>
              <w:t xml:space="preserve">No</w:t>
            </w:r>
          </w:p>
        </w:tc>
        <w:tc>
          <w:p/>
        </w:tc>
        <w:tc>
          <w:p/>
        </w:tc>
        <w:tc>
          <w:p/>
        </w:tc>
      </w:tr>
      <w:tr>
        <w:tc>
          <w:p>
            <w:pPr>
              <w:pStyle w:val="Compact"/>
              <w:jc w:val="left"/>
            </w:pPr>
            <w:r>
              <w:t xml:space="preserve">Molecular weight</w:t>
            </w:r>
          </w:p>
        </w:tc>
        <w:tc>
          <w:p>
            <w:pPr>
              <w:pStyle w:val="Compact"/>
              <w:jc w:val="left"/>
            </w:pPr>
            <w:r>
              <w:t xml:space="preserve">25600 g/mol</w:t>
            </w:r>
          </w:p>
        </w:tc>
        <w:tc>
          <w:p>
            <w:pPr>
              <w:pStyle w:val="Compact"/>
              <w:jc w:val="left"/>
            </w:pPr>
            <w:r>
              <w:t xml:space="preserve">Publication-Sepp2015</w:t>
            </w:r>
          </w:p>
        </w:tc>
        <w:tc>
          <w:p/>
        </w:tc>
        <w:tc>
          <w:p/>
        </w:tc>
      </w:tr>
      <w:tr>
        <w:tc>
          <w:p>
            <w:pPr>
              <w:pStyle w:val="Compact"/>
              <w:jc w:val="left"/>
            </w:pPr>
            <w:r>
              <w:t xml:space="preserve">Plasma protein binding partner</w:t>
            </w:r>
          </w:p>
        </w:tc>
        <w:tc>
          <w:p>
            <w:pPr>
              <w:pStyle w:val="Compact"/>
              <w:jc w:val="left"/>
            </w:pPr>
            <w:r>
              <w:t xml:space="preserve">Unknown</w:t>
            </w:r>
          </w:p>
        </w:tc>
        <w:tc>
          <w:p/>
        </w:tc>
        <w:tc>
          <w:p/>
        </w:tc>
        <w:tc>
          <w:p/>
        </w:tc>
      </w:tr>
    </w:tbl>
    <w:p>
      <w:pPr>
        <w:pStyle w:val="Heading4"/>
      </w:pPr>
      <w:bookmarkStart w:id="36" w:name="calculation-methods"/>
      <w:r>
        <w:t xml:space="preserve">Calculation methods</w:t>
      </w:r>
      <w:bookmarkEnd w:id="36"/>
    </w:p>
    <w:tbl>
      <w:tblPr>
        <w:tblStyle w:val="Table"/>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Value</w:t>
            </w:r>
          </w:p>
        </w:tc>
      </w:tr>
      <w:tr>
        <w:tc>
          <w:p>
            <w:pPr>
              <w:pStyle w:val="Compact"/>
              <w:jc w:val="left"/>
            </w:pPr>
            <w:r>
              <w:t xml:space="preserve">Partition coefficients</w:t>
            </w:r>
          </w:p>
        </w:tc>
        <w:tc>
          <w:p>
            <w:pPr>
              <w:pStyle w:val="Compact"/>
              <w:jc w:val="left"/>
            </w:pPr>
            <w:r>
              <w:t xml:space="preserve">PK-Sim Standard</w:t>
            </w:r>
          </w:p>
        </w:tc>
      </w:tr>
      <w:tr>
        <w:tc>
          <w:p>
            <w:pPr>
              <w:pStyle w:val="Compact"/>
              <w:jc w:val="left"/>
            </w:pPr>
            <w:r>
              <w:t xml:space="preserve">Cellular permeabilities</w:t>
            </w:r>
          </w:p>
        </w:tc>
        <w:tc>
          <w:p>
            <w:pPr>
              <w:pStyle w:val="Compact"/>
              <w:jc w:val="left"/>
            </w:pPr>
            <w:r>
              <w:t xml:space="preserve">PK-Sim Standard</w:t>
            </w:r>
          </w:p>
        </w:tc>
      </w:tr>
    </w:tbl>
    <w:p>
      <w:pPr>
        <w:pStyle w:val="Heading4"/>
      </w:pPr>
      <w:bookmarkStart w:id="37" w:name="processes"/>
      <w:r>
        <w:t xml:space="preserve">Processes</w:t>
      </w:r>
      <w:bookmarkEnd w:id="37"/>
    </w:p>
    <w:p>
      <w:pPr>
        <w:pStyle w:val="Heading5"/>
      </w:pPr>
      <w:bookmarkStart w:id="38" w:name="Xfbb585bd3ea04ad12af4aaaab2c22095455c854"/>
      <w:r>
        <w:t xml:space="preserve">Systemic Process: Glomerular Filtration-GFR</w:t>
      </w:r>
      <w:bookmarkEnd w:id="38"/>
    </w:p>
    <w:p>
      <w:pPr>
        <w:pStyle w:val="FirstParagraph"/>
      </w:pPr>
      <w:r>
        <w:t xml:space="preserve">Species: Mouse</w:t>
      </w:r>
    </w:p>
    <w:p>
      <w:pPr>
        <w:pStyle w:val="Heading6"/>
      </w:pPr>
      <w:bookmarkStart w:id="39" w:name="parameters-1"/>
      <w:r>
        <w:t xml:space="preserve">Parameters</w:t>
      </w:r>
      <w:bookmarkEnd w:id="39"/>
    </w:p>
    <w:tbl>
      <w:tblPr>
        <w:tblStyle w:val="Table"/>
        <w:tblW w:type="pct" w:w="0.0"/>
        <w:tblLook w:firstRow="1"/>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right"/>
            </w:pPr>
            <w:r>
              <w:t xml:space="preserve">Value</w:t>
            </w:r>
          </w:p>
        </w:tc>
        <w:tc>
          <w:tcPr>
            <w:tcBorders>
              <w:bottom w:val="single"/>
            </w:tcBorders>
            <w:vAlign w:val="bottom"/>
          </w:tcPr>
          <w:p>
            <w:pPr>
              <w:pStyle w:val="Compact"/>
              <w:jc w:val="left"/>
            </w:pPr>
            <w:r>
              <w:t xml:space="preserve">Value Origin</w:t>
            </w:r>
          </w:p>
        </w:tc>
      </w:tr>
      <w:tr>
        <w:tc>
          <w:p>
            <w:pPr>
              <w:pStyle w:val="Compact"/>
              <w:jc w:val="left"/>
            </w:pPr>
            <w:r>
              <w:t xml:space="preserve">GFR fraction</w:t>
            </w:r>
          </w:p>
        </w:tc>
        <w:tc>
          <w:p>
            <w:pPr>
              <w:pStyle w:val="Compact"/>
              <w:jc w:val="right"/>
            </w:pPr>
            <w:r>
              <w:t xml:space="preserve">0.24</w:t>
            </w:r>
          </w:p>
        </w:tc>
        <w:tc>
          <w:p>
            <w:pPr>
              <w:pStyle w:val="Compact"/>
              <w:jc w:val="left"/>
            </w:pPr>
            <w:r>
              <w:t xml:space="preserve">Parameter Identification</w:t>
            </w:r>
          </w:p>
        </w:tc>
      </w:tr>
    </w:tbl>
    <w:p>
      <w:pPr>
        <w:pStyle w:val="BodyText"/>
      </w:pPr>
    </w:p>
    <w:p>
      <w:pPr>
        <w:pStyle w:val="Heading2"/>
      </w:pPr>
      <w:bookmarkStart w:id="40" w:name="diagnostics-plots"/>
      <w:r>
        <w:t xml:space="preserve">Diagnostics Plots</w:t>
      </w:r>
      <w:bookmarkEnd w:id="40"/>
    </w:p>
    <w:p>
      <w:pPr>
        <w:pStyle w:val="FirstParagraph"/>
      </w:pPr>
      <w:r>
        <w:t xml:space="preserve">Below you find the goodness-of-fit visual diagnostic plots for the PBPK model performance of all data used presented in</w:t>
      </w:r>
      <w:r>
        <w:t xml:space="preserve"> </w:t>
      </w:r>
      <w:hyperlink w:anchor="PK-data">
        <w:r>
          <w:rPr>
            <w:rStyle w:val="Hyperlink"/>
          </w:rPr>
          <w:t xml:space="preserve">Section 2.2.2</w:t>
        </w:r>
      </w:hyperlink>
      <w:r>
        <w:t xml:space="preserve">.</w:t>
      </w:r>
    </w:p>
    <w:p>
      <w:pPr>
        <w:pStyle w:val="BodyText"/>
      </w:pPr>
      <w:r>
        <w:t xml:space="preserve">The first plot shows observed versus simulated plasma concentration, the second weighted residuals versus time.</w:t>
      </w:r>
    </w:p>
    <w:p>
      <w:r>
        <w:br w:type="page"/>
      </w:r>
      <w:r>
        <w:bookmarkStart w:id="table-3-1" w:name="table-3-1"/>
        <w:bookmarkEnd w:id="table-3-1"/>
      </w:r>
    </w:p>
    <w:p>
      <w:pPr>
        <w:pStyle w:val="BodyText"/>
      </w:pPr>
    </w:p>
    <w:p>
      <w:pPr>
        <w:pStyle w:val="BodyText"/>
      </w:pPr>
      <w:r>
        <w:rPr>
          <w:b/>
        </w:rPr>
        <w:t xml:space="preserve">Table 3-1: GMFE for Goodness of fit plot for concentration in blood and tissues</w:t>
      </w:r>
    </w:p>
    <w:tbl>
      <w:tblPr>
        <w:tblStyle w:val="Table"/>
        <w:tblW w:type="pct" w:w="0.0"/>
        <w:tblLook w:firstRow="1"/>
      </w:tblPr>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GMFE</w:t>
            </w:r>
          </w:p>
        </w:tc>
      </w:tr>
      <w:tr>
        <w:tc>
          <w:p>
            <w:pPr>
              <w:pStyle w:val="Compact"/>
              <w:jc w:val="left"/>
            </w:pPr>
            <w:r>
              <w:t xml:space="preserve">Blood and tissue concentrations - except kidney</w:t>
            </w:r>
          </w:p>
        </w:tc>
        <w:tc>
          <w:p>
            <w:pPr>
              <w:pStyle w:val="Compact"/>
              <w:jc w:val="left"/>
            </w:pPr>
            <w:r>
              <w:t xml:space="preserve">1.89e+00</w:t>
            </w:r>
          </w:p>
        </w:tc>
      </w:tr>
      <w:tr>
        <w:tc>
          <w:p>
            <w:pPr>
              <w:pStyle w:val="Compact"/>
              <w:jc w:val="left"/>
            </w:pPr>
            <w:r>
              <w:t xml:space="preserve">Kidney tissue concentrations</w:t>
            </w:r>
          </w:p>
        </w:tc>
        <w:tc>
          <w:p>
            <w:pPr>
              <w:pStyle w:val="Compact"/>
              <w:jc w:val="left"/>
            </w:pPr>
            <w:r>
              <w:t xml:space="preserve">2.32e+01</w:t>
            </w:r>
          </w:p>
        </w:tc>
      </w:tr>
      <w:tr>
        <w:tc>
          <w:p>
            <w:pPr>
              <w:pStyle w:val="Compact"/>
              <w:jc w:val="left"/>
            </w:pPr>
            <w:r>
              <w:t xml:space="preserve">All</w:t>
            </w:r>
          </w:p>
        </w:tc>
        <w:tc>
          <w:p>
            <w:pPr>
              <w:pStyle w:val="Compact"/>
              <w:jc w:val="left"/>
            </w:pPr>
            <w:r>
              <w:t xml:space="preserve">2.29e+00</w:t>
            </w:r>
          </w:p>
        </w:tc>
      </w:tr>
    </w:tbl>
    <w:p>
      <w:pPr>
        <w:pStyle w:val="BodyText"/>
      </w:pPr>
      <w:r>
        <w:t xml:space="preserve"> </w:t>
      </w:r>
    </w:p>
    <w:p>
      <w:r>
        <w:br w:type="page"/>
      </w:r>
      <w:r>
        <w:bookmarkStart w:id="figure-3-1" w:name="figure-3-1"/>
        <w:bookmarkEnd w:id="figure-3-1"/>
      </w:r>
    </w:p>
    <w:p>
      <w:pPr>
        <w:pStyle w:val="BodyText"/>
      </w:pPr>
    </w:p>
    <w:p>
      <w:pPr>
        <w:pStyle w:val="BodyText"/>
      </w:pPr>
      <w:r>
        <w:rPr>
          <w:b/>
        </w:rPr>
        <w:t xml:space="preserve">Figure 3-1: Goodness of fit plot for concentration in blood and tissues</w:t>
      </w:r>
    </w:p>
    <w:p>
      <w:pPr>
        <w:pStyle w:val="BodyText"/>
      </w:pPr>
      <w:r>
        <w:drawing>
          <wp:inline>
            <wp:extent cx="5969000" cy="6419009"/>
            <wp:effectExtent b="0" l="0" r="0" t="0"/>
            <wp:docPr descr="" title="" id="1" name="Picture"/>
            <a:graphic>
              <a:graphicData uri="http://schemas.openxmlformats.org/drawingml/2006/picture">
                <pic:pic>
                  <pic:nvPicPr>
                    <pic:cNvPr descr="images/006_section_results-and-discussion/008_section_diagnostics-plots/2_gof_plot_predictedVsObserved.png" id="0" name="Picture"/>
                    <pic:cNvPicPr>
                      <a:picLocks noChangeArrowheads="1" noChangeAspect="1"/>
                    </pic:cNvPicPr>
                  </pic:nvPicPr>
                  <pic:blipFill>
                    <a:blip r:embed="rId41"/>
                    <a:stretch>
                      <a:fillRect/>
                    </a:stretch>
                  </pic:blipFill>
                  <pic:spPr bwMode="auto">
                    <a:xfrm>
                      <a:off x="0" y="0"/>
                      <a:ext cx="5969000" cy="6419009"/>
                    </a:xfrm>
                    <a:prstGeom prst="rect">
                      <a:avLst/>
                    </a:prstGeom>
                    <a:noFill/>
                    <a:ln w="9525">
                      <a:noFill/>
                      <a:headEnd/>
                      <a:tailEnd/>
                    </a:ln>
                  </pic:spPr>
                </pic:pic>
              </a:graphicData>
            </a:graphic>
          </wp:inline>
        </w:drawing>
      </w:r>
    </w:p>
    <w:p>
      <w:pPr>
        <w:pStyle w:val="BodyText"/>
      </w:pPr>
      <w:r>
        <w:t xml:space="preserve"> </w:t>
      </w:r>
    </w:p>
    <w:p>
      <w:r>
        <w:br w:type="page"/>
      </w:r>
      <w:r>
        <w:bookmarkStart w:id="figure-3-2" w:name="figure-3-2"/>
        <w:bookmarkEnd w:id="figure-3-2"/>
      </w:r>
    </w:p>
    <w:p>
      <w:pPr>
        <w:pStyle w:val="BodyText"/>
      </w:pPr>
    </w:p>
    <w:p>
      <w:pPr>
        <w:pStyle w:val="BodyText"/>
      </w:pPr>
      <w:r>
        <w:rPr>
          <w:b/>
        </w:rPr>
        <w:t xml:space="preserve">Figure 3-2: Goodness of fit plot for concentration in blood and tissues</w:t>
      </w:r>
    </w:p>
    <w:p>
      <w:pPr>
        <w:pStyle w:val="BodyText"/>
      </w:pPr>
      <w:r>
        <w:drawing>
          <wp:inline>
            <wp:extent cx="5969000" cy="4225096"/>
            <wp:effectExtent b="0" l="0" r="0" t="0"/>
            <wp:docPr descr="" title="" id="1" name="Picture"/>
            <a:graphic>
              <a:graphicData uri="http://schemas.openxmlformats.org/drawingml/2006/picture">
                <pic:pic>
                  <pic:nvPicPr>
                    <pic:cNvPr descr="images/006_section_results-and-discussion/008_section_diagnostics-plots/3_gof_plot_residualsOverTime.png" id="0" name="Picture"/>
                    <pic:cNvPicPr>
                      <a:picLocks noChangeArrowheads="1" noChangeAspect="1"/>
                    </pic:cNvPicPr>
                  </pic:nvPicPr>
                  <pic:blipFill>
                    <a:blip r:embed="rId42"/>
                    <a:stretch>
                      <a:fillRect/>
                    </a:stretch>
                  </pic:blipFill>
                  <pic:spPr bwMode="auto">
                    <a:xfrm>
                      <a:off x="0" y="0"/>
                      <a:ext cx="5969000" cy="4225096"/>
                    </a:xfrm>
                    <a:prstGeom prst="rect">
                      <a:avLst/>
                    </a:prstGeom>
                    <a:noFill/>
                    <a:ln w="9525">
                      <a:noFill/>
                      <a:headEnd/>
                      <a:tailEnd/>
                    </a:ln>
                  </pic:spPr>
                </pic:pic>
              </a:graphicData>
            </a:graphic>
          </wp:inline>
        </w:drawing>
      </w:r>
    </w:p>
    <w:p>
      <w:pPr>
        <w:pStyle w:val="BodyText"/>
      </w:pPr>
      <w:r>
        <w:t xml:space="preserve"> </w:t>
      </w:r>
    </w:p>
    <w:p>
      <w:pPr>
        <w:pStyle w:val="BodyText"/>
      </w:pPr>
    </w:p>
    <w:p>
      <w:pPr>
        <w:pStyle w:val="Heading2"/>
      </w:pPr>
      <w:bookmarkStart w:id="43" w:name="concentration-time-profiles"/>
      <w:r>
        <w:t xml:space="preserve">Concentration-Time Profiles</w:t>
      </w:r>
      <w:bookmarkEnd w:id="43"/>
    </w:p>
    <w:p>
      <w:pPr>
        <w:pStyle w:val="FirstParagraph"/>
      </w:pPr>
      <w:r>
        <w:t xml:space="preserve">Simulated versus observed concentration-time profiles of all data listed in</w:t>
      </w:r>
      <w:r>
        <w:t xml:space="preserve"> </w:t>
      </w:r>
      <w:hyperlink w:anchor="PK-data">
        <w:r>
          <w:rPr>
            <w:rStyle w:val="Hyperlink"/>
          </w:rPr>
          <w:t xml:space="preserve">Section 2.2.2</w:t>
        </w:r>
      </w:hyperlink>
      <w:r>
        <w:t xml:space="preserve"> </w:t>
      </w:r>
      <w:r>
        <w:t xml:space="preserve">are presented below.</w:t>
      </w:r>
    </w:p>
    <w:p>
      <w:r>
        <w:br w:type="page"/>
      </w:r>
      <w:r>
        <w:bookmarkStart w:id="figure-3-3" w:name="figure-3-3"/>
        <w:bookmarkEnd w:id="figure-3-3"/>
      </w:r>
    </w:p>
    <w:p>
      <w:pPr>
        <w:pStyle w:val="BodyText"/>
      </w:pPr>
    </w:p>
    <w:p>
      <w:pPr>
        <w:pStyle w:val="BodyText"/>
      </w:pPr>
      <w:r>
        <w:rPr>
          <w:b/>
        </w:rPr>
        <w:t xml:space="preserve">Figure 3-3: Blood - lin scale</w:t>
      </w:r>
    </w:p>
    <w:p>
      <w:pPr>
        <w:pStyle w:val="BodyText"/>
      </w:pPr>
      <w:r>
        <w:drawing>
          <wp:inline>
            <wp:extent cx="5969000" cy="5325303"/>
            <wp:effectExtent b="0" l="0" r="0" t="0"/>
            <wp:docPr descr="" title="" id="1" name="Picture"/>
            <a:graphic>
              <a:graphicData uri="http://schemas.openxmlformats.org/drawingml/2006/picture">
                <pic:pic>
                  <pic:nvPicPr>
                    <pic:cNvPr descr="images/006_section_results-and-discussion/009_section_ct-profiles/1_time_profile_plot_dAb2_dAb2_Sim.png" id="0" name="Picture"/>
                    <pic:cNvPicPr>
                      <a:picLocks noChangeArrowheads="1" noChangeAspect="1"/>
                    </pic:cNvPicPr>
                  </pic:nvPicPr>
                  <pic:blipFill>
                    <a:blip r:embed="rId44"/>
                    <a:stretch>
                      <a:fillRect/>
                    </a:stretch>
                  </pic:blipFill>
                  <pic:spPr bwMode="auto">
                    <a:xfrm>
                      <a:off x="0" y="0"/>
                      <a:ext cx="5969000" cy="5325303"/>
                    </a:xfrm>
                    <a:prstGeom prst="rect">
                      <a:avLst/>
                    </a:prstGeom>
                    <a:noFill/>
                    <a:ln w="9525">
                      <a:noFill/>
                      <a:headEnd/>
                      <a:tailEnd/>
                    </a:ln>
                  </pic:spPr>
                </pic:pic>
              </a:graphicData>
            </a:graphic>
          </wp:inline>
        </w:drawing>
      </w:r>
    </w:p>
    <w:p>
      <w:pPr>
        <w:pStyle w:val="BodyText"/>
      </w:pPr>
      <w:r>
        <w:t xml:space="preserve"> </w:t>
      </w:r>
    </w:p>
    <w:p>
      <w:r>
        <w:br w:type="page"/>
      </w:r>
      <w:r>
        <w:bookmarkStart w:id="figure-3-4" w:name="figure-3-4"/>
        <w:bookmarkEnd w:id="figure-3-4"/>
      </w:r>
    </w:p>
    <w:p>
      <w:pPr>
        <w:pStyle w:val="BodyText"/>
      </w:pPr>
    </w:p>
    <w:p>
      <w:pPr>
        <w:pStyle w:val="BodyText"/>
      </w:pPr>
      <w:r>
        <w:rPr>
          <w:b/>
        </w:rPr>
        <w:t xml:space="preserve">Figure 3-4: Blood - log scale</w:t>
      </w:r>
    </w:p>
    <w:p>
      <w:pPr>
        <w:pStyle w:val="BodyText"/>
      </w:pPr>
      <w:r>
        <w:drawing>
          <wp:inline>
            <wp:extent cx="5969000" cy="5325303"/>
            <wp:effectExtent b="0" l="0" r="0" t="0"/>
            <wp:docPr descr="" title="" id="1" name="Picture"/>
            <a:graphic>
              <a:graphicData uri="http://schemas.openxmlformats.org/drawingml/2006/picture">
                <pic:pic>
                  <pic:nvPicPr>
                    <pic:cNvPr descr="images/006_section_results-and-discussion/009_section_ct-profiles/2_time_profile_plot_dAb2_dAb2_Sim.png" id="0" name="Picture"/>
                    <pic:cNvPicPr>
                      <a:picLocks noChangeArrowheads="1" noChangeAspect="1"/>
                    </pic:cNvPicPr>
                  </pic:nvPicPr>
                  <pic:blipFill>
                    <a:blip r:embed="rId45"/>
                    <a:stretch>
                      <a:fillRect/>
                    </a:stretch>
                  </pic:blipFill>
                  <pic:spPr bwMode="auto">
                    <a:xfrm>
                      <a:off x="0" y="0"/>
                      <a:ext cx="5969000" cy="5325303"/>
                    </a:xfrm>
                    <a:prstGeom prst="rect">
                      <a:avLst/>
                    </a:prstGeom>
                    <a:noFill/>
                    <a:ln w="9525">
                      <a:noFill/>
                      <a:headEnd/>
                      <a:tailEnd/>
                    </a:ln>
                  </pic:spPr>
                </pic:pic>
              </a:graphicData>
            </a:graphic>
          </wp:inline>
        </w:drawing>
      </w:r>
    </w:p>
    <w:p>
      <w:pPr>
        <w:pStyle w:val="BodyText"/>
      </w:pPr>
      <w:r>
        <w:t xml:space="preserve"> </w:t>
      </w:r>
    </w:p>
    <w:p>
      <w:r>
        <w:br w:type="page"/>
      </w:r>
      <w:r>
        <w:bookmarkStart w:id="figure-3-5" w:name="figure-3-5"/>
        <w:bookmarkEnd w:id="figure-3-5"/>
      </w:r>
    </w:p>
    <w:p>
      <w:pPr>
        <w:pStyle w:val="BodyText"/>
      </w:pPr>
    </w:p>
    <w:p>
      <w:pPr>
        <w:pStyle w:val="BodyText"/>
      </w:pPr>
      <w:r>
        <w:rPr>
          <w:b/>
        </w:rPr>
        <w:t xml:space="preserve">Figure 3-5: Lung</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3_time_profile_plot_dAb2_dAb2_Sim.png" id="0" name="Picture"/>
                    <pic:cNvPicPr>
                      <a:picLocks noChangeArrowheads="1" noChangeAspect="1"/>
                    </pic:cNvPicPr>
                  </pic:nvPicPr>
                  <pic:blipFill>
                    <a:blip r:embed="rId46"/>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6" w:name="figure-3-6"/>
        <w:bookmarkEnd w:id="figure-3-6"/>
      </w:r>
    </w:p>
    <w:p>
      <w:pPr>
        <w:pStyle w:val="BodyText"/>
      </w:pPr>
    </w:p>
    <w:p>
      <w:pPr>
        <w:pStyle w:val="BodyText"/>
      </w:pPr>
      <w:r>
        <w:rPr>
          <w:b/>
        </w:rPr>
        <w:t xml:space="preserve">Figure 3-6: Skin</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4_time_profile_plot_dAb2_dAb2_Sim.png" id="0" name="Picture"/>
                    <pic:cNvPicPr>
                      <a:picLocks noChangeArrowheads="1" noChangeAspect="1"/>
                    </pic:cNvPicPr>
                  </pic:nvPicPr>
                  <pic:blipFill>
                    <a:blip r:embed="rId47"/>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7" w:name="figure-3-7"/>
        <w:bookmarkEnd w:id="figure-3-7"/>
      </w:r>
    </w:p>
    <w:p>
      <w:pPr>
        <w:pStyle w:val="BodyText"/>
      </w:pPr>
    </w:p>
    <w:p>
      <w:pPr>
        <w:pStyle w:val="BodyText"/>
      </w:pPr>
      <w:r>
        <w:rPr>
          <w:b/>
        </w:rPr>
        <w:t xml:space="preserve">Figure 3-7: Muscle</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5_time_profile_plot_dAb2_dAb2_Sim.png" id="0" name="Picture"/>
                    <pic:cNvPicPr>
                      <a:picLocks noChangeArrowheads="1" noChangeAspect="1"/>
                    </pic:cNvPicPr>
                  </pic:nvPicPr>
                  <pic:blipFill>
                    <a:blip r:embed="rId48"/>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8" w:name="figure-3-8"/>
        <w:bookmarkEnd w:id="figure-3-8"/>
      </w:r>
    </w:p>
    <w:p>
      <w:pPr>
        <w:pStyle w:val="BodyText"/>
      </w:pPr>
    </w:p>
    <w:p>
      <w:pPr>
        <w:pStyle w:val="BodyText"/>
      </w:pPr>
      <w:r>
        <w:rPr>
          <w:b/>
        </w:rPr>
        <w:t xml:space="preserve">Figure 3-8: Spleen</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6_time_profile_plot_dAb2_dAb2_Sim.png" id="0" name="Picture"/>
                    <pic:cNvPicPr>
                      <a:picLocks noChangeArrowheads="1" noChangeAspect="1"/>
                    </pic:cNvPicPr>
                  </pic:nvPicPr>
                  <pic:blipFill>
                    <a:blip r:embed="rId49"/>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9" w:name="figure-3-9"/>
        <w:bookmarkEnd w:id="figure-3-9"/>
      </w:r>
    </w:p>
    <w:p>
      <w:pPr>
        <w:pStyle w:val="BodyText"/>
      </w:pPr>
    </w:p>
    <w:p>
      <w:pPr>
        <w:pStyle w:val="BodyText"/>
      </w:pPr>
      <w:r>
        <w:rPr>
          <w:b/>
        </w:rPr>
        <w:t xml:space="preserve">Figure 3-9: Liver</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7_time_profile_plot_dAb2_dAb2_Sim.png" id="0" name="Picture"/>
                    <pic:cNvPicPr>
                      <a:picLocks noChangeArrowheads="1" noChangeAspect="1"/>
                    </pic:cNvPicPr>
                  </pic:nvPicPr>
                  <pic:blipFill>
                    <a:blip r:embed="rId50"/>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10" w:name="figure-3-10"/>
        <w:bookmarkEnd w:id="figure-3-10"/>
      </w:r>
    </w:p>
    <w:p>
      <w:pPr>
        <w:pStyle w:val="BodyText"/>
      </w:pPr>
    </w:p>
    <w:p>
      <w:pPr>
        <w:pStyle w:val="BodyText"/>
      </w:pPr>
      <w:r>
        <w:rPr>
          <w:b/>
        </w:rPr>
        <w:t xml:space="preserve">Figure 3-10: Heart</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8_time_profile_plot_dAb2_dAb2_Sim.png" id="0" name="Picture"/>
                    <pic:cNvPicPr>
                      <a:picLocks noChangeArrowheads="1" noChangeAspect="1"/>
                    </pic:cNvPicPr>
                  </pic:nvPicPr>
                  <pic:blipFill>
                    <a:blip r:embed="rId51"/>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11" w:name="figure-3-11"/>
        <w:bookmarkEnd w:id="figure-3-11"/>
      </w:r>
    </w:p>
    <w:p>
      <w:pPr>
        <w:pStyle w:val="BodyText"/>
      </w:pPr>
    </w:p>
    <w:p>
      <w:pPr>
        <w:pStyle w:val="BodyText"/>
      </w:pPr>
      <w:r>
        <w:rPr>
          <w:b/>
        </w:rPr>
        <w:t xml:space="preserve">Figure 3-11: Bone</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9_time_profile_plot_dAb2_dAb2_Sim.png" id="0" name="Picture"/>
                    <pic:cNvPicPr>
                      <a:picLocks noChangeArrowheads="1" noChangeAspect="1"/>
                    </pic:cNvPicPr>
                  </pic:nvPicPr>
                  <pic:blipFill>
                    <a:blip r:embed="rId52"/>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12" w:name="figure-3-12"/>
        <w:bookmarkEnd w:id="figure-3-12"/>
      </w:r>
    </w:p>
    <w:p>
      <w:pPr>
        <w:pStyle w:val="BodyText"/>
      </w:pPr>
    </w:p>
    <w:p>
      <w:pPr>
        <w:pStyle w:val="BodyText"/>
      </w:pPr>
      <w:r>
        <w:rPr>
          <w:b/>
        </w:rPr>
        <w:t xml:space="preserve">Figure 3-12: Intestine</w:t>
      </w:r>
    </w:p>
    <w:p>
      <w:pPr>
        <w:pStyle w:val="BodyText"/>
      </w:pPr>
      <w:r>
        <w:drawing>
          <wp:inline>
            <wp:extent cx="5969000" cy="4876434"/>
            <wp:effectExtent b="0" l="0" r="0" t="0"/>
            <wp:docPr descr="" title="" id="1" name="Picture"/>
            <a:graphic>
              <a:graphicData uri="http://schemas.openxmlformats.org/drawingml/2006/picture">
                <pic:pic>
                  <pic:nvPicPr>
                    <pic:cNvPr descr="images/006_section_results-and-discussion/009_section_ct-profiles/10_time_profile_plot_dAb2_dAb2_Sim.png" id="0" name="Picture"/>
                    <pic:cNvPicPr>
                      <a:picLocks noChangeArrowheads="1" noChangeAspect="1"/>
                    </pic:cNvPicPr>
                  </pic:nvPicPr>
                  <pic:blipFill>
                    <a:blip r:embed="rId53"/>
                    <a:stretch>
                      <a:fillRect/>
                    </a:stretch>
                  </pic:blipFill>
                  <pic:spPr bwMode="auto">
                    <a:xfrm>
                      <a:off x="0" y="0"/>
                      <a:ext cx="5969000" cy="4876434"/>
                    </a:xfrm>
                    <a:prstGeom prst="rect">
                      <a:avLst/>
                    </a:prstGeom>
                    <a:noFill/>
                    <a:ln w="9525">
                      <a:noFill/>
                      <a:headEnd/>
                      <a:tailEnd/>
                    </a:ln>
                  </pic:spPr>
                </pic:pic>
              </a:graphicData>
            </a:graphic>
          </wp:inline>
        </w:drawing>
      </w:r>
    </w:p>
    <w:p>
      <w:pPr>
        <w:pStyle w:val="BodyText"/>
      </w:pPr>
      <w:r>
        <w:t xml:space="preserve"> </w:t>
      </w:r>
    </w:p>
    <w:p>
      <w:r>
        <w:br w:type="page"/>
      </w:r>
      <w:r>
        <w:bookmarkStart w:id="figure-3-13" w:name="figure-3-13"/>
        <w:bookmarkEnd w:id="figure-3-13"/>
      </w:r>
    </w:p>
    <w:p>
      <w:pPr>
        <w:pStyle w:val="BodyText"/>
      </w:pPr>
    </w:p>
    <w:p>
      <w:pPr>
        <w:pStyle w:val="BodyText"/>
      </w:pPr>
      <w:r>
        <w:rPr>
          <w:b/>
        </w:rPr>
        <w:t xml:space="preserve">Figure 3-13: Brain</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11_time_profile_plot_dAb2_dAb2_Sim.png" id="0" name="Picture"/>
                    <pic:cNvPicPr>
                      <a:picLocks noChangeArrowheads="1" noChangeAspect="1"/>
                    </pic:cNvPicPr>
                  </pic:nvPicPr>
                  <pic:blipFill>
                    <a:blip r:embed="rId54"/>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r>
        <w:br w:type="page"/>
      </w:r>
      <w:r>
        <w:bookmarkStart w:id="figure-3-14" w:name="figure-3-14"/>
        <w:bookmarkEnd w:id="figure-3-14"/>
      </w:r>
    </w:p>
    <w:p>
      <w:pPr>
        <w:pStyle w:val="BodyText"/>
      </w:pPr>
    </w:p>
    <w:p>
      <w:pPr>
        <w:pStyle w:val="BodyText"/>
      </w:pPr>
      <w:r>
        <w:rPr>
          <w:b/>
        </w:rPr>
        <w:t xml:space="preserve">Figure 3-14: Kidney - log scale</w:t>
      </w:r>
    </w:p>
    <w:p>
      <w:pPr>
        <w:pStyle w:val="BodyText"/>
      </w:pPr>
      <w:r>
        <w:drawing>
          <wp:inline>
            <wp:extent cx="5969000" cy="4500148"/>
            <wp:effectExtent b="0" l="0" r="0" t="0"/>
            <wp:docPr descr="" title="" id="1" name="Picture"/>
            <a:graphic>
              <a:graphicData uri="http://schemas.openxmlformats.org/drawingml/2006/picture">
                <pic:pic>
                  <pic:nvPicPr>
                    <pic:cNvPr descr="images/006_section_results-and-discussion/009_section_ct-profiles/12_time_profile_plot_dAb2_dAb2_Sim_Kidney.png" id="0" name="Picture"/>
                    <pic:cNvPicPr>
                      <a:picLocks noChangeArrowheads="1" noChangeAspect="1"/>
                    </pic:cNvPicPr>
                  </pic:nvPicPr>
                  <pic:blipFill>
                    <a:blip r:embed="rId55"/>
                    <a:stretch>
                      <a:fillRect/>
                    </a:stretch>
                  </pic:blipFill>
                  <pic:spPr bwMode="auto">
                    <a:xfrm>
                      <a:off x="0" y="0"/>
                      <a:ext cx="5969000" cy="4500148"/>
                    </a:xfrm>
                    <a:prstGeom prst="rect">
                      <a:avLst/>
                    </a:prstGeom>
                    <a:noFill/>
                    <a:ln w="9525">
                      <a:noFill/>
                      <a:headEnd/>
                      <a:tailEnd/>
                    </a:ln>
                  </pic:spPr>
                </pic:pic>
              </a:graphicData>
            </a:graphic>
          </wp:inline>
        </w:drawing>
      </w:r>
    </w:p>
    <w:p>
      <w:pPr>
        <w:pStyle w:val="BodyText"/>
      </w:pPr>
      <w:r>
        <w:t xml:space="preserve"> </w:t>
      </w:r>
    </w:p>
    <w:p>
      <w:pPr>
        <w:pStyle w:val="BodyText"/>
      </w:pPr>
    </w:p>
    <w:p>
      <w:pPr>
        <w:pStyle w:val="Heading1"/>
      </w:pPr>
      <w:bookmarkStart w:id="56" w:name="conclusion"/>
      <w:r>
        <w:t xml:space="preserve">Conclusion</w:t>
      </w:r>
      <w:bookmarkEnd w:id="56"/>
    </w:p>
    <w:p>
      <w:pPr>
        <w:pStyle w:val="FirstParagraph"/>
      </w:pPr>
      <w:r>
        <w:t xml:space="preserve">The herein presented PBPK model overall adequately describes the pharmacokinetics of a domain antibody dAb2 in mice - except for kidney concentrations. Total kidney concentrations cannot be described by the standard kidney representation of PK-Sim for renally excreted biologics, since drug within the tubular fluid is not represented in the organ concentration. Apart from kidney, the largest deviations between measured and simulated concentration-time profiles are observed for spleen for which the initial concentrations are overestimated by the model and bone for which the initial concentrations are underestimated.</w:t>
      </w:r>
    </w:p>
    <w:p>
      <w:pPr>
        <w:pStyle w:val="BodyText"/>
      </w:pPr>
      <w:r>
        <w:t xml:space="preserve">The PK data of dAb2 (except kidney concentrations) had been used during the development of the generic large molecule PBPK model in PK-Sim (</w:t>
      </w:r>
      <w:hyperlink w:anchor="Xa559bd5247f9128e74e6edcc17de37648e8cde6">
        <w:r>
          <w:rPr>
            <w:rStyle w:val="Hyperlink"/>
          </w:rPr>
          <w:t xml:space="preserve">Niederalt 2018</w:t>
        </w:r>
      </w:hyperlink>
      <w:r>
        <w:t xml:space="preserve">) together with PK data from 5 other compounds (7E3, BAY 79-4620, CDA1, MEDI-524 &amp; MEDI-524-YTE).</w:t>
      </w:r>
    </w:p>
    <w:p>
      <w:pPr>
        <w:pStyle w:val="BodyText"/>
      </w:pPr>
    </w:p>
    <w:p>
      <w:pPr>
        <w:pStyle w:val="Heading1"/>
      </w:pPr>
      <w:bookmarkStart w:id="57" w:name="references"/>
      <w:r>
        <w:t xml:space="preserve">References</w:t>
      </w:r>
      <w:bookmarkEnd w:id="57"/>
    </w:p>
    <w:p>
      <w:pPr>
        <w:pStyle w:val="FirstParagraph"/>
      </w:pPr>
      <w:r>
        <w:rPr>
          <w:b/>
        </w:rPr>
        <w:t xml:space="preserve">Dall’Acqua 2006</w:t>
      </w:r>
      <w:r>
        <w:t xml:space="preserve"> </w:t>
      </w:r>
      <w:r>
        <w:t xml:space="preserve">Dall’Acqua WF, Kiener PA, Wu H. Properties of human IgG1s engineered for enhanced binding to the neonatal Fc receptor (FcRn). J Biol Chem. 2006 Aug; 281(33):23514-23524. doi: 10.1074/jbc.M604292200.</w:t>
      </w:r>
    </w:p>
    <w:p>
      <w:pPr>
        <w:pStyle w:val="BodyText"/>
      </w:pPr>
      <w:r>
        <w:rPr>
          <w:b/>
        </w:rPr>
        <w:t xml:space="preserve">Garg 2007</w:t>
      </w:r>
      <w:r>
        <w:t xml:space="preserve"> </w:t>
      </w:r>
      <w:r>
        <w:t xml:space="preserve">Garg A, Balthasar JP. Physiologically-based pharmacokinetic (PBPK) model to predict IgG tissue kinetics in wild-type and FcRn-knockout mice. J Pharmacokinet Pharmacodyn. 2007 Jul; 34(5):687-709. doi: 10.1007/s10928-007-9065-1.</w:t>
      </w:r>
    </w:p>
    <w:p>
      <w:pPr>
        <w:pStyle w:val="BodyText"/>
      </w:pPr>
      <w:r>
        <w:rPr>
          <w:b/>
        </w:rPr>
        <w:t xml:space="preserve">Garg 2009</w:t>
      </w:r>
      <w:r>
        <w:t xml:space="preserve"> </w:t>
      </w:r>
      <w:r>
        <w:t xml:space="preserve">Garg A, Balthasar J. Investigation of the influence of FcRn on the distribution of IgG to the brain. AAPS J. 2009 July; 11(3):553-557. doi: 10.1208/s12248-009-9129-9.</w:t>
      </w:r>
    </w:p>
    <w:p>
      <w:pPr>
        <w:pStyle w:val="BodyText"/>
      </w:pPr>
      <w:r>
        <w:rPr>
          <w:b/>
        </w:rPr>
        <w:t xml:space="preserve">Lobo 2004</w:t>
      </w:r>
      <w:r>
        <w:t xml:space="preserve"> </w:t>
      </w:r>
      <w:r>
        <w:t xml:space="preserve">Lobo ED, Hansen R J, Balthasar JP. Antibody pharmacokinetics and pharmacodynamics. J Pharm Sci. 2004 Nov;93(11):2645-2668. doi: 10.1002/jps.20178.</w:t>
      </w:r>
    </w:p>
    <w:p>
      <w:pPr>
        <w:pStyle w:val="BodyText"/>
      </w:pPr>
      <w:r>
        <w:rPr>
          <w:b/>
        </w:rPr>
        <w:t xml:space="preserve">Niederalt 2018</w:t>
      </w:r>
      <w:r>
        <w:t xml:space="preserve"> </w:t>
      </w:r>
      <w:r>
        <w:t xml:space="preserve">Niederalt C, Kuepfer L, Solodenko J, Eissing T, Siegmund HU, Block M, Willmann S, Lippert J. A generic whole body physiologically based pharmacokinetic model for therapeutic proteins in PK-Sim. J Pharmacokinet Pharmacodyn. 2018 Apr;45(2):235-257. doi: 10.1007/s10928-017-9559-4.</w:t>
      </w:r>
    </w:p>
    <w:p>
      <w:pPr>
        <w:pStyle w:val="BodyText"/>
      </w:pPr>
      <w:r>
        <w:rPr>
          <w:b/>
        </w:rPr>
        <w:t xml:space="preserve">Reilly 2005</w:t>
      </w:r>
      <w:r>
        <w:t xml:space="preserve"> </w:t>
      </w:r>
      <w:r>
        <w:t xml:space="preserve">Reilley S, Wenzel E, Reynolds L, Bennett B, Patti JM, Hetherington S. Open-label, dose escalation study of the safety and pharmacokinetic profile of tefibazumab in healthy volunteers. Antimicrob Agents Chemother. 2005 Mar;49(3):959–962. doi: 10.1128/AAC.49.3.959-962.2005.</w:t>
      </w:r>
    </w:p>
    <w:p>
      <w:pPr>
        <w:pStyle w:val="BodyText"/>
      </w:pPr>
      <w:r>
        <w:rPr>
          <w:b/>
        </w:rPr>
        <w:t xml:space="preserve">Sepp 2015</w:t>
      </w:r>
      <w:r>
        <w:t xml:space="preserve"> </w:t>
      </w:r>
      <w:r>
        <w:t xml:space="preserve">Sepp A, Berges A, Sanderson A, Meno-Tetang G. Development of a physiologically based pharmacokinetic model for a domain antibody in mice using the two-pore theory. J Pharmacokinet Pharmacodyn. 2015 Jan;42(2):97-109. doi: 10.1007/s10928-014-9402-0.</w:t>
      </w:r>
    </w:p>
    <w:p>
      <w:pPr>
        <w:pStyle w:val="BodyText"/>
      </w:pPr>
      <w:r>
        <w:rPr>
          <w:b/>
        </w:rPr>
        <w:t xml:space="preserve">Taylor 1984</w:t>
      </w:r>
      <w:r>
        <w:t xml:space="preserve"> </w:t>
      </w:r>
      <w:r>
        <w:t xml:space="preserve">Taylor AE, Granger DN. Exchange of macromolecules across the microcirculation. Handbook of Physiology - Cardiovascular System. Microcirculation (Eds. Renkin EM and Michel CC. Bethesda, MD, American Physiological Society). 1984; Vol. 4(Pt 2):467–520.</w:t>
      </w:r>
    </w:p>
    <w:p>
      <w:pPr>
        <w:pStyle w:val="BodyText"/>
      </w:pPr>
      <w:r>
        <w:rPr>
          <w:b/>
        </w:rPr>
        <w:t xml:space="preserve">Taylor 2008</w:t>
      </w:r>
      <w:r>
        <w:t xml:space="preserve"> </w:t>
      </w:r>
      <w:r>
        <w:t xml:space="preserve">Taylor CP, Tummala S, Molrine D, Davidson L, Farrell RJ, Lembo A, Hibberd PL, Lowy I, Kelly CP. Open-label, dose escalation phase I study in healthy volunteers to evaluate the safety and pharmacokinetics of a human monoclonal antibody to Clostridium difficile toxin A. Vaccine. 2008 Jun;26(27-28):3404–3409. doi: 10.1016/j.vaccine.2008.04.042.</w:t>
      </w:r>
    </w:p>
    <w:p>
      <w:pPr>
        <w:pStyle w:val="BodyText"/>
      </w:pPr>
      <w:r>
        <w:rPr>
          <w:b/>
        </w:rPr>
        <w:t xml:space="preserve">Tsuji 1983</w:t>
      </w:r>
      <w:r>
        <w:t xml:space="preserve"> </w:t>
      </w:r>
      <w:r>
        <w:t xml:space="preserve">Tsuji A, Yoshikawa T, Nishide K, Minami H, Kimura M, Nakashima E, Terasaki T, Miyamoto E, Nightingale CH, Yamana T. Physiologically based pharmacokinetic model for beta-lactam antibiotics I: tissue distribution and elimination in rats. J Pharm Sci. 1983 Nov;72(11):1239-1252. doi: 10.1002/jps.2600721103.</w:t>
      </w:r>
    </w:p>
    <w:sectPr w:rsidR="00B470D9">
      <w:headerReference w:type="default" r:id="rId9"/>
      <w:footerReference w:type="default" r:id="rId10"/>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37720" w:rsidRDefault="00237720">
    <w:pPr>
      <w:pStyle w:val="Footer"/>
      <w:jc w:val="center"/>
    </w:pPr>
  </w:p>
  <w:p w:rsidR="00237720" w:rsidRDefault="0023772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rPr>
      <w:id w:val="-620381891"/>
      <w:docPartObj>
        <w:docPartGallery w:val="Page Numbers (Top of Page)"/>
        <w:docPartUnique/>
      </w:docPartObj>
    </w:sdtPr>
    <w:sdtEndPr/>
    <w:sdtContent>
      <w:p w:rsidR="000F07F1" w:rsidRPr="007E2361" w:rsidRDefault="000F07F1" w:rsidP="000F07F1">
        <w:pPr>
          <w:pStyle w:val="Header"/>
          <w:jc w:val="right"/>
          <w:rPr>
            <w:rFonts w:ascii="Times New Roman" w:hAnsi="Times New Roman" w:cs="Times New Roman"/>
          </w:rPr>
        </w:pPr>
        <w:r w:rsidRPr="007E2361">
          <w:rPr>
            <w:rFonts w:ascii="Times New Roman" w:hAnsi="Times New Roman" w:cs="Times New Roman"/>
            <w:lang w:val="de-DE"/>
          </w:rPr>
          <w:t xml:space="preserve">Page </w:t>
        </w:r>
        <w:r w:rsidRPr="007E2361">
          <w:rPr>
            <w:rFonts w:ascii="Times New Roman" w:hAnsi="Times New Roman" w:cs="Times New Roman"/>
          </w:rPr>
          <w:fldChar w:fldCharType="begin"/>
        </w:r>
        <w:r w:rsidRPr="007E2361">
          <w:rPr>
            <w:rFonts w:ascii="Times New Roman" w:hAnsi="Times New Roman" w:cs="Times New Roman"/>
          </w:rPr>
          <w:instrText>PAGE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rPr>
          <w:fldChar w:fldCharType="end"/>
        </w:r>
        <w:r w:rsidRPr="007E2361">
          <w:rPr>
            <w:rFonts w:ascii="Times New Roman" w:hAnsi="Times New Roman" w:cs="Times New Roman"/>
            <w:lang w:val="de-DE"/>
          </w:rPr>
          <w:t xml:space="preserve"> of </w:t>
        </w:r>
        <w:r w:rsidRPr="007E2361">
          <w:rPr>
            <w:rFonts w:ascii="Times New Roman" w:hAnsi="Times New Roman" w:cs="Times New Roman"/>
          </w:rPr>
          <w:fldChar w:fldCharType="begin"/>
        </w:r>
        <w:r w:rsidRPr="007E2361">
          <w:rPr>
            <w:rFonts w:ascii="Times New Roman" w:hAnsi="Times New Roman" w:cs="Times New Roman"/>
          </w:rPr>
          <w:instrText>NUMPAGES  \* Arabic  \* MERGEFORMAT</w:instrText>
        </w:r>
        <w:r w:rsidRPr="007E2361">
          <w:rPr>
            <w:rFonts w:ascii="Times New Roman" w:hAnsi="Times New Roman" w:cs="Times New Roman"/>
          </w:rPr>
          <w:fldChar w:fldCharType="separate"/>
        </w:r>
        <w:r w:rsidR="00B034F3">
          <w:rPr>
            <w:rFonts w:ascii="Times New Roman" w:hAnsi="Times New Roman" w:cs="Times New Roman"/>
            <w:noProof/>
          </w:rPr>
          <w:t>2</w:t>
        </w:r>
        <w:r w:rsidRPr="007E2361">
          <w:rPr>
            <w:rFonts w:ascii="Times New Roman" w:hAnsi="Times New Roman" w:cs="Times New Roman"/>
            <w:lang w:val="de-DE"/>
          </w:rPr>
          <w:fldChar w:fldCharType="end"/>
        </w:r>
      </w:p>
    </w:sdtContent>
  </w:sdt>
  <w:p w:rsidR="000F07F1" w:rsidRDefault="000F07F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2D2BC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6823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D1495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B2812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966F8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746C5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D611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DCFC3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EB43C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3B06E4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E7ACB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E6E7027"/>
    <w:multiLevelType w:val="multilevel"/>
    <w:tmpl w:val="CFB603AE"/>
    <w:styleLink w:val="REVersuch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decimal"/>
      <w:lvlText w:val="%1.%2.%3.%4.%5.%6"/>
      <w:lvlJc w:val="left"/>
      <w:pPr>
        <w:ind w:left="2160" w:hanging="360"/>
      </w:pPr>
      <w:rPr>
        <w:rFonts w:hint="default"/>
      </w:rPr>
    </w:lvl>
    <w:lvl w:ilvl="6">
      <w:start w:val="1"/>
      <w:numFmt w:val="decimal"/>
      <w:lvlText w:val="%1.%2.%3.%4.%5.%6.%7"/>
      <w:lvlJc w:val="left"/>
      <w:pPr>
        <w:ind w:left="2520" w:hanging="360"/>
      </w:pPr>
      <w:rPr>
        <w:rFonts w:hint="default"/>
      </w:rPr>
    </w:lvl>
    <w:lvl w:ilvl="7">
      <w:start w:val="1"/>
      <w:numFmt w:val="decimal"/>
      <w:lvlText w:val="%1.%2.%3.%4.%5.%6.%7.%8"/>
      <w:lvlJc w:val="left"/>
      <w:pPr>
        <w:ind w:left="2880" w:hanging="360"/>
      </w:pPr>
      <w:rPr>
        <w:rFonts w:hint="default"/>
      </w:rPr>
    </w:lvl>
    <w:lvl w:ilvl="8">
      <w:start w:val="1"/>
      <w:numFmt w:val="decimal"/>
      <w:lvlText w:val="%1.%2.%3.%4.%5.%6.%7.%8.%9"/>
      <w:lvlJc w:val="left"/>
      <w:pPr>
        <w:ind w:left="3240" w:hanging="360"/>
      </w:pPr>
      <w:rPr>
        <w:rFonts w:hint="default"/>
      </w:rPr>
    </w:lvl>
  </w:abstractNum>
  <w:abstractNum w:abstractNumId="12" w15:restartNumberingAfterBreak="0">
    <w:nsid w:val="2F4367A2"/>
    <w:multiLevelType w:val="hybridMultilevel"/>
    <w:tmpl w:val="0E94A3F2"/>
    <w:lvl w:ilvl="0" w:tplc="6FFEDB94">
      <w:start w:val="1"/>
      <w:numFmt w:val="decimal"/>
      <w:lvlText w:val="Figur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39D272C"/>
    <w:multiLevelType w:val="multilevel"/>
    <w:tmpl w:val="5E8A4980"/>
    <w:lvl w:ilvl="0">
      <w:start w:val="1"/>
      <w:numFmt w:val="decimal"/>
      <w:pStyle w:val="Heading1"/>
      <w:lvlText w:val="%1"/>
      <w:lvlJc w:val="left"/>
      <w:pPr>
        <w:ind w:left="1134" w:hanging="1134"/>
      </w:pPr>
      <w:rPr>
        <w:rFonts w:hint="default"/>
      </w:rPr>
    </w:lvl>
    <w:lvl w:ilvl="1">
      <w:start w:val="1"/>
      <w:numFmt w:val="decimal"/>
      <w:pStyle w:val="Heading2"/>
      <w:lvlText w:val="%1.%2"/>
      <w:lvlJc w:val="left"/>
      <w:pPr>
        <w:ind w:left="1134" w:hanging="1134"/>
      </w:pPr>
      <w:rPr>
        <w:rFonts w:hint="default"/>
      </w:rPr>
    </w:lvl>
    <w:lvl w:ilvl="2">
      <w:start w:val="1"/>
      <w:numFmt w:val="decimal"/>
      <w:pStyle w:val="Heading3"/>
      <w:lvlText w:val="%1.%2.%3"/>
      <w:lvlJc w:val="left"/>
      <w:pPr>
        <w:ind w:left="1134" w:hanging="1134"/>
      </w:pPr>
      <w:rPr>
        <w:rFonts w:hint="default"/>
      </w:rPr>
    </w:lvl>
    <w:lvl w:ilvl="3">
      <w:start w:val="1"/>
      <w:numFmt w:val="decimal"/>
      <w:pStyle w:val="Heading4"/>
      <w:lvlText w:val="%1.%2.%3.%4"/>
      <w:lvlJc w:val="left"/>
      <w:pPr>
        <w:ind w:left="1134" w:hanging="1134"/>
      </w:pPr>
      <w:rPr>
        <w:rFonts w:hint="default"/>
      </w:rPr>
    </w:lvl>
    <w:lvl w:ilvl="4">
      <w:start w:val="1"/>
      <w:numFmt w:val="decimal"/>
      <w:pStyle w:val="Heading5"/>
      <w:lvlText w:val="%1.%2.%3.%4.%5"/>
      <w:lvlJc w:val="left"/>
      <w:pPr>
        <w:ind w:left="1134" w:hanging="1134"/>
      </w:pPr>
      <w:rPr>
        <w:rFonts w:hint="default"/>
      </w:rPr>
    </w:lvl>
    <w:lvl w:ilvl="5">
      <w:start w:val="1"/>
      <w:numFmt w:val="decimal"/>
      <w:pStyle w:val="Heading6"/>
      <w:lvlText w:val="%1.%2.%3.%4.%5.%6"/>
      <w:lvlJc w:val="left"/>
      <w:pPr>
        <w:ind w:left="1134" w:hanging="1134"/>
      </w:pPr>
      <w:rPr>
        <w:rFonts w:hint="default"/>
      </w:rPr>
    </w:lvl>
    <w:lvl w:ilvl="6">
      <w:start w:val="1"/>
      <w:numFmt w:val="decimal"/>
      <w:pStyle w:val="Heading7"/>
      <w:lvlText w:val="%1.%2.%3.%4.%5.%6.%7"/>
      <w:lvlJc w:val="left"/>
      <w:pPr>
        <w:ind w:left="1134" w:hanging="1134"/>
      </w:pPr>
      <w:rPr>
        <w:rFonts w:hint="default"/>
      </w:rPr>
    </w:lvl>
    <w:lvl w:ilvl="7">
      <w:start w:val="1"/>
      <w:numFmt w:val="decimal"/>
      <w:pStyle w:val="Heading8"/>
      <w:lvlText w:val="%1.%2.%3.%4.%5.%6.%7.%8"/>
      <w:lvlJc w:val="left"/>
      <w:pPr>
        <w:ind w:left="1134" w:hanging="1134"/>
      </w:pPr>
      <w:rPr>
        <w:rFonts w:hint="default"/>
      </w:rPr>
    </w:lvl>
    <w:lvl w:ilvl="8">
      <w:start w:val="1"/>
      <w:numFmt w:val="decimal"/>
      <w:pStyle w:val="Heading9"/>
      <w:lvlText w:val="%1.%2.%3.%4.%5.%6.%7.%8.%9"/>
      <w:lvlJc w:val="left"/>
      <w:pPr>
        <w:ind w:left="1134" w:hanging="1134"/>
      </w:pPr>
      <w:rPr>
        <w:rFonts w:hint="default"/>
      </w:rPr>
    </w:lvl>
  </w:abstractNum>
  <w:abstractNum w:abstractNumId="14" w15:restartNumberingAfterBreak="0">
    <w:nsid w:val="4E027060"/>
    <w:multiLevelType w:val="hybridMultilevel"/>
    <w:tmpl w:val="BDE6AA42"/>
    <w:lvl w:ilvl="0" w:tplc="9976DFBA">
      <w:start w:val="1"/>
      <w:numFmt w:val="decimal"/>
      <w:lvlText w:val="Table %1: "/>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57675838"/>
    <w:multiLevelType w:val="multilevel"/>
    <w:tmpl w:val="CFB603AE"/>
    <w:numStyleLink w:val="REVersuch2"/>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3"/>
  </w:num>
  <w:num w:numId="15">
    <w:abstractNumId w:val="12"/>
  </w:num>
  <w:num w:numId="16">
    <w:abstractNumId w:val="14"/>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rsid w:val="00DF4C3C"/>
    <w:pPr>
      <w:keepNext/>
      <w:keepLines/>
      <w:pageBreakBefore/>
      <w:numPr>
        <w:numId w:val="14"/>
      </w:numPr>
      <w:spacing w:before="480" w:after="0"/>
      <w:outlineLvl w:val="0"/>
    </w:pPr>
    <w:rPr>
      <w:rFonts w:ascii="Times New Roman" w:eastAsiaTheme="majorEastAsia" w:hAnsi="Times New Roman" w:cstheme="majorBidi"/>
      <w:b/>
      <w:bCs/>
      <w:sz w:val="28"/>
      <w:szCs w:val="32"/>
    </w:rPr>
  </w:style>
  <w:style w:type="paragraph" w:styleId="Heading2">
    <w:name w:val="heading 2"/>
    <w:basedOn w:val="Normal"/>
    <w:next w:val="BodyText"/>
    <w:uiPriority w:val="9"/>
    <w:unhideWhenUsed/>
    <w:qFormat/>
    <w:rsid w:val="00D500C1"/>
    <w:pPr>
      <w:keepNext/>
      <w:keepLines/>
      <w:numPr>
        <w:ilvl w:val="1"/>
        <w:numId w:val="14"/>
      </w:numPr>
      <w:spacing w:before="200" w:after="0"/>
      <w:outlineLvl w:val="1"/>
    </w:pPr>
    <w:rPr>
      <w:rFonts w:ascii="Times New Roman" w:eastAsiaTheme="majorEastAsia" w:hAnsi="Times New Roman" w:cstheme="majorBidi"/>
      <w:b/>
      <w:bCs/>
      <w:sz w:val="26"/>
      <w:szCs w:val="28"/>
    </w:rPr>
  </w:style>
  <w:style w:type="paragraph" w:styleId="Heading3">
    <w:name w:val="heading 3"/>
    <w:basedOn w:val="Normal"/>
    <w:next w:val="BodyText"/>
    <w:uiPriority w:val="9"/>
    <w:unhideWhenUsed/>
    <w:qFormat/>
    <w:rsid w:val="00D500C1"/>
    <w:pPr>
      <w:keepNext/>
      <w:keepLines/>
      <w:numPr>
        <w:ilvl w:val="2"/>
        <w:numId w:val="14"/>
      </w:numPr>
      <w:spacing w:before="200" w:after="0"/>
      <w:outlineLvl w:val="2"/>
    </w:pPr>
    <w:rPr>
      <w:rFonts w:ascii="Times New Roman" w:eastAsiaTheme="majorEastAsia" w:hAnsi="Times New Roman" w:cstheme="majorBidi"/>
      <w:b/>
      <w:bCs/>
      <w:sz w:val="26"/>
    </w:rPr>
  </w:style>
  <w:style w:type="paragraph" w:styleId="Heading4">
    <w:name w:val="heading 4"/>
    <w:basedOn w:val="Normal"/>
    <w:next w:val="BodyText"/>
    <w:uiPriority w:val="9"/>
    <w:unhideWhenUsed/>
    <w:qFormat/>
    <w:rsid w:val="00D500C1"/>
    <w:pPr>
      <w:keepNext/>
      <w:keepLines/>
      <w:numPr>
        <w:ilvl w:val="3"/>
        <w:numId w:val="14"/>
      </w:numPr>
      <w:spacing w:before="200" w:after="0"/>
      <w:outlineLvl w:val="3"/>
    </w:pPr>
    <w:rPr>
      <w:rFonts w:ascii="Times New Roman" w:eastAsiaTheme="majorEastAsia" w:hAnsi="Times New Roman" w:cstheme="majorBidi"/>
      <w:b/>
      <w:bCs/>
      <w:sz w:val="26"/>
    </w:rPr>
  </w:style>
  <w:style w:type="paragraph" w:styleId="Heading5">
    <w:name w:val="heading 5"/>
    <w:basedOn w:val="Normal"/>
    <w:next w:val="BodyText"/>
    <w:uiPriority w:val="9"/>
    <w:unhideWhenUsed/>
    <w:qFormat/>
    <w:rsid w:val="00D500C1"/>
    <w:pPr>
      <w:keepNext/>
      <w:keepLines/>
      <w:numPr>
        <w:ilvl w:val="4"/>
        <w:numId w:val="14"/>
      </w:numPr>
      <w:spacing w:before="200" w:after="0"/>
      <w:outlineLvl w:val="4"/>
    </w:pPr>
    <w:rPr>
      <w:rFonts w:ascii="Times New Roman" w:eastAsiaTheme="majorEastAsia" w:hAnsi="Times New Roman" w:cstheme="majorBidi"/>
      <w:b/>
      <w:iCs/>
      <w:sz w:val="26"/>
    </w:rPr>
  </w:style>
  <w:style w:type="paragraph" w:styleId="Heading6">
    <w:name w:val="heading 6"/>
    <w:basedOn w:val="Normal"/>
    <w:next w:val="BodyText"/>
    <w:uiPriority w:val="9"/>
    <w:unhideWhenUsed/>
    <w:qFormat/>
    <w:rsid w:val="00D500C1"/>
    <w:pPr>
      <w:keepNext/>
      <w:keepLines/>
      <w:numPr>
        <w:ilvl w:val="5"/>
        <w:numId w:val="14"/>
      </w:numPr>
      <w:spacing w:before="200" w:after="0"/>
      <w:outlineLvl w:val="5"/>
    </w:pPr>
    <w:rPr>
      <w:rFonts w:ascii="Times New Roman" w:eastAsiaTheme="majorEastAsia" w:hAnsi="Times New Roman" w:cstheme="majorBidi"/>
      <w:b/>
      <w:sz w:val="26"/>
    </w:rPr>
  </w:style>
  <w:style w:type="paragraph" w:styleId="Heading7">
    <w:name w:val="heading 7"/>
    <w:basedOn w:val="Normal"/>
    <w:next w:val="BodyText"/>
    <w:uiPriority w:val="9"/>
    <w:unhideWhenUsed/>
    <w:qFormat/>
    <w:rsid w:val="00D500C1"/>
    <w:pPr>
      <w:keepNext/>
      <w:keepLines/>
      <w:numPr>
        <w:ilvl w:val="6"/>
        <w:numId w:val="14"/>
      </w:numPr>
      <w:spacing w:before="200" w:after="0"/>
      <w:outlineLvl w:val="6"/>
    </w:pPr>
    <w:rPr>
      <w:rFonts w:ascii="Times New Roman" w:eastAsiaTheme="majorEastAsia" w:hAnsi="Times New Roman" w:cstheme="majorBidi"/>
      <w:b/>
      <w:sz w:val="26"/>
    </w:rPr>
  </w:style>
  <w:style w:type="paragraph" w:styleId="Heading8">
    <w:name w:val="heading 8"/>
    <w:basedOn w:val="Normal"/>
    <w:next w:val="BodyText"/>
    <w:uiPriority w:val="9"/>
    <w:unhideWhenUsed/>
    <w:qFormat/>
    <w:rsid w:val="00D500C1"/>
    <w:pPr>
      <w:keepNext/>
      <w:keepLines/>
      <w:numPr>
        <w:ilvl w:val="7"/>
        <w:numId w:val="14"/>
      </w:numPr>
      <w:spacing w:before="200" w:after="0"/>
      <w:outlineLvl w:val="7"/>
    </w:pPr>
    <w:rPr>
      <w:rFonts w:ascii="Times New Roman" w:eastAsiaTheme="majorEastAsia" w:hAnsi="Times New Roman" w:cstheme="majorBidi"/>
      <w:b/>
      <w:sz w:val="26"/>
    </w:rPr>
  </w:style>
  <w:style w:type="paragraph" w:styleId="Heading9">
    <w:name w:val="heading 9"/>
    <w:basedOn w:val="Normal"/>
    <w:next w:val="BodyText"/>
    <w:uiPriority w:val="9"/>
    <w:unhideWhenUsed/>
    <w:qFormat/>
    <w:rsid w:val="00D500C1"/>
    <w:pPr>
      <w:keepNext/>
      <w:keepLines/>
      <w:numPr>
        <w:ilvl w:val="8"/>
        <w:numId w:val="14"/>
      </w:numPr>
      <w:spacing w:before="200" w:after="0"/>
      <w:outlineLvl w:val="8"/>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B034F3"/>
    <w:pPr>
      <w:spacing w:before="180" w:after="180" w:line="360" w:lineRule="auto"/>
    </w:pPr>
    <w:rPr>
      <w:rFonts w:ascii="Arial" w:hAnsi="Arial"/>
      <w:sz w:val="20"/>
    </w:rPr>
  </w:style>
  <w:style w:type="paragraph" w:customStyle="1" w:styleId="FirstParagraph">
    <w:name w:val="First Paragraph"/>
    <w:basedOn w:val="BodyText"/>
    <w:next w:val="BodyText"/>
    <w:autoRedefine/>
    <w:qFormat/>
    <w:rsid w:val="008D31A4"/>
  </w:style>
  <w:style w:type="paragraph" w:customStyle="1" w:styleId="Compact">
    <w:name w:val="Compact"/>
    <w:basedOn w:val="BodyText"/>
    <w:autoRedefine/>
    <w:qFormat/>
    <w:rsid w:val="008D31A4"/>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autoRedefine/>
    <w:qFormat/>
    <w:rsid w:val="008D31A4"/>
    <w:pPr>
      <w:keepNext/>
      <w:keepLines/>
      <w:jc w:val="center"/>
    </w:pPr>
    <w:rPr>
      <w:rFonts w:ascii="Arial" w:hAnsi="Arial"/>
    </w:rPr>
  </w:style>
  <w:style w:type="paragraph" w:styleId="Date">
    <w:name w:val="Date"/>
    <w:next w:val="BodyText"/>
    <w:autoRedefine/>
    <w:qFormat/>
    <w:rsid w:val="008D31A4"/>
    <w:pPr>
      <w:keepNext/>
      <w:keepLines/>
      <w:jc w:val="center"/>
    </w:pPr>
    <w:rPr>
      <w:rFonts w:ascii="Arial" w:hAnsi="Arial"/>
    </w:rPr>
  </w:style>
  <w:style w:type="paragraph" w:customStyle="1" w:styleId="Abstract">
    <w:name w:val="Abstract"/>
    <w:basedOn w:val="Normal"/>
    <w:next w:val="BodyText"/>
    <w:autoRedefine/>
    <w:qFormat/>
    <w:rsid w:val="008D31A4"/>
    <w:pPr>
      <w:keepNext/>
      <w:keepLines/>
      <w:spacing w:before="300" w:after="300"/>
      <w:jc w:val="both"/>
    </w:pPr>
    <w:rPr>
      <w:rFonts w:ascii="Arial" w:hAnsi="Arial"/>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basedOn w:val="GridTable1Light"/>
    <w:semiHidden/>
    <w:unhideWhenUsed/>
    <w:qFormat/>
    <w:rsid w:val="008F3A26"/>
    <w:rPr>
      <w:rFonts w:ascii="Arial" w:hAnsi="Arial"/>
      <w:sz w:val="20"/>
      <w:szCs w:val="20"/>
      <w:lang w:val="en-CA" w:eastAsia="en-CA"/>
    </w:rPr>
    <w:tblPr/>
    <w:tcPr>
      <w:vAlign w:val="center"/>
    </w:tcPr>
    <w:tblStylePr w:type="firstRow">
      <w:rPr>
        <w:b/>
        <w:bCs/>
      </w:rPr>
      <w:tblPr/>
      <w:tcPr>
        <w:tcBorders>
          <w:bottom w:val="single" w:sz="12" w:space="0" w:color="666666" w:themeColor="text1" w:themeTint="99"/>
        </w:tcBorders>
      </w:tcPr>
    </w:tblStylePr>
    <w:tblStylePr w:type="lastRow">
      <w:rPr>
        <w:b w:val="0"/>
        <w:bCs/>
      </w:rPr>
      <w:tblPr/>
      <w:tcPr>
        <w:tcBorders>
          <w:top w:val="single" w:sz="4" w:space="0" w:color="BFBFBF" w:themeColor="background1" w:themeShade="BF"/>
        </w:tcBorders>
      </w:tcPr>
    </w:tblStylePr>
    <w:tblStylePr w:type="firstCol">
      <w:rPr>
        <w:b/>
        <w:bCs/>
      </w:rPr>
    </w:tblStylePr>
    <w:tblStylePr w:type="lastCol">
      <w:rPr>
        <w:b w:val="0"/>
        <w:bCs/>
      </w:rPr>
    </w:tblStylePr>
    <w:tblStylePr w:type="swCell">
      <w:rPr>
        <w:b/>
      </w:r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CB69FF"/>
    <w:pPr>
      <w:keepNext/>
      <w:spacing w:before="120"/>
    </w:pPr>
    <w:rPr>
      <w:rFonts w:ascii="Arial" w:hAnsi="Arial"/>
      <w:b/>
      <w:i w:val="0"/>
      <w:sz w:val="20"/>
    </w:rPr>
  </w:style>
  <w:style w:type="paragraph" w:customStyle="1" w:styleId="ImageCaption">
    <w:name w:val="Image Caption"/>
    <w:basedOn w:val="Caption"/>
    <w:rsid w:val="00CB69FF"/>
    <w:rPr>
      <w:rFonts w:ascii="Arial" w:hAnsi="Arial"/>
      <w:b/>
      <w:i w:val="0"/>
      <w:sz w:val="2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uiPriority w:val="99"/>
    <w:rsid w:val="007E2361"/>
    <w:rPr>
      <w:color w:val="0000FF"/>
    </w:rPr>
  </w:style>
  <w:style w:type="paragraph" w:styleId="TOCHeading">
    <w:name w:val="TOC Heading"/>
    <w:aliases w:val="RE_TableOfContent"/>
    <w:next w:val="BodyText"/>
    <w:uiPriority w:val="39"/>
    <w:unhideWhenUsed/>
    <w:qFormat/>
    <w:rsid w:val="00D500C1"/>
    <w:pPr>
      <w:spacing w:before="240" w:line="259" w:lineRule="auto"/>
    </w:pPr>
    <w:rPr>
      <w:rFonts w:ascii="Times New Roman" w:eastAsiaTheme="majorEastAsia" w:hAnsi="Times New Roman" w:cstheme="majorBidi"/>
      <w:b/>
      <w:szCs w:val="32"/>
    </w:rPr>
  </w:style>
  <w:style w:type="paragraph" w:styleId="Header">
    <w:name w:val="header"/>
    <w:basedOn w:val="Normal"/>
    <w:link w:val="HeaderChar"/>
    <w:unhideWhenUsed/>
    <w:rsid w:val="00237720"/>
    <w:pPr>
      <w:tabs>
        <w:tab w:val="center" w:pos="4536"/>
        <w:tab w:val="right" w:pos="9072"/>
      </w:tabs>
      <w:spacing w:after="0"/>
    </w:pPr>
  </w:style>
  <w:style w:type="character" w:customStyle="1" w:styleId="HeaderChar">
    <w:name w:val="Header Char"/>
    <w:basedOn w:val="DefaultParagraphFont"/>
    <w:link w:val="Header"/>
    <w:rsid w:val="00237720"/>
  </w:style>
  <w:style w:type="paragraph" w:styleId="Footer">
    <w:name w:val="footer"/>
    <w:basedOn w:val="Normal"/>
    <w:link w:val="FooterChar"/>
    <w:uiPriority w:val="99"/>
    <w:unhideWhenUsed/>
    <w:rsid w:val="00237720"/>
    <w:pPr>
      <w:tabs>
        <w:tab w:val="center" w:pos="4536"/>
        <w:tab w:val="right" w:pos="9072"/>
      </w:tabs>
      <w:spacing w:after="0"/>
    </w:pPr>
  </w:style>
  <w:style w:type="character" w:customStyle="1" w:styleId="FooterChar">
    <w:name w:val="Footer Char"/>
    <w:basedOn w:val="DefaultParagraphFont"/>
    <w:link w:val="Footer"/>
    <w:uiPriority w:val="99"/>
    <w:rsid w:val="00237720"/>
  </w:style>
  <w:style w:type="numbering" w:customStyle="1" w:styleId="REVersuch2">
    <w:name w:val="RE_Versuch_2"/>
    <w:uiPriority w:val="99"/>
    <w:rsid w:val="00F5435A"/>
    <w:pPr>
      <w:numPr>
        <w:numId w:val="12"/>
      </w:numPr>
    </w:pPr>
  </w:style>
  <w:style w:type="character" w:customStyle="1" w:styleId="BodyTextChar">
    <w:name w:val="Body Text Char"/>
    <w:basedOn w:val="DefaultParagraphFont"/>
    <w:link w:val="BodyText"/>
    <w:rsid w:val="00B034F3"/>
    <w:rPr>
      <w:rFonts w:ascii="Arial" w:hAnsi="Arial"/>
      <w:sz w:val="20"/>
    </w:rPr>
  </w:style>
  <w:style w:type="paragraph" w:styleId="TOC2">
    <w:name w:val="toc 2"/>
    <w:basedOn w:val="Normal"/>
    <w:next w:val="Normal"/>
    <w:autoRedefine/>
    <w:uiPriority w:val="39"/>
    <w:unhideWhenUsed/>
    <w:rsid w:val="00F45D3A"/>
    <w:pPr>
      <w:tabs>
        <w:tab w:val="left" w:pos="880"/>
        <w:tab w:val="right" w:leader="dot" w:pos="9396"/>
      </w:tabs>
      <w:spacing w:after="0"/>
      <w:ind w:left="624" w:right="284" w:hanging="624"/>
    </w:pPr>
    <w:rPr>
      <w:rFonts w:ascii="Times New Roman" w:hAnsi="Times New Roman"/>
      <w:color w:val="0000FF"/>
    </w:rPr>
  </w:style>
  <w:style w:type="paragraph" w:styleId="TOC1">
    <w:name w:val="toc 1"/>
    <w:basedOn w:val="Normal"/>
    <w:next w:val="Normal"/>
    <w:autoRedefine/>
    <w:uiPriority w:val="39"/>
    <w:unhideWhenUsed/>
    <w:rsid w:val="00F45D3A"/>
    <w:pPr>
      <w:spacing w:before="120" w:after="0"/>
      <w:ind w:left="425" w:right="284" w:hanging="425"/>
    </w:pPr>
    <w:rPr>
      <w:rFonts w:ascii="Times New Roman" w:hAnsi="Times New Roman"/>
      <w:b/>
      <w:color w:val="0000FF"/>
    </w:rPr>
  </w:style>
  <w:style w:type="paragraph" w:styleId="TOC3">
    <w:name w:val="toc 3"/>
    <w:basedOn w:val="Normal"/>
    <w:next w:val="Normal"/>
    <w:autoRedefine/>
    <w:uiPriority w:val="39"/>
    <w:unhideWhenUsed/>
    <w:rsid w:val="00F45D3A"/>
    <w:pPr>
      <w:tabs>
        <w:tab w:val="left" w:pos="1320"/>
        <w:tab w:val="right" w:leader="dot" w:pos="9396"/>
      </w:tabs>
      <w:spacing w:after="0"/>
      <w:ind w:left="822" w:right="284" w:hanging="822"/>
    </w:pPr>
    <w:rPr>
      <w:rFonts w:ascii="Times New Roman" w:hAnsi="Times New Roman"/>
      <w:color w:val="0000FF"/>
    </w:rPr>
  </w:style>
  <w:style w:type="paragraph" w:styleId="TOC4">
    <w:name w:val="toc 4"/>
    <w:basedOn w:val="Normal"/>
    <w:next w:val="Normal"/>
    <w:autoRedefine/>
    <w:uiPriority w:val="39"/>
    <w:unhideWhenUsed/>
    <w:rsid w:val="00F45D3A"/>
    <w:pPr>
      <w:tabs>
        <w:tab w:val="left" w:pos="1540"/>
        <w:tab w:val="right" w:leader="dot" w:pos="9396"/>
      </w:tabs>
      <w:spacing w:after="0"/>
      <w:ind w:left="1021" w:right="284" w:hanging="1021"/>
    </w:pPr>
    <w:rPr>
      <w:rFonts w:ascii="Times New Roman" w:hAnsi="Times New Roman"/>
      <w:color w:val="0000FF"/>
    </w:rPr>
  </w:style>
  <w:style w:type="paragraph" w:styleId="TOC5">
    <w:name w:val="toc 5"/>
    <w:basedOn w:val="Normal"/>
    <w:next w:val="Normal"/>
    <w:autoRedefine/>
    <w:uiPriority w:val="39"/>
    <w:unhideWhenUsed/>
    <w:rsid w:val="00F45D3A"/>
    <w:pPr>
      <w:tabs>
        <w:tab w:val="left" w:pos="1880"/>
        <w:tab w:val="right" w:leader="dot" w:pos="9396"/>
      </w:tabs>
      <w:spacing w:after="0"/>
      <w:ind w:left="1219" w:right="284" w:hanging="1219"/>
    </w:pPr>
    <w:rPr>
      <w:rFonts w:ascii="Times New Roman" w:hAnsi="Times New Roman"/>
      <w:color w:val="0000FF"/>
    </w:rPr>
  </w:style>
  <w:style w:type="paragraph" w:styleId="Index1">
    <w:name w:val="index 1"/>
    <w:basedOn w:val="Normal"/>
    <w:next w:val="Normal"/>
    <w:autoRedefine/>
    <w:rsid w:val="00830389"/>
    <w:pPr>
      <w:spacing w:after="0"/>
      <w:ind w:left="240" w:hanging="240"/>
    </w:pPr>
  </w:style>
  <w:style w:type="paragraph" w:styleId="TableofFigures">
    <w:name w:val="table of figures"/>
    <w:basedOn w:val="Normal"/>
    <w:next w:val="Normal"/>
    <w:uiPriority w:val="99"/>
    <w:unhideWhenUsed/>
    <w:rsid w:val="00162E8B"/>
    <w:pPr>
      <w:spacing w:after="0"/>
    </w:pPr>
    <w:rPr>
      <w:rFonts w:ascii="Times New Roman" w:hAnsi="Times New Roman"/>
      <w:color w:val="0000FF"/>
    </w:rPr>
  </w:style>
  <w:style w:type="table" w:styleId="GridTable1Light">
    <w:name w:val="Grid Table 1 Light"/>
    <w:basedOn w:val="TableNormal"/>
    <w:rsid w:val="008D31A4"/>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TotalTime>
  <Pages>2</Pages>
  <Words>118</Words>
  <Characters>679</Characters>
  <Application>Microsoft Office Word</Application>
  <DocSecurity>0</DocSecurity>
  <Lines>5</Lines>
  <Paragraphs>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Title</vt:lpstr>
      <vt:lpstr>Title</vt:lpstr>
    </vt:vector>
  </TitlesOfParts>
  <Company/>
  <LinksUpToDate>false</LinksUpToDate>
  <CharactersWithSpaces>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Building and evaluation of a PBPK model for domain antibody dAb2 in mice</dc:title>
  <dc:creator/>
  <cp:keywords/>
  <dcterms:created xsi:type="dcterms:W3CDTF">2023-03-14T18:02:47Z</dcterms:created>
  <dcterms:modified xsi:type="dcterms:W3CDTF">2023-03-14T18:02:47Z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Versionx.x-OSPy.ybased on Model Snapshot and Evaluation Planhttps://github.com/Open-Systems-Pharmacology/dAb2-Model/releases/tag/vx.xOSP Versiony.yQualification Framework Versionz.zThis evaluation report and the corresponding PK-Sim project file are filed at:https://github.com/Open-Systems-Pharmacology/OSP-PBPK-Model-Library/</vt:lpwstr>
  </property>
  <property fmtid="{D5CDD505-2E9C-101B-9397-08002B2CF9AE}" pid="3" name="subtitle">
    <vt:lpwstr/>
  </property>
</Properties>
</file>