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2.png" ContentType="image/png"/>
  <Override PartName="/word/media/rId55.png" ContentType="image/png"/>
  <Override PartName="/word/media/rId65.png" ContentType="image/png"/>
  <Override PartName="/word/media/rId68.png" ContentType="image/png"/>
  <Override PartName="/word/media/rId71.png" ContentType="image/png"/>
  <Override PartName="/word/media/rId59.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62.png" ContentType="image/png"/>
  <Override PartName="/word/media/rId111.png" ContentType="image/png"/>
  <Override PartName="/word/media/rId114.png" ContentType="image/png"/>
  <Override PartName="/word/media/rId117.png" ContentType="image/png"/>
  <Override PartName="/word/media/rId120.png" ContentType="image/png"/>
  <Override PartName="/word/media/rId123.png" ContentType="image/png"/>
  <Override PartName="/word/media/rId126.png" ContentType="image/png"/>
  <Override PartName="/word/media/rId129.png" ContentType="image/png"/>
  <Override PartName="/word/media/rId132.png" ContentType="image/png"/>
  <Override PartName="/word/media/rId135.png" ContentType="image/png"/>
  <Override PartName="/word/media/rId138.png" ContentType="image/png"/>
  <Override PartName="/word/media/rId141.png" ContentType="image/png"/>
  <Override PartName="/word/media/rId144.png" ContentType="image/png"/>
  <Override PartName="/word/media/rId147.png" ContentType="image/png"/>
  <Override PartName="/word/media/rId150.png" ContentType="image/png"/>
  <Override PartName="/word/media/rId153.png" ContentType="image/png"/>
  <Override PartName="/word/media/rId156.png" ContentType="image/png"/>
  <Override PartName="/word/media/rId159.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05.png" ContentType="image/png"/>
  <Override PartName="/word/media/rId10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w:t>
      </w:r>
      <w:r>
        <w:t xml:space="preserve"> </w:t>
      </w:r>
      <w:r>
        <w:t xml:space="preserve">and</w:t>
      </w:r>
      <w:r>
        <w:t xml:space="preserve"> </w:t>
      </w:r>
      <w:r>
        <w:t xml:space="preserve">evaluation</w:t>
      </w:r>
      <w:r>
        <w:t xml:space="preserve"> </w:t>
      </w:r>
      <w:r>
        <w:t xml:space="preserve">of</w:t>
      </w:r>
      <w:r>
        <w:t xml:space="preserve"> </w:t>
      </w:r>
      <w:r>
        <w:t xml:space="preserve">a</w:t>
      </w:r>
      <w:r>
        <w:t xml:space="preserve"> </w:t>
      </w:r>
      <w:r>
        <w:t xml:space="preserve">PBPK</w:t>
      </w:r>
      <w:r>
        <w:t xml:space="preserve"> </w:t>
      </w:r>
      <w:r>
        <w:t xml:space="preserve">model</w:t>
      </w:r>
      <w:r>
        <w:t xml:space="preserve"> </w:t>
      </w:r>
      <w:r>
        <w:t xml:space="preserve">for</w:t>
      </w:r>
      <w:r>
        <w:t xml:space="preserve"> </w:t>
      </w:r>
      <w:r>
        <w:t xml:space="preserve">clarithromycin</w:t>
      </w:r>
      <w:r>
        <w:t xml:space="preserve"> </w:t>
      </w:r>
      <w:r>
        <w:t xml:space="preserve">in</w:t>
      </w:r>
      <w:r>
        <w:t xml:space="preserve"> </w:t>
      </w:r>
      <w:r>
        <w:t xml:space="preserve">healthy</w:t>
      </w:r>
      <w:r>
        <w:t xml:space="preserve"> </w:t>
      </w:r>
      <w:r>
        <w:t xml:space="preserve">adults</w:t>
      </w:r>
    </w:p>
    <w:p>
      <w:pPr>
        <w:pStyle w:val="AbstractTitle"/>
      </w:pPr>
      <w:r>
        <w:t xml:space="preserve">Abstract</w:t>
      </w:r>
    </w:p>
    <w:tbl>
      <w:tblPr>
        <w:tblStyle w:val="Table"/>
        <w:tblW w:type="pct" w:w="5000"/>
        <w:tblLook w:firstRow="1" w:lastRow="0" w:firstColumn="0" w:lastColumn="0" w:noHBand="0" w:noVBand="0" w:val="0020"/>
        <w:jc w:val="start"/>
      </w:tblPr>
      <w:tblGrid>
        <w:gridCol w:w="3478"/>
        <w:gridCol w:w="4441"/>
      </w:tblGrid>
      <w:tr>
        <w:trPr>
          <w:tblHeader w:val="true"/>
        </w:trPr>
        <w:tc>
          <w:tcPr/>
          <w:p>
            <w:pPr>
              <w:pStyle w:val="Compact"/>
              <w:jc w:val="left"/>
            </w:pPr>
            <w:r>
              <w:t xml:space="preserve">Version</w:t>
            </w:r>
          </w:p>
        </w:tc>
        <w:tc>
          <w:tcPr/>
          <w:p>
            <w:pPr>
              <w:pStyle w:val="Compact"/>
              <w:jc w:val="left"/>
            </w:pPr>
            <w:r>
              <w:t xml:space="preserve">1.0-OSP12.0</w:t>
            </w:r>
          </w:p>
        </w:tc>
      </w:tr>
      <w:tr>
        <w:tc>
          <w:tcPr/>
          <w:p>
            <w:pPr>
              <w:pStyle w:val="Compact"/>
              <w:jc w:val="left"/>
            </w:pPr>
            <w:r>
              <w:t xml:space="preserve">based</w:t>
            </w:r>
            <w:r>
              <w:t xml:space="preserve"> </w:t>
            </w:r>
            <w:r>
              <w:t xml:space="preserve">on</w:t>
            </w:r>
            <w:r>
              <w:t xml:space="preserve"> </w:t>
            </w:r>
            <w:r>
              <w:rPr>
                <w:iCs/>
                <w:i/>
              </w:rPr>
              <w:t xml:space="preserve">Model</w:t>
            </w:r>
            <w:r>
              <w:rPr>
                <w:iCs/>
                <w:i/>
              </w:rPr>
              <w:t xml:space="preserve"> </w:t>
            </w:r>
            <w:r>
              <w:rPr>
                <w:iCs/>
                <w:i/>
              </w:rPr>
              <w:t xml:space="preserve">Snapshot</w:t>
            </w:r>
            <w:r>
              <w:t xml:space="preserve"> </w:t>
            </w:r>
            <w:r>
              <w:t xml:space="preserve">and</w:t>
            </w:r>
            <w:r>
              <w:t xml:space="preserve"> </w:t>
            </w:r>
            <w:r>
              <w:rPr>
                <w:iCs/>
                <w:i/>
              </w:rPr>
              <w:t xml:space="preserve">Evaluation</w:t>
            </w:r>
            <w:r>
              <w:rPr>
                <w:iCs/>
                <w:i/>
              </w:rPr>
              <w:t xml:space="preserve"> </w:t>
            </w:r>
            <w:r>
              <w:rPr>
                <w:iCs/>
                <w:i/>
              </w:rPr>
              <w:t xml:space="preserve">Plan</w:t>
            </w:r>
          </w:p>
        </w:tc>
        <w:tc>
          <w:tcPr/>
          <w:p>
            <w:pPr>
              <w:pStyle w:val="Compact"/>
              <w:jc w:val="left"/>
            </w:pPr>
            <w:r>
              <w:t xml:space="preserve">https://github.com/Open-Systems-Pharmacology/Clarithromycin-Model/releases/tag/v1.0</w:t>
            </w:r>
          </w:p>
        </w:tc>
      </w:tr>
      <w:tr>
        <w:tc>
          <w:tcPr/>
          <w:p>
            <w:pPr>
              <w:pStyle w:val="Compact"/>
              <w:jc w:val="left"/>
            </w:pPr>
            <w:r>
              <w:t xml:space="preserve">OSP</w:t>
            </w:r>
            <w:r>
              <w:t xml:space="preserve"> </w:t>
            </w:r>
            <w:r>
              <w:t xml:space="preserve">Version</w:t>
            </w:r>
          </w:p>
        </w:tc>
        <w:tc>
          <w:tcPr/>
          <w:p>
            <w:pPr>
              <w:pStyle w:val="Compact"/>
              <w:jc w:val="left"/>
            </w:pPr>
            <w:r>
              <w:t xml:space="preserve">12.0</w:t>
            </w:r>
          </w:p>
        </w:tc>
      </w:tr>
      <w:tr>
        <w:tc>
          <w:tcPr/>
          <w:p>
            <w:pPr>
              <w:pStyle w:val="Compact"/>
              <w:jc w:val="left"/>
            </w:pPr>
            <w:r>
              <w:t xml:space="preserve">Qualification</w:t>
            </w:r>
            <w:r>
              <w:t xml:space="preserve"> </w:t>
            </w:r>
            <w:r>
              <w:t xml:space="preserve">Framework</w:t>
            </w:r>
            <w:r>
              <w:t xml:space="preserve"> </w:t>
            </w:r>
            <w:r>
              <w:t xml:space="preserve">Version</w:t>
            </w:r>
          </w:p>
        </w:tc>
        <w:tc>
          <w:tcPr/>
          <w:p>
            <w:pPr>
              <w:pStyle w:val="Compact"/>
              <w:jc w:val="left"/>
            </w:pPr>
            <w:r>
              <w:t xml:space="preserve">3.3</w:t>
            </w:r>
          </w:p>
        </w:tc>
      </w:tr>
    </w:tbl>
    <w:p>
      <w:pPr>
        <w:pStyle w:val="Abstract"/>
      </w:pPr>
      <w:r>
        <w:t xml:space="preserve">This</w:t>
      </w:r>
      <w:r>
        <w:t xml:space="preserve"> </w:t>
      </w:r>
      <w:r>
        <w:t xml:space="preserve">evaluation</w:t>
      </w:r>
      <w:r>
        <w:t xml:space="preserve"> </w:t>
      </w:r>
      <w:r>
        <w:t xml:space="preserve">report</w:t>
      </w:r>
      <w:r>
        <w:t xml:space="preserve"> </w:t>
      </w:r>
      <w:r>
        <w:t xml:space="preserve">and</w:t>
      </w:r>
      <w:r>
        <w:t xml:space="preserve"> </w:t>
      </w:r>
      <w:r>
        <w:t xml:space="preserve">the</w:t>
      </w:r>
      <w:r>
        <w:t xml:space="preserve"> </w:t>
      </w:r>
      <w:r>
        <w:t xml:space="preserve">corresponding</w:t>
      </w:r>
      <w:r>
        <w:t xml:space="preserve"> </w:t>
      </w:r>
      <w:r>
        <w:t xml:space="preserve">PK-Sim</w:t>
      </w:r>
      <w:r>
        <w:t xml:space="preserve"> </w:t>
      </w:r>
      <w:r>
        <w:t xml:space="preserve">project</w:t>
      </w:r>
      <w:r>
        <w:t xml:space="preserve"> </w:t>
      </w:r>
      <w:r>
        <w:t xml:space="preserve">file</w:t>
      </w:r>
      <w:r>
        <w:t xml:space="preserve"> </w:t>
      </w:r>
      <w:r>
        <w:t xml:space="preserve">are</w:t>
      </w:r>
      <w:r>
        <w:t xml:space="preserve"> </w:t>
      </w:r>
      <w:r>
        <w:t xml:space="preserve">filed</w:t>
      </w:r>
      <w:r>
        <w:t xml:space="preserve"> </w:t>
      </w:r>
      <w:r>
        <w:t xml:space="preserve">at:</w:t>
      </w:r>
    </w:p>
    <w:p>
      <w:pPr>
        <w:pStyle w:val="Abstract"/>
      </w:pPr>
      <w:r>
        <w:t xml:space="preserve">https://github.com/Open-Systems-Pharmacology/OSP-PBPK-Model-Library/</w:t>
      </w:r>
    </w:p>
    <w:p>
      <w:pPr>
        <w:pStyle w:val="Abstract"/>
      </w:pPr>
      <w:br w:type="page"/>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bookmarkStart w:id="introduction" w:name="introduction"/>
      <w:bookmarkEnd w:id="introduction"/>
    </w:p>
    <w:p>
      <w:pPr>
        <w:pStyle w:val="FirstParagraph"/>
      </w:pPr>
      <w:r>
        <w:t xml:space="preserve">Clarithromycin is a widely prescribed macrolide antibiotic and a substrate and mechanism-based inactivator of CYP3A4. Furthermore, clarithromycin is a substrate and inhibitor of P-gp and an inhibitor of OATP1B1 and OATP1B3 (</w:t>
      </w:r>
      <w:hyperlink w:anchor="Xa559bd5247f9128e74e6edcc17de37648e8cde6">
        <w:r>
          <w:rPr>
            <w:rStyle w:val="Hyperlink"/>
          </w:rPr>
          <w:t xml:space="preserve">Eberl 2007</w:t>
        </w:r>
      </w:hyperlink>
      <w:r>
        <w:t xml:space="preserve">,</w:t>
      </w:r>
      <w:r>
        <w:t xml:space="preserve"> </w:t>
      </w:r>
      <w:hyperlink w:anchor="Xa559bd5247f9128e74e6edcc17de37648e8cde6">
        <w:r>
          <w:rPr>
            <w:rStyle w:val="Hyperlink"/>
          </w:rPr>
          <w:t xml:space="preserve">Seithel 2007</w:t>
        </w:r>
      </w:hyperlink>
      <w:r>
        <w:t xml:space="preserve">). Clarithromycin has been proposed as one of the best alternative CYP3A4 inhibitors for clinical DDI studies to avoid further use of ketoconazole.</w:t>
      </w:r>
    </w:p>
    <w:p>
      <w:pPr>
        <w:pStyle w:val="BodyText"/>
      </w:pPr>
      <w:r>
        <w:t xml:space="preserve">Objectives were to develop a fully mechanistic PBPK model for clarithromycin, describing its metabolism by CYP3A4 and its mechanism-based inactivation of the respective enzyme as well as its inhibition of P-gp.</w:t>
      </w:r>
    </w:p>
    <w:p>
      <w:pPr>
        <w:pStyle w:val="BodyText"/>
      </w:pPr>
      <w:r>
        <w:t xml:space="preserve">The presented clarithromycin model was developed by Moj et al. (</w:t>
      </w:r>
      <w:hyperlink w:anchor="Xa559bd5247f9128e74e6edcc17de37648e8cde6">
        <w:r>
          <w:rPr>
            <w:rStyle w:val="Hyperlink"/>
          </w:rPr>
          <w:t xml:space="preserve">Moj 2017</w:t>
        </w:r>
      </w:hyperlink>
      <w:r>
        <w:t xml:space="preserve">) and revised by Hanke et al. (</w:t>
      </w:r>
      <w:hyperlink w:anchor="Xa559bd5247f9128e74e6edcc17de37648e8cde6">
        <w:r>
          <w:rPr>
            <w:rStyle w:val="Hyperlink"/>
          </w:rPr>
          <w:t xml:space="preserve">Hanke 2018</w:t>
        </w:r>
      </w:hyperlink>
      <w:r>
        <w:t xml:space="preserve">).</w:t>
      </w:r>
    </w:p>
    <w:bookmarkEnd w:id="20"/>
    <w:bookmarkStart w:id="32" w:name="methods"/>
    <w:p>
      <w:pPr>
        <w:pStyle w:val="Heading1"/>
      </w:pPr>
      <w:r>
        <w:t xml:space="preserve">Methods</w:t>
      </w:r>
      <w:bookmarkStart w:id="methods" w:name="methods"/>
      <w:bookmarkEnd w:id="methods"/>
    </w:p>
    <w:bookmarkStart w:id="21" w:name="modeling-strategy"/>
    <w:p>
      <w:pPr>
        <w:pStyle w:val="Heading2"/>
      </w:pPr>
      <w:r>
        <w:t xml:space="preserve">Modeling Strategy</w:t>
      </w:r>
      <w:bookmarkStart w:id="modeling-strategy" w:name="modeling-strategy"/>
      <w:bookmarkEnd w:id="modeling-strategy"/>
    </w:p>
    <w:p>
      <w:pPr>
        <w:pStyle w:val="FirstParagraph"/>
      </w:pPr>
      <w:r>
        <w:t xml:space="preserve">The general workflow for building an adult PBPK model has been described by Kuepfer et al. (</w:t>
      </w:r>
      <w:hyperlink w:anchor="Xa559bd5247f9128e74e6edcc17de37648e8cde6">
        <w:r>
          <w:rPr>
            <w:rStyle w:val="Hyperlink"/>
          </w:rPr>
          <w:t xml:space="preserve">Kuepfer 2016</w:t>
        </w:r>
      </w:hyperlink>
      <w:r>
        <w:t xml:space="preserve">). Relevant information on the anthropometry (height, weight) was gathered from the respective clinical study, if reported. Information on physiological parameters (e.g. blood flows, organ volumes, hematocrit) in adults was gathered from the literature and has been incorporated in PK-Sim® as described previously (</w:t>
      </w:r>
      <w:hyperlink w:anchor="Xa559bd5247f9128e74e6edcc17de37648e8cde6">
        <w:r>
          <w:rPr>
            <w:rStyle w:val="Hyperlink"/>
          </w:rPr>
          <w:t xml:space="preserve">Willmann 2007</w:t>
        </w:r>
      </w:hyperlink>
      <w:r>
        <w:t xml:space="preserve">). The applied activity and variability of plasma proteins and active processes that are integrated into PK-Sim® are described in the publicly available</w:t>
      </w:r>
      <w:r>
        <w:t xml:space="preserve"> </w:t>
      </w:r>
      <w:r>
        <w:t xml:space="preserve">‘</w:t>
      </w:r>
      <w:r>
        <w:t xml:space="preserve">PK-Sim® Ontogeny Database Version 7.3</w:t>
      </w:r>
      <w:r>
        <w:t xml:space="preserve">’</w:t>
      </w:r>
      <w:r>
        <w:t xml:space="preserve"> </w:t>
      </w:r>
      <w:r>
        <w:t xml:space="preserve">(</w:t>
      </w:r>
      <w:hyperlink w:anchor="Xa559bd5247f9128e74e6edcc17de37648e8cde6">
        <w:r>
          <w:rPr>
            <w:rStyle w:val="Hyperlink"/>
          </w:rPr>
          <w:t xml:space="preserve">PK-Sim Ontogeny Database Version 7.3</w:t>
        </w:r>
      </w:hyperlink>
      <w:r>
        <w:t xml:space="preserve">).</w:t>
      </w:r>
    </w:p>
    <w:p>
      <w:pPr>
        <w:pStyle w:val="BodyText"/>
      </w:pPr>
      <w:r>
        <w:t xml:space="preserve">A typical European individual was used for the development of the clarithromycin model. The relative tissue-specific expression of CYP3A4 was implemented in accordance with literature information using the PK-Sim expression database RT-PCR profile. Enterohepatic recirculation was enabled as it is active under physiological conditions.</w:t>
      </w:r>
    </w:p>
    <w:p>
      <w:pPr>
        <w:pStyle w:val="BodyText"/>
      </w:pPr>
      <w:r>
        <w:t xml:space="preserve">Unknown parameters (see</w:t>
      </w:r>
      <w:r>
        <w:t xml:space="preserve"> </w:t>
      </w:r>
      <w:hyperlink w:anchor="X2a13133295efba879d59b4ecc1b6a15b8871330">
        <w:r>
          <w:rPr>
            <w:rStyle w:val="Hyperlink"/>
          </w:rPr>
          <w:t xml:space="preserve">Section 2.3.4</w:t>
        </w:r>
      </w:hyperlink>
      <w:r>
        <w:t xml:space="preserve">) were identified using the Parameter Identification module provided in PK-Sim®.</w:t>
      </w:r>
    </w:p>
    <w:p>
      <w:pPr>
        <w:pStyle w:val="BodyText"/>
      </w:pPr>
      <w:r>
        <w:t xml:space="preserve">The model was then verified by simulating the PK of additional clinical studies including a dose range of 100 to 1200 mg administered as single dose or as multiple doses.</w:t>
      </w:r>
    </w:p>
    <w:p>
      <w:pPr>
        <w:pStyle w:val="BodyText"/>
      </w:pPr>
      <w:r>
        <w:t xml:space="preserve">Details about input data (physicochemical,</w:t>
      </w:r>
      <w:r>
        <w:t xml:space="preserve"> </w:t>
      </w:r>
      <w:r>
        <w:rPr>
          <w:iCs/>
          <w:i/>
        </w:rPr>
        <w:t xml:space="preserve">in vitro</w:t>
      </w:r>
      <w:r>
        <w:t xml:space="preserve"> </w:t>
      </w:r>
      <w:r>
        <w:t xml:space="preserve">and clinical) can be found in</w:t>
      </w:r>
      <w:r>
        <w:t xml:space="preserve"> </w:t>
      </w:r>
      <w:hyperlink w:anchor="X681d1fae3f233cf07e1ee33c73d775b8586b96f">
        <w:r>
          <w:rPr>
            <w:rStyle w:val="Hyperlink"/>
          </w:rPr>
          <w:t xml:space="preserve">Section 2.2</w:t>
        </w:r>
      </w:hyperlink>
      <w:r>
        <w:t xml:space="preserve">.</w:t>
      </w:r>
    </w:p>
    <w:p>
      <w:pPr>
        <w:pStyle w:val="BodyText"/>
      </w:pPr>
      <w:r>
        <w:t xml:space="preserve">Details about the structural model and its parameters can be found in</w:t>
      </w:r>
      <w:r>
        <w:t xml:space="preserve"> </w:t>
      </w:r>
      <w:hyperlink w:anchor="X920e58f6eb345d17092abc826058b6950015cf7">
        <w:r>
          <w:rPr>
            <w:rStyle w:val="Hyperlink"/>
          </w:rPr>
          <w:t xml:space="preserve">Section 2.3</w:t>
        </w:r>
      </w:hyperlink>
      <w:r>
        <w:t xml:space="preserve">.</w:t>
      </w:r>
    </w:p>
    <w:bookmarkEnd w:id="21"/>
    <w:bookmarkStart w:id="26" w:name="data"/>
    <w:p>
      <w:pPr>
        <w:pStyle w:val="Heading2"/>
      </w:pPr>
      <w:r>
        <w:t xml:space="preserve">Data</w:t>
      </w:r>
      <w:bookmarkStart w:id="data" w:name="data"/>
      <w:bookmarkEnd w:id="data"/>
    </w:p>
    <w:bookmarkStart w:id="22" w:name="in-vitro-physicochemical-data"/>
    <w:p>
      <w:pPr>
        <w:pStyle w:val="Heading3"/>
      </w:pPr>
      <w:r>
        <w:t xml:space="preserve">2.2.1 In vitro / physicochemical Data</w:t>
      </w:r>
    </w:p>
    <w:p>
      <w:pPr>
        <w:pStyle w:val="FirstParagraph"/>
      </w:pPr>
      <w:r>
        <w:t xml:space="preserve">A literature search was performed to collect available information on physiochemical properties of clarithromycin. The obtained information from literature is summarized in the table below.</w:t>
      </w:r>
    </w:p>
    <w:tbl>
      <w:tblPr>
        <w:tblStyle w:val="Table"/>
        <w:tblW w:type="pct" w:w="5000"/>
        <w:tblLook w:firstRow="1" w:lastRow="0" w:firstColumn="0" w:lastColumn="0" w:noHBand="0" w:noVBand="0" w:val="0020"/>
        <w:jc w:val="start"/>
      </w:tblPr>
      <w:tblGrid>
        <w:gridCol w:w="1301"/>
        <w:gridCol w:w="433"/>
        <w:gridCol w:w="1247"/>
        <w:gridCol w:w="1681"/>
        <w:gridCol w:w="3254"/>
      </w:tblGrid>
      <w:tr>
        <w:trPr>
          <w:tblHeader w:val="true"/>
        </w:trPr>
        <w:tc>
          <w:tcPr/>
          <w:p>
            <w:pPr>
              <w:pStyle w:val="Compact"/>
              <w:jc w:val="left"/>
            </w:pPr>
            <w:r>
              <w:rPr>
                <w:bCs/>
                <w:b/>
              </w:rPr>
              <w:t xml:space="preserve">Parameter</w:t>
            </w:r>
          </w:p>
        </w:tc>
        <w:tc>
          <w:tcPr/>
          <w:p>
            <w:pPr>
              <w:pStyle w:val="Compact"/>
              <w:jc w:val="left"/>
            </w:pPr>
            <w:r>
              <w:rPr>
                <w:bCs/>
                <w:b/>
              </w:rPr>
              <w:t xml:space="preserve">Unit</w:t>
            </w:r>
          </w:p>
        </w:tc>
        <w:tc>
          <w:tcPr/>
          <w:p>
            <w:pPr>
              <w:pStyle w:val="Compact"/>
              <w:jc w:val="left"/>
            </w:pPr>
            <w:r>
              <w:rPr>
                <w:bCs/>
                <w:b/>
              </w:rPr>
              <w:t xml:space="preserve">Value</w:t>
            </w:r>
          </w:p>
        </w:tc>
        <w:tc>
          <w:tcPr/>
          <w:p>
            <w:pPr>
              <w:pStyle w:val="Compact"/>
              <w:jc w:val="left"/>
            </w:pPr>
            <w:r>
              <w:t xml:space="preserve">Source</w:t>
            </w:r>
          </w:p>
        </w:tc>
        <w:tc>
          <w:tcPr/>
          <w:p>
            <w:pPr>
              <w:pStyle w:val="Compact"/>
              <w:jc w:val="left"/>
            </w:pPr>
            <w:r>
              <w:rPr>
                <w:bCs/>
                <w:b/>
              </w:rPr>
              <w:t xml:space="preserve">Description</w:t>
            </w:r>
          </w:p>
        </w:tc>
      </w:tr>
      <w:tr>
        <w:tc>
          <w:tcPr/>
          <w:p>
            <w:pPr>
              <w:pStyle w:val="Compact"/>
              <w:jc w:val="left"/>
            </w:pPr>
            <w:r>
              <w:t xml:space="preserve">MW</w:t>
            </w:r>
          </w:p>
        </w:tc>
        <w:tc>
          <w:tcPr/>
          <w:p>
            <w:pPr>
              <w:pStyle w:val="Compact"/>
              <w:jc w:val="left"/>
            </w:pPr>
            <w:r>
              <w:t xml:space="preserve">g/mol</w:t>
            </w:r>
          </w:p>
        </w:tc>
        <w:tc>
          <w:tcPr/>
          <w:p>
            <w:pPr>
              <w:pStyle w:val="Compact"/>
              <w:jc w:val="left"/>
            </w:pPr>
            <w:r>
              <w:t xml:space="preserve">747.95</w:t>
            </w:r>
          </w:p>
        </w:tc>
        <w:tc>
          <w:tcPr/>
          <w:p>
            <w:pPr>
              <w:pStyle w:val="Compact"/>
              <w:jc w:val="left"/>
            </w:pPr>
            <w:hyperlink w:anchor="Xa559bd5247f9128e74e6edcc17de37648e8cde6">
              <w:r>
                <w:rPr>
                  <w:rStyle w:val="Hyperlink"/>
                </w:rPr>
                <w:t xml:space="preserve">drugbank.ca</w:t>
              </w:r>
            </w:hyperlink>
          </w:p>
        </w:tc>
        <w:tc>
          <w:tcPr/>
          <w:p>
            <w:pPr>
              <w:pStyle w:val="Compact"/>
              <w:jc w:val="left"/>
            </w:pPr>
            <w:r>
              <w:t xml:space="preserve">Molecular weight</w:t>
            </w:r>
          </w:p>
        </w:tc>
      </w:tr>
      <w:tr>
        <w:tc>
          <w:tcPr/>
          <w:p>
            <w:pPr>
              <w:pStyle w:val="Compact"/>
              <w:jc w:val="left"/>
            </w:pPr>
            <w:r>
              <w:t xml:space="preserve">pK</w:t>
            </w:r>
            <w:r>
              <w:rPr>
                <w:vertAlign w:val="subscript"/>
              </w:rPr>
              <w:t xml:space="preserve">a</w:t>
            </w:r>
            <w:r>
              <w:t xml:space="preserve"> </w:t>
            </w:r>
            <w:r>
              <w:t xml:space="preserve">(base)</w:t>
            </w:r>
          </w:p>
        </w:tc>
        <w:tc>
          <w:tcPr/>
          <w:p>
            <w:pPr>
              <w:pStyle w:val="Compact"/>
            </w:pPr>
          </w:p>
        </w:tc>
        <w:tc>
          <w:tcPr/>
          <w:p>
            <w:pPr>
              <w:pStyle w:val="Compact"/>
              <w:jc w:val="left"/>
            </w:pPr>
            <w:r>
              <w:t xml:space="preserve">8.99</w:t>
            </w:r>
          </w:p>
        </w:tc>
        <w:tc>
          <w:tcPr/>
          <w:p>
            <w:pPr>
              <w:pStyle w:val="Compact"/>
              <w:jc w:val="left"/>
            </w:pPr>
            <w:hyperlink w:anchor="Xa559bd5247f9128e74e6edcc17de37648e8cde6">
              <w:r>
                <w:rPr>
                  <w:rStyle w:val="Hyperlink"/>
                </w:rPr>
                <w:t xml:space="preserve">McFarland 1997</w:t>
              </w:r>
            </w:hyperlink>
          </w:p>
        </w:tc>
        <w:tc>
          <w:tcPr/>
          <w:p>
            <w:pPr>
              <w:pStyle w:val="Compact"/>
              <w:jc w:val="left"/>
            </w:pPr>
            <w:r>
              <w:t xml:space="preserve">Acid dissociation constant</w:t>
            </w:r>
          </w:p>
        </w:tc>
      </w:tr>
      <w:tr>
        <w:tc>
          <w:tcPr/>
          <w:p>
            <w:pPr>
              <w:pStyle w:val="Compact"/>
              <w:jc w:val="left"/>
            </w:pPr>
            <w:r>
              <w:t xml:space="preserve">Solubility (pH)</w:t>
            </w:r>
          </w:p>
        </w:tc>
        <w:tc>
          <w:tcPr/>
          <w:p>
            <w:pPr>
              <w:pStyle w:val="Compact"/>
              <w:jc w:val="left"/>
            </w:pPr>
            <w:r>
              <w:t xml:space="preserve">mg/L</w:t>
            </w:r>
          </w:p>
        </w:tc>
        <w:tc>
          <w:tcPr/>
          <w:p>
            <w:pPr>
              <w:pStyle w:val="Compact"/>
              <w:jc w:val="left"/>
            </w:pPr>
            <w:r>
              <w:t xml:space="preserve">12170 (2.4)</w:t>
            </w:r>
          </w:p>
        </w:tc>
        <w:tc>
          <w:tcPr/>
          <w:p>
            <w:pPr>
              <w:pStyle w:val="Compact"/>
              <w:jc w:val="left"/>
            </w:pPr>
            <w:hyperlink w:anchor="Xa559bd5247f9128e74e6edcc17de37648e8cde6">
              <w:r>
                <w:rPr>
                  <w:rStyle w:val="Hyperlink"/>
                </w:rPr>
                <w:t xml:space="preserve">Salem 2003</w:t>
              </w:r>
            </w:hyperlink>
          </w:p>
        </w:tc>
        <w:tc>
          <w:tcPr/>
          <w:p>
            <w:pPr>
              <w:pStyle w:val="Compact"/>
              <w:jc w:val="left"/>
            </w:pPr>
            <w:r>
              <w:t xml:space="preserve">Solubility</w:t>
            </w:r>
          </w:p>
        </w:tc>
      </w:tr>
      <w:tr>
        <w:tc>
          <w:tcPr/>
          <w:p>
            <w:pPr>
              <w:pStyle w:val="Compact"/>
              <w:jc w:val="left"/>
            </w:pPr>
            <w:r>
              <w:t xml:space="preserve">logP</w:t>
            </w:r>
          </w:p>
        </w:tc>
        <w:tc>
          <w:tcPr/>
          <w:p>
            <w:pPr>
              <w:pStyle w:val="Compact"/>
            </w:pPr>
          </w:p>
        </w:tc>
        <w:tc>
          <w:tcPr/>
          <w:p>
            <w:pPr>
              <w:pStyle w:val="Compact"/>
              <w:jc w:val="left"/>
            </w:pPr>
            <w:r>
              <w:t xml:space="preserve">2.3</w:t>
            </w:r>
          </w:p>
        </w:tc>
        <w:tc>
          <w:tcPr/>
          <w:p>
            <w:pPr>
              <w:pStyle w:val="Compact"/>
              <w:jc w:val="left"/>
            </w:pPr>
            <w:hyperlink w:anchor="Xa559bd5247f9128e74e6edcc17de37648e8cde6">
              <w:r>
                <w:rPr>
                  <w:rStyle w:val="Hyperlink"/>
                </w:rPr>
                <w:t xml:space="preserve">Lappin 2011</w:t>
              </w:r>
            </w:hyperlink>
          </w:p>
        </w:tc>
        <w:tc>
          <w:tcPr/>
          <w:p>
            <w:pPr>
              <w:pStyle w:val="Compact"/>
              <w:jc w:val="left"/>
            </w:pPr>
            <w:r>
              <w:t xml:space="preserve">Partition coefficient between octanol and water</w:t>
            </w:r>
          </w:p>
        </w:tc>
      </w:tr>
      <w:tr>
        <w:tc>
          <w:tcPr/>
          <w:p>
            <w:pPr>
              <w:pStyle w:val="Compact"/>
              <w:jc w:val="left"/>
            </w:pPr>
            <w:r>
              <w:t xml:space="preserve">fu</w:t>
            </w:r>
          </w:p>
        </w:tc>
        <w:tc>
          <w:tcPr/>
          <w:p>
            <w:pPr>
              <w:pStyle w:val="Compact"/>
              <w:jc w:val="left"/>
            </w:pPr>
            <w:r>
              <w:t xml:space="preserve">%</w:t>
            </w:r>
          </w:p>
        </w:tc>
        <w:tc>
          <w:tcPr/>
          <w:p>
            <w:pPr>
              <w:pStyle w:val="Compact"/>
              <w:jc w:val="left"/>
            </w:pPr>
            <w:r>
              <w:t xml:space="preserve">28.0</w:t>
            </w:r>
          </w:p>
        </w:tc>
        <w:tc>
          <w:tcPr/>
          <w:p>
            <w:pPr>
              <w:pStyle w:val="Compact"/>
              <w:jc w:val="left"/>
            </w:pPr>
            <w:hyperlink w:anchor="Xa559bd5247f9128e74e6edcc17de37648e8cde6">
              <w:r>
                <w:rPr>
                  <w:rStyle w:val="Hyperlink"/>
                </w:rPr>
                <w:t xml:space="preserve">Davey 1991</w:t>
              </w:r>
            </w:hyperlink>
          </w:p>
        </w:tc>
        <w:tc>
          <w:tcPr/>
          <w:p>
            <w:pPr>
              <w:pStyle w:val="Compact"/>
              <w:jc w:val="left"/>
            </w:pPr>
            <w:r>
              <w:t xml:space="preserve">Fraction unbound in plasma</w:t>
            </w:r>
          </w:p>
        </w:tc>
      </w:tr>
      <w:tr>
        <w:tc>
          <w:tcPr/>
          <w:p>
            <w:pPr>
              <w:pStyle w:val="Compact"/>
            </w:pPr>
          </w:p>
        </w:tc>
        <w:tc>
          <w:tcPr/>
          <w:p>
            <w:pPr>
              <w:pStyle w:val="Compact"/>
              <w:jc w:val="left"/>
            </w:pPr>
            <w:r>
              <w:t xml:space="preserve">%</w:t>
            </w:r>
          </w:p>
        </w:tc>
        <w:tc>
          <w:tcPr/>
          <w:p>
            <w:pPr>
              <w:pStyle w:val="Compact"/>
              <w:jc w:val="left"/>
            </w:pPr>
            <w:r>
              <w:t xml:space="preserve">30.0</w:t>
            </w:r>
          </w:p>
        </w:tc>
        <w:tc>
          <w:tcPr/>
          <w:p>
            <w:pPr>
              <w:pStyle w:val="Compact"/>
              <w:jc w:val="left"/>
            </w:pPr>
            <w:hyperlink w:anchor="Xa559bd5247f9128e74e6edcc17de37648e8cde6">
              <w:r>
                <w:rPr>
                  <w:rStyle w:val="Hyperlink"/>
                </w:rPr>
                <w:t xml:space="preserve">Chu 1993b</w:t>
              </w:r>
            </w:hyperlink>
          </w:p>
        </w:tc>
        <w:tc>
          <w:tcPr/>
          <w:p>
            <w:pPr>
              <w:pStyle w:val="Compact"/>
              <w:jc w:val="left"/>
            </w:pPr>
            <w:r>
              <w:t xml:space="preserve">Fraction unbound in plasma</w:t>
            </w:r>
          </w:p>
        </w:tc>
      </w:tr>
      <w:tr>
        <w:tc>
          <w:tcPr/>
          <w:p>
            <w:pPr>
              <w:pStyle w:val="Compact"/>
            </w:pPr>
          </w:p>
        </w:tc>
        <w:tc>
          <w:tcPr/>
          <w:p>
            <w:pPr>
              <w:pStyle w:val="Compact"/>
              <w:jc w:val="left"/>
            </w:pPr>
            <w:r>
              <w:t xml:space="preserve">%</w:t>
            </w:r>
          </w:p>
        </w:tc>
        <w:tc>
          <w:tcPr/>
          <w:p>
            <w:pPr>
              <w:pStyle w:val="Compact"/>
              <w:jc w:val="left"/>
            </w:pPr>
            <w:r>
              <w:t xml:space="preserve">40.0</w:t>
            </w:r>
          </w:p>
        </w:tc>
        <w:tc>
          <w:tcPr/>
          <w:p>
            <w:pPr>
              <w:pStyle w:val="Compact"/>
              <w:jc w:val="left"/>
            </w:pPr>
            <w:hyperlink w:anchor="Xa559bd5247f9128e74e6edcc17de37648e8cde6">
              <w:r>
                <w:rPr>
                  <w:rStyle w:val="Hyperlink"/>
                </w:rPr>
                <w:t xml:space="preserve">Noreddin 2002</w:t>
              </w:r>
            </w:hyperlink>
          </w:p>
        </w:tc>
        <w:tc>
          <w:tcPr/>
          <w:p>
            <w:pPr>
              <w:pStyle w:val="Compact"/>
              <w:jc w:val="left"/>
            </w:pPr>
            <w:r>
              <w:t xml:space="preserve">Fraction unbound in plasma</w:t>
            </w:r>
          </w:p>
        </w:tc>
      </w:tr>
      <w:tr>
        <w:tc>
          <w:tcPr/>
          <w:p>
            <w:pPr>
              <w:pStyle w:val="Compact"/>
              <w:jc w:val="left"/>
            </w:pPr>
            <w:r>
              <w:t xml:space="preserve">CYP3A4 K</w:t>
            </w:r>
            <w:r>
              <w:rPr>
                <w:vertAlign w:val="subscript"/>
              </w:rPr>
              <w:t xml:space="preserve">m</w:t>
            </w:r>
          </w:p>
        </w:tc>
        <w:tc>
          <w:tcPr/>
          <w:p>
            <w:pPr>
              <w:pStyle w:val="Compact"/>
              <w:jc w:val="left"/>
            </w:pPr>
            <w:r>
              <w:t xml:space="preserve">µmol/L</w:t>
            </w:r>
          </w:p>
        </w:tc>
        <w:tc>
          <w:tcPr/>
          <w:p>
            <w:pPr>
              <w:pStyle w:val="Compact"/>
              <w:jc w:val="left"/>
            </w:pPr>
            <w:r>
              <w:t xml:space="preserve">48.7</w:t>
            </w:r>
          </w:p>
        </w:tc>
        <w:tc>
          <w:tcPr/>
          <w:p>
            <w:pPr>
              <w:pStyle w:val="Compact"/>
              <w:jc w:val="left"/>
            </w:pPr>
            <w:hyperlink w:anchor="Xa559bd5247f9128e74e6edcc17de37648e8cde6">
              <w:r>
                <w:rPr>
                  <w:rStyle w:val="Hyperlink"/>
                </w:rPr>
                <w:t xml:space="preserve">Rodrigues 1997</w:t>
              </w:r>
            </w:hyperlink>
          </w:p>
        </w:tc>
        <w:tc>
          <w:tcPr/>
          <w:p>
            <w:pPr>
              <w:pStyle w:val="Compact"/>
              <w:jc w:val="left"/>
            </w:pPr>
            <w:r>
              <w:t xml:space="preserve">Michaelis-Menten constant for CYP3A4 metabolism</w:t>
            </w:r>
          </w:p>
        </w:tc>
      </w:tr>
      <w:tr>
        <w:tc>
          <w:tcPr/>
          <w:p>
            <w:pPr>
              <w:pStyle w:val="Compact"/>
              <w:jc w:val="left"/>
            </w:pPr>
            <w:r>
              <w:t xml:space="preserve">CL</w:t>
            </w:r>
            <w:r>
              <w:rPr>
                <w:vertAlign w:val="subscript"/>
              </w:rPr>
              <w:t xml:space="preserve">ren</w:t>
            </w:r>
          </w:p>
        </w:tc>
        <w:tc>
          <w:tcPr/>
          <w:p>
            <w:pPr>
              <w:pStyle w:val="Compact"/>
              <w:jc w:val="left"/>
            </w:pPr>
            <w:r>
              <w:t xml:space="preserve">L/h</w:t>
            </w:r>
          </w:p>
        </w:tc>
        <w:tc>
          <w:tcPr/>
          <w:p>
            <w:pPr>
              <w:pStyle w:val="Compact"/>
              <w:jc w:val="left"/>
            </w:pPr>
            <w:r>
              <w:t xml:space="preserve">6.66 - 12.8</w:t>
            </w:r>
            <w:r>
              <w:rPr>
                <w:vertAlign w:val="superscript"/>
              </w:rPr>
              <w:t xml:space="preserve">a</w:t>
            </w:r>
          </w:p>
        </w:tc>
        <w:tc>
          <w:tcPr/>
          <w:p>
            <w:pPr>
              <w:pStyle w:val="Compact"/>
              <w:jc w:val="left"/>
            </w:pPr>
            <w:hyperlink w:anchor="Xa559bd5247f9128e74e6edcc17de37648e8cde6">
              <w:r>
                <w:rPr>
                  <w:rStyle w:val="Hyperlink"/>
                </w:rPr>
                <w:t xml:space="preserve">Rodvold 1999</w:t>
              </w:r>
            </w:hyperlink>
          </w:p>
        </w:tc>
        <w:tc>
          <w:tcPr/>
          <w:p>
            <w:pPr>
              <w:pStyle w:val="Compact"/>
              <w:jc w:val="left"/>
            </w:pPr>
            <w:r>
              <w:t xml:space="preserve">Renal clearance</w:t>
            </w:r>
          </w:p>
        </w:tc>
      </w:tr>
      <w:tr>
        <w:tc>
          <w:tcPr/>
          <w:p>
            <w:pPr>
              <w:pStyle w:val="Compact"/>
              <w:jc w:val="left"/>
            </w:pPr>
            <w:r>
              <w:t xml:space="preserve">CYP3A4 K</w:t>
            </w:r>
            <w:r>
              <w:rPr>
                <w:vertAlign w:val="subscript"/>
              </w:rPr>
              <w:t xml:space="preserve">I</w:t>
            </w:r>
          </w:p>
        </w:tc>
        <w:tc>
          <w:tcPr/>
          <w:p>
            <w:pPr>
              <w:pStyle w:val="Compact"/>
              <w:jc w:val="left"/>
            </w:pPr>
            <w:r>
              <w:t xml:space="preserve">µmol/L</w:t>
            </w:r>
          </w:p>
        </w:tc>
        <w:tc>
          <w:tcPr/>
          <w:p>
            <w:pPr>
              <w:pStyle w:val="Compact"/>
              <w:jc w:val="left"/>
            </w:pPr>
            <w:r>
              <w:t xml:space="preserve">2.25</w:t>
            </w:r>
          </w:p>
        </w:tc>
        <w:tc>
          <w:tcPr/>
          <w:p>
            <w:pPr>
              <w:pStyle w:val="Compact"/>
              <w:jc w:val="left"/>
            </w:pPr>
            <w:hyperlink w:anchor="Xa559bd5247f9128e74e6edcc17de37648e8cde6">
              <w:r>
                <w:rPr>
                  <w:rStyle w:val="Hyperlink"/>
                </w:rPr>
                <w:t xml:space="preserve">Polasek 2006</w:t>
              </w:r>
            </w:hyperlink>
          </w:p>
        </w:tc>
        <w:tc>
          <w:tcPr/>
          <w:p>
            <w:pPr>
              <w:pStyle w:val="Compact"/>
              <w:jc w:val="left"/>
            </w:pPr>
            <w:r>
              <w:t xml:space="preserve">Conc. for half-maximal inactivation measured in recombinant CYP3A4</w:t>
            </w:r>
          </w:p>
        </w:tc>
      </w:tr>
      <w:tr>
        <w:tc>
          <w:tcPr/>
          <w:p>
            <w:pPr>
              <w:pStyle w:val="Compact"/>
            </w:pPr>
          </w:p>
        </w:tc>
        <w:tc>
          <w:tcPr/>
          <w:p>
            <w:pPr>
              <w:pStyle w:val="Compact"/>
              <w:jc w:val="left"/>
            </w:pPr>
            <w:r>
              <w:t xml:space="preserve">µmol/L</w:t>
            </w:r>
          </w:p>
        </w:tc>
        <w:tc>
          <w:tcPr/>
          <w:p>
            <w:pPr>
              <w:pStyle w:val="Compact"/>
              <w:jc w:val="left"/>
            </w:pPr>
            <w:r>
              <w:t xml:space="preserve">29.5</w:t>
            </w:r>
          </w:p>
        </w:tc>
        <w:tc>
          <w:tcPr/>
          <w:p>
            <w:pPr>
              <w:pStyle w:val="Compact"/>
              <w:jc w:val="left"/>
            </w:pPr>
            <w:hyperlink w:anchor="Xa559bd5247f9128e74e6edcc17de37648e8cde6">
              <w:r>
                <w:rPr>
                  <w:rStyle w:val="Hyperlink"/>
                </w:rPr>
                <w:t xml:space="preserve">Polasek 2006</w:t>
              </w:r>
            </w:hyperlink>
          </w:p>
        </w:tc>
        <w:tc>
          <w:tcPr/>
          <w:p>
            <w:pPr>
              <w:pStyle w:val="Compact"/>
              <w:jc w:val="left"/>
            </w:pPr>
            <w:r>
              <w:t xml:space="preserve">Conc. for half-maximal inactivation measured in human liver microsomes</w:t>
            </w:r>
          </w:p>
        </w:tc>
      </w:tr>
      <w:tr>
        <w:tc>
          <w:tcPr/>
          <w:p>
            <w:pPr>
              <w:pStyle w:val="Compact"/>
            </w:pPr>
          </w:p>
        </w:tc>
        <w:tc>
          <w:tcPr/>
          <w:p>
            <w:pPr>
              <w:pStyle w:val="Compact"/>
              <w:jc w:val="left"/>
            </w:pPr>
            <w:r>
              <w:t xml:space="preserve">µmol/L</w:t>
            </w:r>
          </w:p>
        </w:tc>
        <w:tc>
          <w:tcPr/>
          <w:p>
            <w:pPr>
              <w:pStyle w:val="Compact"/>
              <w:jc w:val="left"/>
            </w:pPr>
            <w:r>
              <w:t xml:space="preserve">41.4</w:t>
            </w:r>
          </w:p>
        </w:tc>
        <w:tc>
          <w:tcPr/>
          <w:p>
            <w:pPr>
              <w:pStyle w:val="Compact"/>
              <w:jc w:val="left"/>
            </w:pPr>
            <w:hyperlink w:anchor="Xa559bd5247f9128e74e6edcc17de37648e8cde6">
              <w:r>
                <w:rPr>
                  <w:rStyle w:val="Hyperlink"/>
                </w:rPr>
                <w:t xml:space="preserve">Ito 2003</w:t>
              </w:r>
            </w:hyperlink>
          </w:p>
        </w:tc>
        <w:tc>
          <w:tcPr/>
          <w:p>
            <w:pPr>
              <w:pStyle w:val="Compact"/>
              <w:jc w:val="left"/>
            </w:pPr>
            <w:r>
              <w:t xml:space="preserve">Conc. for half-maximal inactivation measured in human liver microsomes for α-hydroxylation of midazolam</w:t>
            </w:r>
          </w:p>
        </w:tc>
      </w:tr>
      <w:tr>
        <w:tc>
          <w:tcPr/>
          <w:p>
            <w:pPr>
              <w:pStyle w:val="Compact"/>
            </w:pPr>
          </w:p>
        </w:tc>
        <w:tc>
          <w:tcPr/>
          <w:p>
            <w:pPr>
              <w:pStyle w:val="Compact"/>
              <w:jc w:val="left"/>
            </w:pPr>
            <w:r>
              <w:t xml:space="preserve">µmol/L</w:t>
            </w:r>
          </w:p>
        </w:tc>
        <w:tc>
          <w:tcPr/>
          <w:p>
            <w:pPr>
              <w:pStyle w:val="Compact"/>
              <w:jc w:val="left"/>
            </w:pPr>
            <w:r>
              <w:t xml:space="preserve">37.0</w:t>
            </w:r>
          </w:p>
        </w:tc>
        <w:tc>
          <w:tcPr/>
          <w:p>
            <w:pPr>
              <w:pStyle w:val="Compact"/>
              <w:jc w:val="left"/>
            </w:pPr>
            <w:hyperlink w:anchor="Xa559bd5247f9128e74e6edcc17de37648e8cde6">
              <w:r>
                <w:rPr>
                  <w:rStyle w:val="Hyperlink"/>
                </w:rPr>
                <w:t xml:space="preserve">Ito 2003</w:t>
              </w:r>
            </w:hyperlink>
          </w:p>
        </w:tc>
        <w:tc>
          <w:tcPr/>
          <w:p>
            <w:pPr>
              <w:pStyle w:val="Compact"/>
              <w:jc w:val="left"/>
            </w:pPr>
            <w:r>
              <w:t xml:space="preserve">Conc. for half-maximal inactivation measured in human liver microsomes for 4-hydroxylation of midazolam</w:t>
            </w:r>
          </w:p>
        </w:tc>
      </w:tr>
      <w:tr>
        <w:tc>
          <w:tcPr/>
          <w:p>
            <w:pPr>
              <w:pStyle w:val="Compact"/>
            </w:pPr>
          </w:p>
        </w:tc>
        <w:tc>
          <w:tcPr/>
          <w:p>
            <w:pPr>
              <w:pStyle w:val="Compact"/>
              <w:jc w:val="left"/>
            </w:pPr>
            <w:r>
              <w:t xml:space="preserve">µmol/L</w:t>
            </w:r>
          </w:p>
        </w:tc>
        <w:tc>
          <w:tcPr/>
          <w:p>
            <w:pPr>
              <w:pStyle w:val="Compact"/>
              <w:jc w:val="left"/>
            </w:pPr>
            <w:r>
              <w:t xml:space="preserve">5.49</w:t>
            </w:r>
          </w:p>
        </w:tc>
        <w:tc>
          <w:tcPr/>
          <w:p>
            <w:pPr>
              <w:pStyle w:val="Compact"/>
              <w:jc w:val="left"/>
            </w:pPr>
            <w:hyperlink w:anchor="Xa559bd5247f9128e74e6edcc17de37648e8cde6">
              <w:r>
                <w:rPr>
                  <w:rStyle w:val="Hyperlink"/>
                </w:rPr>
                <w:t xml:space="preserve">Mayhew 2000</w:t>
              </w:r>
            </w:hyperlink>
          </w:p>
        </w:tc>
        <w:tc>
          <w:tcPr/>
          <w:p>
            <w:pPr>
              <w:pStyle w:val="Compact"/>
              <w:jc w:val="left"/>
            </w:pPr>
            <w:r>
              <w:t xml:space="preserve">Conc. for half-maximal inactivation measured in human liver microsomes</w:t>
            </w:r>
          </w:p>
        </w:tc>
      </w:tr>
      <w:tr>
        <w:tc>
          <w:tcPr/>
          <w:p>
            <w:pPr>
              <w:pStyle w:val="Compact"/>
              <w:jc w:val="left"/>
            </w:pPr>
            <w:r>
              <w:t xml:space="preserve">CYP3A4 k</w:t>
            </w:r>
            <w:r>
              <w:rPr>
                <w:vertAlign w:val="subscript"/>
              </w:rPr>
              <w:t xml:space="preserve">inact</w:t>
            </w:r>
          </w:p>
        </w:tc>
        <w:tc>
          <w:tcPr/>
          <w:p>
            <w:pPr>
              <w:pStyle w:val="Compact"/>
              <w:jc w:val="left"/>
            </w:pPr>
            <w:r>
              <w:t xml:space="preserve">1/min</w:t>
            </w:r>
          </w:p>
        </w:tc>
        <w:tc>
          <w:tcPr/>
          <w:p>
            <w:pPr>
              <w:pStyle w:val="Compact"/>
              <w:jc w:val="left"/>
            </w:pPr>
            <w:r>
              <w:t xml:space="preserve">0.04</w:t>
            </w:r>
          </w:p>
        </w:tc>
        <w:tc>
          <w:tcPr/>
          <w:p>
            <w:pPr>
              <w:pStyle w:val="Compact"/>
              <w:jc w:val="left"/>
            </w:pPr>
            <w:hyperlink w:anchor="Xa559bd5247f9128e74e6edcc17de37648e8cde6">
              <w:r>
                <w:rPr>
                  <w:rStyle w:val="Hyperlink"/>
                </w:rPr>
                <w:t xml:space="preserve">Polasek 2006</w:t>
              </w:r>
            </w:hyperlink>
            <w:r>
              <w:t xml:space="preserve">,</w:t>
            </w:r>
          </w:p>
        </w:tc>
        <w:tc>
          <w:tcPr/>
          <w:p>
            <w:pPr>
              <w:pStyle w:val="Compact"/>
              <w:jc w:val="left"/>
            </w:pPr>
            <w:r>
              <w:t xml:space="preserve">Maximum inactivation rate measured in recombinant CYP3A4</w:t>
            </w:r>
          </w:p>
        </w:tc>
      </w:tr>
      <w:tr>
        <w:tc>
          <w:tcPr/>
          <w:p>
            <w:pPr>
              <w:pStyle w:val="Compact"/>
            </w:pPr>
          </w:p>
        </w:tc>
        <w:tc>
          <w:tcPr/>
          <w:p>
            <w:pPr>
              <w:pStyle w:val="Compact"/>
              <w:jc w:val="left"/>
            </w:pPr>
            <w:r>
              <w:t xml:space="preserve">1/min</w:t>
            </w:r>
          </w:p>
        </w:tc>
        <w:tc>
          <w:tcPr/>
          <w:p>
            <w:pPr>
              <w:pStyle w:val="Compact"/>
              <w:jc w:val="left"/>
            </w:pPr>
            <w:r>
              <w:t xml:space="preserve">0.05</w:t>
            </w:r>
          </w:p>
        </w:tc>
        <w:tc>
          <w:tcPr/>
          <w:p>
            <w:pPr>
              <w:pStyle w:val="Compact"/>
              <w:jc w:val="left"/>
            </w:pPr>
            <w:hyperlink w:anchor="Xa559bd5247f9128e74e6edcc17de37648e8cde6">
              <w:r>
                <w:rPr>
                  <w:rStyle w:val="Hyperlink"/>
                </w:rPr>
                <w:t xml:space="preserve">Polasek 2006</w:t>
              </w:r>
            </w:hyperlink>
          </w:p>
        </w:tc>
        <w:tc>
          <w:tcPr/>
          <w:p>
            <w:pPr>
              <w:pStyle w:val="Compact"/>
              <w:jc w:val="left"/>
            </w:pPr>
            <w:r>
              <w:t xml:space="preserve">Maximum inactivation rate measured in human liver microsomes</w:t>
            </w:r>
          </w:p>
        </w:tc>
      </w:tr>
      <w:tr>
        <w:tc>
          <w:tcPr/>
          <w:p>
            <w:pPr>
              <w:pStyle w:val="Compact"/>
            </w:pPr>
          </w:p>
        </w:tc>
        <w:tc>
          <w:tcPr/>
          <w:p>
            <w:pPr>
              <w:pStyle w:val="Compact"/>
              <w:jc w:val="left"/>
            </w:pPr>
            <w:r>
              <w:t xml:space="preserve">1/min</w:t>
            </w:r>
          </w:p>
        </w:tc>
        <w:tc>
          <w:tcPr/>
          <w:p>
            <w:pPr>
              <w:pStyle w:val="Compact"/>
              <w:jc w:val="left"/>
            </w:pPr>
            <w:r>
              <w:t xml:space="preserve">0.0423</w:t>
            </w:r>
          </w:p>
        </w:tc>
        <w:tc>
          <w:tcPr/>
          <w:p>
            <w:pPr>
              <w:pStyle w:val="Compact"/>
              <w:jc w:val="left"/>
            </w:pPr>
            <w:hyperlink w:anchor="Xa559bd5247f9128e74e6edcc17de37648e8cde6">
              <w:r>
                <w:rPr>
                  <w:rStyle w:val="Hyperlink"/>
                </w:rPr>
                <w:t xml:space="preserve">Ito 2003</w:t>
              </w:r>
            </w:hyperlink>
          </w:p>
        </w:tc>
        <w:tc>
          <w:tcPr/>
          <w:p>
            <w:pPr>
              <w:pStyle w:val="Compact"/>
              <w:jc w:val="left"/>
            </w:pPr>
            <w:r>
              <w:t xml:space="preserve">Maximum inactivation rate measured in human liver microsomes for α-hydroxylation of midazolam</w:t>
            </w:r>
          </w:p>
        </w:tc>
      </w:tr>
      <w:tr>
        <w:tc>
          <w:tcPr/>
          <w:p>
            <w:pPr>
              <w:pStyle w:val="Compact"/>
            </w:pPr>
          </w:p>
        </w:tc>
        <w:tc>
          <w:tcPr/>
          <w:p>
            <w:pPr>
              <w:pStyle w:val="Compact"/>
              <w:jc w:val="left"/>
            </w:pPr>
            <w:r>
              <w:t xml:space="preserve">1/min</w:t>
            </w:r>
          </w:p>
        </w:tc>
        <w:tc>
          <w:tcPr/>
          <w:p>
            <w:pPr>
              <w:pStyle w:val="Compact"/>
              <w:jc w:val="left"/>
            </w:pPr>
            <w:r>
              <w:t xml:space="preserve">0.0459</w:t>
            </w:r>
          </w:p>
        </w:tc>
        <w:tc>
          <w:tcPr/>
          <w:p>
            <w:pPr>
              <w:pStyle w:val="Compact"/>
              <w:jc w:val="left"/>
            </w:pPr>
            <w:hyperlink w:anchor="Xa559bd5247f9128e74e6edcc17de37648e8cde6">
              <w:r>
                <w:rPr>
                  <w:rStyle w:val="Hyperlink"/>
                </w:rPr>
                <w:t xml:space="preserve">Ito 2003</w:t>
              </w:r>
            </w:hyperlink>
          </w:p>
        </w:tc>
        <w:tc>
          <w:tcPr/>
          <w:p>
            <w:pPr>
              <w:pStyle w:val="Compact"/>
              <w:jc w:val="left"/>
            </w:pPr>
            <w:r>
              <w:t xml:space="preserve">Maximum inactivation rate measured in human liver microsomes for 4-hydroxylation of midazolam</w:t>
            </w:r>
          </w:p>
        </w:tc>
      </w:tr>
      <w:tr>
        <w:tc>
          <w:tcPr/>
          <w:p>
            <w:pPr>
              <w:pStyle w:val="Compact"/>
            </w:pPr>
          </w:p>
        </w:tc>
        <w:tc>
          <w:tcPr/>
          <w:p>
            <w:pPr>
              <w:pStyle w:val="Compact"/>
              <w:jc w:val="left"/>
            </w:pPr>
            <w:r>
              <w:t xml:space="preserve">1/min</w:t>
            </w:r>
          </w:p>
        </w:tc>
        <w:tc>
          <w:tcPr/>
          <w:p>
            <w:pPr>
              <w:pStyle w:val="Compact"/>
              <w:jc w:val="left"/>
            </w:pPr>
            <w:r>
              <w:t xml:space="preserve">0.072</w:t>
            </w:r>
          </w:p>
        </w:tc>
        <w:tc>
          <w:tcPr/>
          <w:p>
            <w:pPr>
              <w:pStyle w:val="Compact"/>
              <w:jc w:val="left"/>
            </w:pPr>
            <w:hyperlink w:anchor="Xa559bd5247f9128e74e6edcc17de37648e8cde6">
              <w:r>
                <w:rPr>
                  <w:rStyle w:val="Hyperlink"/>
                </w:rPr>
                <w:t xml:space="preserve">Mayhew 2000</w:t>
              </w:r>
            </w:hyperlink>
          </w:p>
        </w:tc>
        <w:tc>
          <w:tcPr/>
          <w:p>
            <w:pPr>
              <w:pStyle w:val="Compact"/>
              <w:jc w:val="left"/>
            </w:pPr>
            <w:r>
              <w:t xml:space="preserve">Maximum inactivation rate measured in human liver microsomes</w:t>
            </w:r>
          </w:p>
        </w:tc>
      </w:tr>
      <w:tr>
        <w:tc>
          <w:tcPr/>
          <w:p>
            <w:pPr>
              <w:pStyle w:val="Compact"/>
              <w:jc w:val="left"/>
            </w:pPr>
            <w:r>
              <w:t xml:space="preserve">P-gp K</w:t>
            </w:r>
            <w:r>
              <w:rPr>
                <w:vertAlign w:val="subscript"/>
              </w:rPr>
              <w:t xml:space="preserve">i</w:t>
            </w:r>
          </w:p>
        </w:tc>
        <w:tc>
          <w:tcPr/>
          <w:p>
            <w:pPr>
              <w:pStyle w:val="Compact"/>
              <w:jc w:val="left"/>
            </w:pPr>
            <w:r>
              <w:t xml:space="preserve">µmol/L</w:t>
            </w:r>
          </w:p>
        </w:tc>
        <w:tc>
          <w:tcPr/>
          <w:p>
            <w:pPr>
              <w:pStyle w:val="Compact"/>
              <w:jc w:val="left"/>
            </w:pPr>
            <w:r>
              <w:t xml:space="preserve">4.1</w:t>
            </w:r>
          </w:p>
        </w:tc>
        <w:tc>
          <w:tcPr/>
          <w:p>
            <w:pPr>
              <w:pStyle w:val="Compact"/>
              <w:jc w:val="left"/>
            </w:pPr>
            <w:hyperlink w:anchor="Xa559bd5247f9128e74e6edcc17de37648e8cde6">
              <w:r>
                <w:rPr>
                  <w:rStyle w:val="Hyperlink"/>
                </w:rPr>
                <w:t xml:space="preserve">Eberl 2007</w:t>
              </w:r>
            </w:hyperlink>
          </w:p>
        </w:tc>
        <w:tc>
          <w:tcPr/>
          <w:p>
            <w:pPr>
              <w:pStyle w:val="Compact"/>
              <w:jc w:val="left"/>
            </w:pPr>
            <w:r>
              <w:t xml:space="preserve">Conc. for half-maximal inhibition</w:t>
            </w:r>
          </w:p>
        </w:tc>
      </w:tr>
      <w:tr>
        <w:tc>
          <w:tcPr/>
          <w:p>
            <w:pPr>
              <w:pStyle w:val="Compact"/>
              <w:jc w:val="left"/>
            </w:pPr>
            <w:r>
              <w:t xml:space="preserve">OATP1B1 IC</w:t>
            </w:r>
            <w:r>
              <w:rPr>
                <w:vertAlign w:val="subscript"/>
              </w:rPr>
              <w:t xml:space="preserve">50</w:t>
            </w:r>
          </w:p>
        </w:tc>
        <w:tc>
          <w:tcPr/>
          <w:p>
            <w:pPr>
              <w:pStyle w:val="Compact"/>
              <w:jc w:val="left"/>
            </w:pPr>
            <w:r>
              <w:t xml:space="preserve">µmol/L</w:t>
            </w:r>
          </w:p>
        </w:tc>
        <w:tc>
          <w:tcPr/>
          <w:p>
            <w:pPr>
              <w:pStyle w:val="Compact"/>
              <w:jc w:val="left"/>
            </w:pPr>
            <w:r>
              <w:t xml:space="preserve">5.3 ± 1.3</w:t>
            </w:r>
            <w:r>
              <w:rPr>
                <w:vertAlign w:val="superscript"/>
              </w:rPr>
              <w:t xml:space="preserve">b</w:t>
            </w:r>
          </w:p>
        </w:tc>
        <w:tc>
          <w:tcPr/>
          <w:p>
            <w:pPr>
              <w:pStyle w:val="Compact"/>
              <w:jc w:val="left"/>
            </w:pPr>
            <w:hyperlink w:anchor="Xa559bd5247f9128e74e6edcc17de37648e8cde6">
              <w:r>
                <w:rPr>
                  <w:rStyle w:val="Hyperlink"/>
                </w:rPr>
                <w:t xml:space="preserve">Vermeer 2016</w:t>
              </w:r>
            </w:hyperlink>
          </w:p>
        </w:tc>
        <w:tc>
          <w:tcPr/>
          <w:p>
            <w:pPr>
              <w:pStyle w:val="Compact"/>
              <w:jc w:val="left"/>
            </w:pPr>
            <w:r>
              <w:t xml:space="preserve">Half-maximal inhibitory concentration</w:t>
            </w:r>
          </w:p>
        </w:tc>
      </w:tr>
      <w:tr>
        <w:tc>
          <w:tcPr/>
          <w:p>
            <w:pPr>
              <w:pStyle w:val="Compact"/>
              <w:jc w:val="left"/>
            </w:pPr>
            <w:r>
              <w:t xml:space="preserve">OATP1B3 IC</w:t>
            </w:r>
            <w:r>
              <w:rPr>
                <w:vertAlign w:val="subscript"/>
              </w:rPr>
              <w:t xml:space="preserve">50</w:t>
            </w:r>
          </w:p>
        </w:tc>
        <w:tc>
          <w:tcPr/>
          <w:p>
            <w:pPr>
              <w:pStyle w:val="Compact"/>
              <w:jc w:val="left"/>
            </w:pPr>
            <w:r>
              <w:t xml:space="preserve">µmol/L</w:t>
            </w:r>
          </w:p>
        </w:tc>
        <w:tc>
          <w:tcPr/>
          <w:p>
            <w:pPr>
              <w:pStyle w:val="Compact"/>
              <w:jc w:val="left"/>
            </w:pPr>
            <w:r>
              <w:t xml:space="preserve">14 ± 2</w:t>
            </w:r>
            <w:r>
              <w:rPr>
                <w:vertAlign w:val="superscript"/>
              </w:rPr>
              <w:t xml:space="preserve">b</w:t>
            </w:r>
          </w:p>
        </w:tc>
        <w:tc>
          <w:tcPr/>
          <w:p>
            <w:pPr>
              <w:pStyle w:val="Compact"/>
              <w:jc w:val="left"/>
            </w:pPr>
            <w:hyperlink w:anchor="Xa559bd5247f9128e74e6edcc17de37648e8cde6">
              <w:r>
                <w:rPr>
                  <w:rStyle w:val="Hyperlink"/>
                </w:rPr>
                <w:t xml:space="preserve">Vermeer 2016</w:t>
              </w:r>
            </w:hyperlink>
          </w:p>
        </w:tc>
        <w:tc>
          <w:tcPr/>
          <w:p>
            <w:pPr>
              <w:pStyle w:val="Compact"/>
              <w:jc w:val="left"/>
            </w:pPr>
            <w:r>
              <w:t xml:space="preserve">Half-maximal inhibitory concentration</w:t>
            </w:r>
          </w:p>
        </w:tc>
      </w:tr>
    </w:tbl>
    <w:p>
      <w:pPr>
        <w:pStyle w:val="BodyText"/>
      </w:pPr>
      <w:r>
        <w:rPr>
          <w:vertAlign w:val="superscript"/>
        </w:rPr>
        <w:t xml:space="preserve">a</w:t>
      </w:r>
      <w:r>
        <w:t xml:space="preserve"> </w:t>
      </w:r>
      <w:r>
        <w:t xml:space="preserve">denotes range of reported values</w:t>
      </w:r>
    </w:p>
    <w:p>
      <w:pPr>
        <w:pStyle w:val="BodyText"/>
      </w:pPr>
      <w:r>
        <w:rPr>
          <w:vertAlign w:val="superscript"/>
        </w:rPr>
        <w:t xml:space="preserve">b</w:t>
      </w:r>
      <w:r>
        <w:t xml:space="preserve"> </w:t>
      </w:r>
      <w:r>
        <w:t xml:space="preserve">denotes mean ± standard error of the mean of the measurements (two assays, each performed in triplicate)</w:t>
      </w:r>
    </w:p>
    <w:bookmarkEnd w:id="22"/>
    <w:bookmarkStart w:id="25" w:name="clinical-data"/>
    <w:p>
      <w:pPr>
        <w:pStyle w:val="Heading3"/>
      </w:pPr>
      <w:r>
        <w:t xml:space="preserve">2.2.2 Clinical Data</w:t>
      </w:r>
    </w:p>
    <w:p>
      <w:pPr>
        <w:pStyle w:val="FirstParagraph"/>
      </w:pPr>
      <w:r>
        <w:t xml:space="preserve">A literature search was performed to collect available clinical data on clarithromycin in healthy adults. The clarithromycin model was developed using 17 clinical studies covering a dosing range from 100 to 1200 mg.</w:t>
      </w:r>
    </w:p>
    <w:bookmarkStart w:id="23" w:name="model-building"/>
    <w:p>
      <w:pPr>
        <w:pStyle w:val="Heading4"/>
      </w:pPr>
      <w:r>
        <w:t xml:space="preserve">2.2.2.1 Model Building</w:t>
      </w:r>
    </w:p>
    <w:p>
      <w:pPr>
        <w:pStyle w:val="FirstParagraph"/>
      </w:pPr>
      <w:r>
        <w:t xml:space="preserve">The following studies were used for model building (training data):</w:t>
      </w:r>
    </w:p>
    <w:tbl>
      <w:tblPr>
        <w:tblStyle w:val="Table"/>
        <w:tblW w:type="pct" w:w="5000"/>
        <w:tblLook w:firstRow="1" w:lastRow="0" w:firstColumn="0" w:lastColumn="0" w:noHBand="0" w:noVBand="0" w:val="0020"/>
        <w:jc w:val="start"/>
      </w:tblPr>
      <w:tblGrid>
        <w:gridCol w:w="2394"/>
        <w:gridCol w:w="5525"/>
      </w:tblGrid>
      <w:tr>
        <w:trPr>
          <w:tblHeader w:val="true"/>
        </w:trPr>
        <w:tc>
          <w:tcPr/>
          <w:p>
            <w:pPr>
              <w:pStyle w:val="Compact"/>
              <w:jc w:val="left"/>
            </w:pPr>
            <w:r>
              <w:t xml:space="preserve">Publication</w:t>
            </w:r>
          </w:p>
        </w:tc>
        <w:tc>
          <w:tcPr/>
          <w:p>
            <w:pPr>
              <w:pStyle w:val="Compact"/>
              <w:jc w:val="left"/>
            </w:pPr>
            <w:r>
              <w:t xml:space="preserve">Arm / Treatment / Information used for model building</w:t>
            </w:r>
          </w:p>
        </w:tc>
      </w:tr>
      <w:tr>
        <w:tc>
          <w:tcPr/>
          <w:p>
            <w:pPr>
              <w:pStyle w:val="Compact"/>
              <w:jc w:val="left"/>
            </w:pPr>
            <w:hyperlink w:anchor="Xa559bd5247f9128e74e6edcc17de37648e8cde6">
              <w:r>
                <w:rPr>
                  <w:rStyle w:val="Hyperlink"/>
                </w:rPr>
                <w:t xml:space="preserve">Chu 1992b</w:t>
              </w:r>
            </w:hyperlink>
          </w:p>
        </w:tc>
        <w:tc>
          <w:tcPr/>
          <w:p>
            <w:pPr>
              <w:pStyle w:val="Compact"/>
              <w:jc w:val="left"/>
            </w:pPr>
            <w:r>
              <w:t xml:space="preserve">Healthy subjects with intravenous infusion of 250 mg over 45 min</w:t>
            </w:r>
          </w:p>
        </w:tc>
      </w:tr>
      <w:tr>
        <w:tc>
          <w:tcPr/>
          <w:p>
            <w:pPr>
              <w:pStyle w:val="Compact"/>
              <w:jc w:val="left"/>
            </w:pPr>
            <w:hyperlink w:anchor="Xa559bd5247f9128e74e6edcc17de37648e8cde6">
              <w:r>
                <w:rPr>
                  <w:rStyle w:val="Hyperlink"/>
                </w:rPr>
                <w:t xml:space="preserve">Chu 1993a</w:t>
              </w:r>
            </w:hyperlink>
          </w:p>
        </w:tc>
        <w:tc>
          <w:tcPr/>
          <w:p>
            <w:pPr>
              <w:pStyle w:val="Compact"/>
              <w:jc w:val="left"/>
            </w:pPr>
            <w:r>
              <w:t xml:space="preserve">Healthy subjects with oral administration of 250 or 500 mg as single dose or twice daily for 5 days</w:t>
            </w:r>
          </w:p>
        </w:tc>
      </w:tr>
    </w:tbl>
    <w:bookmarkEnd w:id="23"/>
    <w:bookmarkStart w:id="24" w:name="model-verification"/>
    <w:p>
      <w:pPr>
        <w:pStyle w:val="Heading4"/>
      </w:pPr>
      <w:r>
        <w:t xml:space="preserve">2.2.2.2 Model Verification</w:t>
      </w:r>
    </w:p>
    <w:p>
      <w:pPr>
        <w:pStyle w:val="FirstParagraph"/>
      </w:pPr>
      <w:r>
        <w:t xml:space="preserve">The following studies were used for model verification (test data):</w:t>
      </w:r>
    </w:p>
    <w:tbl>
      <w:tblPr>
        <w:tblStyle w:val="Table"/>
        <w:tblW w:type="pct" w:w="5000"/>
        <w:tblLook w:firstRow="1" w:lastRow="0" w:firstColumn="0" w:lastColumn="0" w:noHBand="0" w:noVBand="0" w:val="0020"/>
        <w:jc w:val="start"/>
      </w:tblPr>
      <w:tblGrid>
        <w:gridCol w:w="2917"/>
        <w:gridCol w:w="5002"/>
      </w:tblGrid>
      <w:tr>
        <w:trPr>
          <w:tblHeader w:val="true"/>
        </w:trPr>
        <w:tc>
          <w:tcPr/>
          <w:p>
            <w:pPr>
              <w:pStyle w:val="Compact"/>
              <w:jc w:val="left"/>
            </w:pPr>
            <w:r>
              <w:t xml:space="preserve">Publication</w:t>
            </w:r>
          </w:p>
        </w:tc>
        <w:tc>
          <w:tcPr/>
          <w:p>
            <w:pPr>
              <w:pStyle w:val="Compact"/>
              <w:jc w:val="left"/>
            </w:pPr>
            <w:r>
              <w:t xml:space="preserve">Arm / Treatment / Information used for model building</w:t>
            </w:r>
          </w:p>
        </w:tc>
      </w:tr>
      <w:tr>
        <w:tc>
          <w:tcPr/>
          <w:p>
            <w:pPr>
              <w:pStyle w:val="Compact"/>
              <w:jc w:val="left"/>
            </w:pPr>
            <w:hyperlink w:anchor="Xa559bd5247f9128e74e6edcc17de37648e8cde6">
              <w:r>
                <w:rPr>
                  <w:rStyle w:val="Hyperlink"/>
                </w:rPr>
                <w:t xml:space="preserve">Chu 1992a</w:t>
              </w:r>
            </w:hyperlink>
          </w:p>
        </w:tc>
        <w:tc>
          <w:tcPr/>
          <w:p>
            <w:pPr>
              <w:pStyle w:val="Compact"/>
              <w:jc w:val="left"/>
            </w:pPr>
            <w:r>
              <w:t xml:space="preserve">Healthy Subjects with oral administration of single doses ranging from 100 to 1200 mg</w:t>
            </w:r>
          </w:p>
        </w:tc>
      </w:tr>
      <w:tr>
        <w:tc>
          <w:tcPr/>
          <w:p>
            <w:pPr>
              <w:pStyle w:val="Compact"/>
              <w:jc w:val="left"/>
            </w:pPr>
            <w:hyperlink w:anchor="Xa559bd5247f9128e74e6edcc17de37648e8cde6">
              <w:r>
                <w:rPr>
                  <w:rStyle w:val="Hyperlink"/>
                </w:rPr>
                <w:t xml:space="preserve">Kees 1995</w:t>
              </w:r>
            </w:hyperlink>
          </w:p>
        </w:tc>
        <w:tc>
          <w:tcPr/>
          <w:p>
            <w:pPr>
              <w:pStyle w:val="Compact"/>
              <w:jc w:val="left"/>
            </w:pPr>
            <w:r>
              <w:t xml:space="preserve">Healthy subjects with oral administration of 250 or 500 mg as single or multiple dose</w:t>
            </w:r>
          </w:p>
        </w:tc>
      </w:tr>
      <w:tr>
        <w:tc>
          <w:tcPr/>
          <w:p>
            <w:pPr>
              <w:pStyle w:val="Compact"/>
              <w:jc w:val="left"/>
            </w:pPr>
            <w:hyperlink w:anchor="Xa559bd5247f9128e74e6edcc17de37648e8cde6">
              <w:r>
                <w:rPr>
                  <w:rStyle w:val="Hyperlink"/>
                </w:rPr>
                <w:t xml:space="preserve">Rengelshausen 2003</w:t>
              </w:r>
            </w:hyperlink>
          </w:p>
        </w:tc>
        <w:tc>
          <w:tcPr/>
          <w:p>
            <w:pPr>
              <w:pStyle w:val="Compact"/>
              <w:jc w:val="left"/>
            </w:pPr>
            <w:r>
              <w:t xml:space="preserve">Oral administration of 250 mg twice a day for 1.5 days</w:t>
            </w:r>
          </w:p>
        </w:tc>
      </w:tr>
      <w:tr>
        <w:tc>
          <w:tcPr/>
          <w:p>
            <w:pPr>
              <w:pStyle w:val="Compact"/>
              <w:jc w:val="left"/>
            </w:pPr>
            <w:hyperlink w:anchor="Xa559bd5247f9128e74e6edcc17de37648e8cde6">
              <w:r>
                <w:rPr>
                  <w:rStyle w:val="Hyperlink"/>
                </w:rPr>
                <w:t xml:space="preserve">Abduljalil 2009</w:t>
              </w:r>
            </w:hyperlink>
          </w:p>
        </w:tc>
        <w:tc>
          <w:tcPr/>
          <w:p>
            <w:pPr>
              <w:pStyle w:val="Compact"/>
              <w:jc w:val="left"/>
            </w:pPr>
            <w:r>
              <w:t xml:space="preserve">Oral administration of 500 mg twice a day for 3.5 days</w:t>
            </w:r>
          </w:p>
        </w:tc>
      </w:tr>
    </w:tbl>
    <w:bookmarkEnd w:id="24"/>
    <w:bookmarkEnd w:id="25"/>
    <w:bookmarkEnd w:id="26"/>
    <w:bookmarkStart w:id="31" w:name="model-parameters-and-assumptions"/>
    <w:p>
      <w:pPr>
        <w:pStyle w:val="Heading2"/>
      </w:pPr>
      <w:r>
        <w:t xml:space="preserve">Model Parameters and Assumptions</w:t>
      </w:r>
      <w:bookmarkStart w:id="model-parameters-and-assumptions" w:name="model-parameters-and-assumptions"/>
      <w:bookmarkEnd w:id="model-parameters-and-assumptions"/>
    </w:p>
    <w:bookmarkStart w:id="27" w:name="absorption"/>
    <w:p>
      <w:pPr>
        <w:pStyle w:val="Heading3"/>
      </w:pPr>
      <w:r>
        <w:t xml:space="preserve">2.3.1 Absorption</w:t>
      </w:r>
    </w:p>
    <w:p>
      <w:pPr>
        <w:pStyle w:val="FirstParagraph"/>
      </w:pPr>
      <w:r>
        <w:t xml:space="preserve">The specific intestinal permeability was optimized during parameter identification to accurately describe the absorption of clarithromycin after oral administration.</w:t>
      </w:r>
    </w:p>
    <w:bookmarkEnd w:id="27"/>
    <w:bookmarkStart w:id="28" w:name="distribution"/>
    <w:p>
      <w:pPr>
        <w:pStyle w:val="Heading3"/>
      </w:pPr>
      <w:r>
        <w:t xml:space="preserve">2.3.2 Distribution</w:t>
      </w:r>
    </w:p>
    <w:p>
      <w:pPr>
        <w:pStyle w:val="FirstParagraph"/>
      </w:pPr>
      <w:r>
        <w:t xml:space="preserve">Values for lipophilicity and fraction unbound in plasma were fixed to literature values (namely to 2.3 (</w:t>
      </w:r>
      <w:hyperlink w:anchor="Xa559bd5247f9128e74e6edcc17de37648e8cde6">
        <w:r>
          <w:rPr>
            <w:rStyle w:val="Hyperlink"/>
          </w:rPr>
          <w:t xml:space="preserve">Lappin 2011</w:t>
        </w:r>
      </w:hyperlink>
      <w:r>
        <w:t xml:space="preserve">) and 0.30 (</w:t>
      </w:r>
      <w:hyperlink w:anchor="Xa559bd5247f9128e74e6edcc17de37648e8cde6">
        <w:r>
          <w:rPr>
            <w:rStyle w:val="Hyperlink"/>
          </w:rPr>
          <w:t xml:space="preserve">Chu 1993b</w:t>
        </w:r>
      </w:hyperlink>
      <w:r>
        <w:t xml:space="preserve">) for lipophilicity and fraction unbound, respectively).</w:t>
      </w:r>
    </w:p>
    <w:p>
      <w:pPr>
        <w:pStyle w:val="BodyText"/>
      </w:pPr>
      <w:r>
        <w:t xml:space="preserve">It was not possible to adequately describe the observed plasma concentration-time profile after intravenous administration using standard input parameters (e.g. lipophilicity) and calculation methods. Simulated concentration-time profiles overestimated C</w:t>
      </w:r>
      <w:r>
        <w:rPr>
          <w:vertAlign w:val="subscript"/>
        </w:rPr>
        <w:t xml:space="preserve">max</w:t>
      </w:r>
      <w:r>
        <w:t xml:space="preserve"> </w:t>
      </w:r>
      <w:r>
        <w:t xml:space="preserve">and underestimated the observed data for time to C</w:t>
      </w:r>
      <w:r>
        <w:rPr>
          <w:vertAlign w:val="subscript"/>
        </w:rPr>
        <w:t xml:space="preserve">max</w:t>
      </w:r>
      <w:r>
        <w:t xml:space="preserve"> </w:t>
      </w:r>
      <w:r>
        <w:t xml:space="preserve">(T</w:t>
      </w:r>
      <w:r>
        <w:rPr>
          <w:vertAlign w:val="subscript"/>
        </w:rPr>
        <w:t xml:space="preserve">max</w:t>
      </w:r>
      <w:r>
        <w:t xml:space="preserve">). According to literature data, clarithromycin accumulates in mononuclear and polymorphonuclear leukocytes, probably via active transport (</w:t>
      </w:r>
      <w:hyperlink w:anchor="Xa559bd5247f9128e74e6edcc17de37648e8cde6">
        <w:r>
          <w:rPr>
            <w:rStyle w:val="Hyperlink"/>
          </w:rPr>
          <w:t xml:space="preserve">Ishiguro 1989</w:t>
        </w:r>
      </w:hyperlink>
      <w:r>
        <w:t xml:space="preserve">). Implementing this process in the model improved the model fit significantly. Due to limited knowledge on this active transport, this process was technically implemented in the model by adjusting the permeability of clarithromycin across the membrane of the red blood cells (</w:t>
      </w:r>
      <w:r>
        <w:rPr>
          <w:rStyle w:val="VerbatimChar"/>
        </w:rPr>
        <w:t xml:space="preserve">P (blood cells-&gt;plasma)</w:t>
      </w:r>
      <w:r>
        <w:t xml:space="preserve"> </w:t>
      </w:r>
      <w:r>
        <w:t xml:space="preserve">and</w:t>
      </w:r>
      <w:r>
        <w:t xml:space="preserve"> </w:t>
      </w:r>
      <w:r>
        <w:rPr>
          <w:rStyle w:val="VerbatimChar"/>
        </w:rPr>
        <w:t xml:space="preserve">P (plasma-&gt;blood cells)</w:t>
      </w:r>
      <w:r>
        <w:t xml:space="preserve">).</w:t>
      </w:r>
    </w:p>
    <w:p>
      <w:pPr>
        <w:pStyle w:val="BodyText"/>
      </w:pPr>
      <w:r>
        <w:t xml:space="preserve">After testing the available organ-plasma partition coefficient and cell permeability calculation methods built in PK-Sim, observed clinical data was best described by choosing the partition coefficient calculation by</w:t>
      </w:r>
      <w:r>
        <w:t xml:space="preserve"> </w:t>
      </w:r>
      <w:r>
        <w:rPr>
          <w:rStyle w:val="VerbatimChar"/>
        </w:rPr>
        <w:t xml:space="preserve">Rodgers and Rowland</w:t>
      </w:r>
      <w:r>
        <w:t xml:space="preserve"> </w:t>
      </w:r>
      <w:r>
        <w:t xml:space="preserve">and cellular permeability calculation by</w:t>
      </w:r>
      <w:r>
        <w:t xml:space="preserve"> </w:t>
      </w:r>
      <w:r>
        <w:rPr>
          <w:rStyle w:val="VerbatimChar"/>
        </w:rPr>
        <w:t xml:space="preserve">PK-Sim Standard</w:t>
      </w:r>
      <w:r>
        <w:t xml:space="preserve">.</w:t>
      </w:r>
    </w:p>
    <w:bookmarkEnd w:id="28"/>
    <w:bookmarkStart w:id="29" w:name="metabolism-and-elimination"/>
    <w:p>
      <w:pPr>
        <w:pStyle w:val="Heading3"/>
      </w:pPr>
      <w:r>
        <w:t xml:space="preserve">2.3.3 Metabolism and Elimination</w:t>
      </w:r>
    </w:p>
    <w:p>
      <w:pPr>
        <w:pStyle w:val="FirstParagraph"/>
      </w:pPr>
      <w:r>
        <w:t xml:space="preserve">Metabolism was described using Michaelis-Menten kinetics, while the Michaelis-Menten constant K</w:t>
      </w:r>
      <w:r>
        <w:rPr>
          <w:vertAlign w:val="subscript"/>
        </w:rPr>
        <w:t xml:space="preserve">m</w:t>
      </w:r>
      <w:r>
        <w:t xml:space="preserve"> </w:t>
      </w:r>
      <w:r>
        <w:t xml:space="preserve">was taken from in-vitro experiments from literature and the turnover rate k</w:t>
      </w:r>
      <w:r>
        <w:rPr>
          <w:vertAlign w:val="subscript"/>
        </w:rPr>
        <w:t xml:space="preserve">cat</w:t>
      </w:r>
      <w:r>
        <w:t xml:space="preserve"> </w:t>
      </w:r>
      <w:r>
        <w:t xml:space="preserve">was optimized during parameter identification.</w:t>
      </w:r>
    </w:p>
    <w:p>
      <w:pPr>
        <w:pStyle w:val="BodyText"/>
      </w:pPr>
      <w:r>
        <w:t xml:space="preserve">K</w:t>
      </w:r>
      <w:r>
        <w:rPr>
          <w:vertAlign w:val="subscript"/>
        </w:rPr>
        <w:t xml:space="preserve">I</w:t>
      </w:r>
      <w:r>
        <w:t xml:space="preserve"> </w:t>
      </w:r>
      <w:r>
        <w:t xml:space="preserve">and k</w:t>
      </w:r>
      <w:r>
        <w:rPr>
          <w:vertAlign w:val="subscript"/>
        </w:rPr>
        <w:t xml:space="preserve">inact</w:t>
      </w:r>
      <w:r>
        <w:t xml:space="preserve"> </w:t>
      </w:r>
      <w:r>
        <w:t xml:space="preserve">to describe the mechanism-based inhibition of CYP3A4 were optimized during parameter identification.</w:t>
      </w:r>
    </w:p>
    <w:p>
      <w:pPr>
        <w:pStyle w:val="BodyText"/>
      </w:pPr>
      <w:r>
        <w:t xml:space="preserve">A kidney plasma clearance was implemented to describe the renal elimination of clarithromycin. The specific renal clearance was optimized during parameter identification.</w:t>
      </w:r>
    </w:p>
    <w:bookmarkEnd w:id="29"/>
    <w:bookmarkStart w:id="30" w:name="automated-parameter-identification"/>
    <w:p>
      <w:pPr>
        <w:pStyle w:val="Heading3"/>
      </w:pPr>
      <w:r>
        <w:t xml:space="preserve">2.3.4 Automated Parameter Identification</w:t>
      </w:r>
    </w:p>
    <w:p>
      <w:pPr>
        <w:pStyle w:val="FirstParagraph"/>
      </w:pPr>
      <w:r>
        <w:t xml:space="preserve">This is the result of the final parameter identification.</w:t>
      </w:r>
    </w:p>
    <w:tbl>
      <w:tblPr>
        <w:tblStyle w:val="Table"/>
        <w:tblW w:type="pct" w:w="5000"/>
        <w:tblLook w:firstRow="1" w:lastRow="0" w:firstColumn="0" w:lastColumn="0" w:noHBand="0" w:noVBand="0" w:val="0020"/>
        <w:jc w:val="start"/>
      </w:tblPr>
      <w:tblGrid>
        <w:gridCol w:w="5474"/>
        <w:gridCol w:w="1747"/>
        <w:gridCol w:w="698"/>
      </w:tblGrid>
      <w:tr>
        <w:trPr>
          <w:tblHeader w:val="true"/>
        </w:trPr>
        <w:tc>
          <w:tcPr/>
          <w:p>
            <w:pPr>
              <w:pStyle w:val="Compact"/>
              <w:jc w:val="left"/>
            </w:pPr>
            <w:r>
              <w:t xml:space="preserve">Model Parameter</w:t>
            </w:r>
          </w:p>
        </w:tc>
        <w:tc>
          <w:tcPr/>
          <w:p>
            <w:pPr>
              <w:pStyle w:val="Compact"/>
              <w:jc w:val="left"/>
            </w:pPr>
            <w:r>
              <w:t xml:space="preserve">Optimized Value</w:t>
            </w:r>
          </w:p>
        </w:tc>
        <w:tc>
          <w:tcPr/>
          <w:p>
            <w:pPr>
              <w:pStyle w:val="Compact"/>
              <w:jc w:val="left"/>
            </w:pPr>
            <w:r>
              <w:t xml:space="preserve">Unit</w:t>
            </w:r>
          </w:p>
        </w:tc>
      </w:tr>
      <w:tr>
        <w:tc>
          <w:tcPr/>
          <w:p>
            <w:pPr>
              <w:pStyle w:val="Compact"/>
              <w:jc w:val="left"/>
            </w:pPr>
            <w:r>
              <w:rPr>
                <w:rStyle w:val="VerbatimChar"/>
              </w:rPr>
              <w:t xml:space="preserve">kcat</w:t>
            </w:r>
            <w:r>
              <w:t xml:space="preserve"> </w:t>
            </w:r>
            <w:r>
              <w:t xml:space="preserve">(CYP3A4)</w:t>
            </w:r>
          </w:p>
        </w:tc>
        <w:tc>
          <w:tcPr/>
          <w:p>
            <w:pPr>
              <w:pStyle w:val="Compact"/>
              <w:jc w:val="left"/>
            </w:pPr>
            <w:r>
              <w:t xml:space="preserve">76.5</w:t>
            </w:r>
          </w:p>
        </w:tc>
        <w:tc>
          <w:tcPr/>
          <w:p>
            <w:pPr>
              <w:pStyle w:val="Compact"/>
              <w:jc w:val="left"/>
            </w:pPr>
            <w:r>
              <w:t xml:space="preserve">1/min</w:t>
            </w:r>
          </w:p>
        </w:tc>
      </w:tr>
      <w:tr>
        <w:tc>
          <w:tcPr/>
          <w:p>
            <w:pPr>
              <w:pStyle w:val="Compact"/>
              <w:jc w:val="left"/>
            </w:pPr>
            <w:r>
              <w:rPr>
                <w:rStyle w:val="VerbatimChar"/>
              </w:rPr>
              <w:t xml:space="preserve">Specific clearance</w:t>
            </w:r>
            <w:r>
              <w:t xml:space="preserve"> </w:t>
            </w:r>
            <w:r>
              <w:t xml:space="preserve">in process renal clearance</w:t>
            </w:r>
          </w:p>
        </w:tc>
        <w:tc>
          <w:tcPr/>
          <w:p>
            <w:pPr>
              <w:pStyle w:val="Compact"/>
              <w:jc w:val="left"/>
            </w:pPr>
            <w:r>
              <w:t xml:space="preserve">0.87</w:t>
            </w:r>
          </w:p>
        </w:tc>
        <w:tc>
          <w:tcPr/>
          <w:p>
            <w:pPr>
              <w:pStyle w:val="Compact"/>
              <w:jc w:val="left"/>
            </w:pPr>
            <w:r>
              <w:t xml:space="preserve">1/min</w:t>
            </w:r>
          </w:p>
        </w:tc>
      </w:tr>
      <w:tr>
        <w:tc>
          <w:tcPr/>
          <w:p>
            <w:pPr>
              <w:pStyle w:val="Compact"/>
              <w:jc w:val="left"/>
            </w:pPr>
            <w:r>
              <w:rPr>
                <w:rStyle w:val="VerbatimChar"/>
              </w:rPr>
              <w:t xml:space="preserve">Specific intestinal permeability</w:t>
            </w:r>
          </w:p>
        </w:tc>
        <w:tc>
          <w:tcPr/>
          <w:p>
            <w:pPr>
              <w:pStyle w:val="Compact"/>
              <w:jc w:val="left"/>
            </w:pPr>
            <w:r>
              <w:t xml:space="preserve">1.23 E-6</w:t>
            </w:r>
          </w:p>
        </w:tc>
        <w:tc>
          <w:tcPr/>
          <w:p>
            <w:pPr>
              <w:pStyle w:val="Compact"/>
              <w:jc w:val="left"/>
            </w:pPr>
            <w:r>
              <w:t xml:space="preserve">dm/min</w:t>
            </w:r>
          </w:p>
        </w:tc>
      </w:tr>
      <w:tr>
        <w:tc>
          <w:tcPr/>
          <w:p>
            <w:pPr>
              <w:pStyle w:val="Compact"/>
              <w:jc w:val="left"/>
            </w:pPr>
            <w:r>
              <w:rPr>
                <w:rStyle w:val="VerbatimChar"/>
              </w:rPr>
              <w:t xml:space="preserve">P (plasma-&gt;blood cells)</w:t>
            </w:r>
          </w:p>
        </w:tc>
        <w:tc>
          <w:tcPr/>
          <w:p>
            <w:pPr>
              <w:pStyle w:val="Compact"/>
              <w:jc w:val="left"/>
            </w:pPr>
            <w:r>
              <w:t xml:space="preserve">3.62 E-5</w:t>
            </w:r>
          </w:p>
        </w:tc>
        <w:tc>
          <w:tcPr/>
          <w:p>
            <w:pPr>
              <w:pStyle w:val="Compact"/>
              <w:jc w:val="left"/>
            </w:pPr>
            <w:r>
              <w:t xml:space="preserve">dm/min</w:t>
            </w:r>
          </w:p>
        </w:tc>
      </w:tr>
      <w:tr>
        <w:tc>
          <w:tcPr/>
          <w:p>
            <w:pPr>
              <w:pStyle w:val="Compact"/>
              <w:jc w:val="left"/>
            </w:pPr>
            <w:r>
              <w:rPr>
                <w:rStyle w:val="VerbatimChar"/>
              </w:rPr>
              <w:t xml:space="preserve">P (blood cells-&gt;plasma)</w:t>
            </w:r>
          </w:p>
        </w:tc>
        <w:tc>
          <w:tcPr/>
          <w:p>
            <w:pPr>
              <w:pStyle w:val="Compact"/>
              <w:jc w:val="left"/>
            </w:pPr>
            <w:r>
              <w:t xml:space="preserve">1.04 E-6</w:t>
            </w:r>
          </w:p>
        </w:tc>
        <w:tc>
          <w:tcPr/>
          <w:p>
            <w:pPr>
              <w:pStyle w:val="Compact"/>
              <w:jc w:val="left"/>
            </w:pPr>
            <w:r>
              <w:t xml:space="preserve">dm/min</w:t>
            </w:r>
          </w:p>
        </w:tc>
      </w:tr>
      <w:tr>
        <w:tc>
          <w:tcPr/>
          <w:p>
            <w:pPr>
              <w:pStyle w:val="Compact"/>
              <w:jc w:val="left"/>
            </w:pPr>
            <w:r>
              <w:rPr>
                <w:rStyle w:val="VerbatimChar"/>
              </w:rPr>
              <w:t xml:space="preserve">K_kinact_half</w:t>
            </w:r>
            <w:r>
              <w:t xml:space="preserve"> </w:t>
            </w:r>
            <w:r>
              <w:t xml:space="preserve">(K</w:t>
            </w:r>
            <w:r>
              <w:rPr>
                <w:vertAlign w:val="subscript"/>
              </w:rPr>
              <w:t xml:space="preserve">I</w:t>
            </w:r>
            <w:r>
              <w:t xml:space="preserve">)</w:t>
            </w:r>
          </w:p>
        </w:tc>
        <w:tc>
          <w:tcPr/>
          <w:p>
            <w:pPr>
              <w:pStyle w:val="Compact"/>
              <w:jc w:val="left"/>
            </w:pPr>
            <w:r>
              <w:t xml:space="preserve">6.04</w:t>
            </w:r>
          </w:p>
        </w:tc>
        <w:tc>
          <w:tcPr/>
          <w:p>
            <w:pPr>
              <w:pStyle w:val="Compact"/>
              <w:jc w:val="left"/>
            </w:pPr>
            <w:r>
              <w:t xml:space="preserve">µmol/L</w:t>
            </w:r>
          </w:p>
        </w:tc>
      </w:tr>
      <w:tr>
        <w:tc>
          <w:tcPr/>
          <w:p>
            <w:pPr>
              <w:pStyle w:val="Compact"/>
              <w:jc w:val="left"/>
            </w:pPr>
            <w:r>
              <w:rPr>
                <w:rStyle w:val="VerbatimChar"/>
              </w:rPr>
              <w:t xml:space="preserve">kinact</w:t>
            </w:r>
            <w:r>
              <w:t xml:space="preserve"> </w:t>
            </w:r>
            <w:r>
              <w:t xml:space="preserve">(k</w:t>
            </w:r>
            <w:r>
              <w:rPr>
                <w:vertAlign w:val="subscript"/>
              </w:rPr>
              <w:t xml:space="preserve">inact</w:t>
            </w:r>
            <w:r>
              <w:t xml:space="preserve">)</w:t>
            </w:r>
          </w:p>
        </w:tc>
        <w:tc>
          <w:tcPr/>
          <w:p>
            <w:pPr>
              <w:pStyle w:val="Compact"/>
              <w:jc w:val="left"/>
            </w:pPr>
            <w:r>
              <w:t xml:space="preserve">0.04</w:t>
            </w:r>
          </w:p>
        </w:tc>
        <w:tc>
          <w:tcPr/>
          <w:p>
            <w:pPr>
              <w:pStyle w:val="Compact"/>
              <w:jc w:val="left"/>
            </w:pPr>
            <w:r>
              <w:t xml:space="preserve">1/min</w:t>
            </w:r>
          </w:p>
        </w:tc>
      </w:tr>
    </w:tbl>
    <w:bookmarkEnd w:id="30"/>
    <w:bookmarkEnd w:id="31"/>
    <w:bookmarkEnd w:id="32"/>
    <w:bookmarkStart w:id="164" w:name="results-and-discussion"/>
    <w:p>
      <w:pPr>
        <w:pStyle w:val="Heading1"/>
      </w:pPr>
      <w:r>
        <w:t xml:space="preserve">Results and Discussion</w:t>
      </w:r>
      <w:bookmarkStart w:id="results-and-discussion" w:name="results-and-discussion"/>
      <w:bookmarkEnd w:id="results-and-discussion"/>
    </w:p>
    <w:p>
      <w:pPr>
        <w:pStyle w:val="FirstParagraph"/>
      </w:pPr>
      <w:r>
        <w:t xml:space="preserve">The PBPK model for clarithromycin was developed and verified with clinical pharmacokinetic data.</w:t>
      </w:r>
    </w:p>
    <w:p>
      <w:pPr>
        <w:pStyle w:val="BodyText"/>
      </w:pPr>
      <w:r>
        <w:t xml:space="preserve">The model was evaluated covering data from studies including in particular</w:t>
      </w:r>
    </w:p>
    <w:p>
      <w:pPr>
        <w:numPr>
          <w:ilvl w:val="0"/>
          <w:numId w:val="1001"/>
        </w:numPr>
        <w:pStyle w:val="Compact"/>
      </w:pPr>
      <w:r>
        <w:t xml:space="preserve">intravenous and oral administrations</w:t>
      </w:r>
    </w:p>
    <w:p>
      <w:pPr>
        <w:numPr>
          <w:ilvl w:val="0"/>
          <w:numId w:val="1001"/>
        </w:numPr>
        <w:pStyle w:val="Compact"/>
      </w:pPr>
      <w:r>
        <w:t xml:space="preserve">a dose range of 100 mg to 1200 mg</w:t>
      </w:r>
    </w:p>
    <w:p>
      <w:pPr>
        <w:numPr>
          <w:ilvl w:val="0"/>
          <w:numId w:val="1001"/>
        </w:numPr>
        <w:pStyle w:val="Compact"/>
      </w:pPr>
      <w:r>
        <w:t xml:space="preserve">single and multiple doses</w:t>
      </w:r>
    </w:p>
    <w:p>
      <w:pPr>
        <w:pStyle w:val="FirstParagraph"/>
      </w:pPr>
      <w:r>
        <w:t xml:space="preserve">The model quantifies metabolism via CYP3A4, including also the mechanism-based inhibition of the respective enzyme, as well as elimination via kidney. The model also includes inhibition of P-gp.</w:t>
      </w:r>
    </w:p>
    <w:p>
      <w:pPr>
        <w:pStyle w:val="BodyText"/>
      </w:pPr>
      <w:r>
        <w:t xml:space="preserve">The next sections show:</w:t>
      </w:r>
    </w:p>
    <w:p>
      <w:pPr>
        <w:numPr>
          <w:ilvl w:val="0"/>
          <w:numId w:val="1002"/>
        </w:numPr>
        <w:pStyle w:val="Compact"/>
      </w:pPr>
      <w:r>
        <w:t xml:space="preserve">the final model parameters for the building blocks:</w:t>
      </w:r>
      <w:r>
        <w:t xml:space="preserve"> </w:t>
      </w:r>
      <w:hyperlink w:anchor="Xc6cf42871317160fa8533d05504fe9284eb5963">
        <w:r>
          <w:rPr>
            <w:rStyle w:val="Hyperlink"/>
          </w:rPr>
          <w:t xml:space="preserve">Section 3.1</w:t>
        </w:r>
      </w:hyperlink>
      <w:r>
        <w:t xml:space="preserve">.</w:t>
      </w:r>
    </w:p>
    <w:p>
      <w:pPr>
        <w:numPr>
          <w:ilvl w:val="0"/>
          <w:numId w:val="1002"/>
        </w:numPr>
        <w:pStyle w:val="Compact"/>
      </w:pPr>
      <w:r>
        <w:t xml:space="preserve">the overall goodness of fit:</w:t>
      </w:r>
      <w:r>
        <w:t xml:space="preserve"> </w:t>
      </w:r>
      <w:hyperlink w:anchor="X8f3aeddcae968e1d328d29ba9adb7d6f485cab0">
        <w:r>
          <w:rPr>
            <w:rStyle w:val="Hyperlink"/>
          </w:rPr>
          <w:t xml:space="preserve">Section 3.2</w:t>
        </w:r>
      </w:hyperlink>
      <w:r>
        <w:t xml:space="preserve">.</w:t>
      </w:r>
    </w:p>
    <w:p>
      <w:pPr>
        <w:numPr>
          <w:ilvl w:val="0"/>
          <w:numId w:val="1002"/>
        </w:numPr>
        <w:pStyle w:val="Compact"/>
      </w:pPr>
      <w:r>
        <w:t xml:space="preserve">simulated vs. observed concentration-time profiles for the clinical studies used for model building and for model verification:</w:t>
      </w:r>
      <w:r>
        <w:t xml:space="preserve"> </w:t>
      </w:r>
      <w:hyperlink w:anchor="Xdc8b4cf40574b5c39801a4fb59aa003db333782">
        <w:r>
          <w:rPr>
            <w:rStyle w:val="Hyperlink"/>
          </w:rPr>
          <w:t xml:space="preserve">Section 3.3</w:t>
        </w:r>
      </w:hyperlink>
      <w:r>
        <w:t xml:space="preserve">.</w:t>
      </w:r>
    </w:p>
    <w:bookmarkStart w:id="51" w:name="final-input-parameters"/>
    <w:p>
      <w:pPr>
        <w:pStyle w:val="Heading2"/>
      </w:pPr>
      <w:r>
        <w:t xml:space="preserve">Final input parameters</w:t>
      </w:r>
      <w:bookmarkStart w:id="final-input-parameters" w:name="final-input-parameters"/>
      <w:bookmarkEnd w:id="final-input-parameters"/>
    </w:p>
    <w:p>
      <w:pPr>
        <w:pStyle w:val="FirstParagraph"/>
      </w:pPr>
      <w:r>
        <w:t xml:space="preserve">The compound parameter values of the final PBPK model are illustrated below.</w:t>
      </w:r>
    </w:p>
    <w:bookmarkStart w:id="48" w:name="compound-clarithromycin"/>
    <w:p>
      <w:pPr>
        <w:pStyle w:val="Heading3"/>
      </w:pPr>
      <w:r>
        <w:t xml:space="preserve">Compound: Clarithromycin</w:t>
      </w:r>
    </w:p>
    <w:bookmarkStart w:id="33" w:name="parameters"/>
    <w:p>
      <w:pPr>
        <w:pStyle w:val="Heading4"/>
      </w:pPr>
      <w:r>
        <w:t xml:space="preserve">Parameters</w:t>
      </w:r>
    </w:p>
    <w:tbl>
      <w:tblPr>
        <w:tblStyle w:val="Table"/>
        <w:tblW w:type="pct" w:w="5000"/>
        <w:tblLook w:firstRow="1" w:lastRow="0" w:firstColumn="0" w:lastColumn="0" w:noHBand="0" w:noVBand="0" w:val="0020"/>
        <w:jc w:val="start"/>
      </w:tblPr>
      <w:tblGrid>
        <w:gridCol w:w="3305"/>
        <w:gridCol w:w="1033"/>
        <w:gridCol w:w="2341"/>
        <w:gridCol w:w="757"/>
        <w:gridCol w:w="482"/>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c>
          <w:tcPr/>
          <w:p>
            <w:pPr>
              <w:pStyle w:val="Compact"/>
              <w:jc w:val="left"/>
            </w:pPr>
            <w:r>
              <w:t xml:space="preserve">Alternative</w:t>
            </w:r>
          </w:p>
        </w:tc>
        <w:tc>
          <w:tcPr/>
          <w:p>
            <w:pPr>
              <w:pStyle w:val="Compact"/>
              <w:jc w:val="left"/>
            </w:pPr>
            <w:r>
              <w:t xml:space="preserve">Default</w:t>
            </w:r>
          </w:p>
        </w:tc>
      </w:tr>
      <w:tr>
        <w:tc>
          <w:tcPr/>
          <w:p>
            <w:pPr>
              <w:pStyle w:val="Compact"/>
              <w:jc w:val="left"/>
            </w:pPr>
            <w:r>
              <w:t xml:space="preserve">Solubility at reference pH</w:t>
            </w:r>
          </w:p>
        </w:tc>
        <w:tc>
          <w:tcPr/>
          <w:p>
            <w:pPr>
              <w:pStyle w:val="Compact"/>
              <w:jc w:val="left"/>
            </w:pPr>
            <w:r>
              <w:t xml:space="preserve">12.17 mg/ml</w:t>
            </w:r>
          </w:p>
        </w:tc>
        <w:tc>
          <w:tcPr/>
          <w:p>
            <w:pPr>
              <w:pStyle w:val="Compact"/>
              <w:jc w:val="left"/>
            </w:pPr>
            <w:r>
              <w:t xml:space="preserve">Publication-Salem 2003</w:t>
            </w: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Reference pH</w:t>
            </w:r>
          </w:p>
        </w:tc>
        <w:tc>
          <w:tcPr/>
          <w:p>
            <w:pPr>
              <w:pStyle w:val="Compact"/>
              <w:jc w:val="left"/>
            </w:pPr>
            <w:r>
              <w:t xml:space="preserve">2.4</w:t>
            </w:r>
          </w:p>
        </w:tc>
        <w:tc>
          <w:tcPr/>
          <w:p>
            <w:pPr>
              <w:pStyle w:val="Compact"/>
              <w:jc w:val="left"/>
            </w:pPr>
            <w:r>
              <w:t xml:space="preserve">Publication-Salem 2003</w:t>
            </w: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Lipophilicity</w:t>
            </w:r>
          </w:p>
        </w:tc>
        <w:tc>
          <w:tcPr/>
          <w:p>
            <w:pPr>
              <w:pStyle w:val="Compact"/>
              <w:jc w:val="left"/>
            </w:pPr>
            <w:r>
              <w:t xml:space="preserve">2.3 Log Units</w:t>
            </w:r>
          </w:p>
        </w:tc>
        <w:tc>
          <w:tcPr/>
          <w:p>
            <w:pPr>
              <w:pStyle w:val="Compact"/>
              <w:jc w:val="left"/>
            </w:pPr>
            <w:r>
              <w:t xml:space="preserve">Publication-Lappin 2011</w:t>
            </w: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Fraction unbound (plasma, reference value)</w:t>
            </w:r>
          </w:p>
        </w:tc>
        <w:tc>
          <w:tcPr/>
          <w:p>
            <w:pPr>
              <w:pStyle w:val="Compact"/>
              <w:jc w:val="left"/>
            </w:pPr>
            <w:r>
              <w:t xml:space="preserve">0.3</w:t>
            </w:r>
          </w:p>
        </w:tc>
        <w:tc>
          <w:tcPr/>
          <w:p>
            <w:pPr>
              <w:pStyle w:val="Compact"/>
              <w:jc w:val="left"/>
            </w:pPr>
            <w:r>
              <w:t xml:space="preserve">Publication-Chu 1993</w:t>
            </w: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Specific intestinal permeability (transcellular)</w:t>
            </w:r>
          </w:p>
        </w:tc>
        <w:tc>
          <w:tcPr/>
          <w:p>
            <w:pPr>
              <w:pStyle w:val="Compact"/>
              <w:jc w:val="left"/>
            </w:pPr>
            <w:r>
              <w:t xml:space="preserve">1.23E-06 dm/min</w:t>
            </w:r>
          </w:p>
        </w:tc>
        <w:tc>
          <w:tcPr/>
          <w:p>
            <w:pPr>
              <w:pStyle w:val="Compact"/>
              <w:jc w:val="left"/>
            </w:pPr>
            <w:r>
              <w:t xml:space="preserve">Parameter Identification-optimized</w:t>
            </w:r>
          </w:p>
        </w:tc>
        <w:tc>
          <w:tcPr/>
          <w:p>
            <w:pPr>
              <w:pStyle w:val="Compact"/>
              <w:jc w:val="left"/>
            </w:pPr>
            <w:r>
              <w:t xml:space="preserve">fit</w:t>
            </w:r>
          </w:p>
        </w:tc>
        <w:tc>
          <w:tcPr/>
          <w:p>
            <w:pPr>
              <w:pStyle w:val="Compact"/>
              <w:jc w:val="left"/>
            </w:pPr>
            <w:r>
              <w:t xml:space="preserve">True</w:t>
            </w:r>
          </w:p>
        </w:tc>
      </w:tr>
      <w:tr>
        <w:tc>
          <w:tcPr/>
          <w:p>
            <w:pPr>
              <w:pStyle w:val="Compact"/>
              <w:jc w:val="left"/>
            </w:pPr>
            <w:r>
              <w:t xml:space="preserve">Is small molecule</w:t>
            </w:r>
          </w:p>
        </w:tc>
        <w:tc>
          <w:tcPr/>
          <w:p>
            <w:pPr>
              <w:pStyle w:val="Compact"/>
              <w:jc w:val="left"/>
            </w:pPr>
            <w:r>
              <w:t xml:space="preserve">Yes</w:t>
            </w:r>
          </w:p>
        </w:tc>
        <w:tc>
          <w:tcPr/>
          <w:p>
            <w:pPr>
              <w:pStyle w:val="Compact"/>
            </w:pPr>
          </w:p>
        </w:tc>
        <w:tc>
          <w:tcPr/>
          <w:p>
            <w:pPr>
              <w:pStyle w:val="Compact"/>
            </w:pPr>
          </w:p>
        </w:tc>
        <w:tc>
          <w:tcPr/>
          <w:p>
            <w:pPr>
              <w:pStyle w:val="Compact"/>
            </w:pPr>
          </w:p>
        </w:tc>
      </w:tr>
      <w:tr>
        <w:tc>
          <w:tcPr/>
          <w:p>
            <w:pPr>
              <w:pStyle w:val="Compact"/>
              <w:jc w:val="left"/>
            </w:pPr>
            <w:r>
              <w:t xml:space="preserve">Molecular weight</w:t>
            </w:r>
          </w:p>
        </w:tc>
        <w:tc>
          <w:tcPr/>
          <w:p>
            <w:pPr>
              <w:pStyle w:val="Compact"/>
              <w:jc w:val="left"/>
            </w:pPr>
            <w:r>
              <w:t xml:space="preserve">747.9534 g/mol</w:t>
            </w:r>
          </w:p>
        </w:tc>
        <w:tc>
          <w:tcPr/>
          <w:p>
            <w:pPr>
              <w:pStyle w:val="Compact"/>
            </w:pPr>
          </w:p>
        </w:tc>
        <w:tc>
          <w:tcPr/>
          <w:p>
            <w:pPr>
              <w:pStyle w:val="Compact"/>
            </w:pPr>
          </w:p>
        </w:tc>
        <w:tc>
          <w:tcPr/>
          <w:p>
            <w:pPr>
              <w:pStyle w:val="Compact"/>
            </w:pPr>
          </w:p>
        </w:tc>
      </w:tr>
      <w:tr>
        <w:tc>
          <w:tcPr/>
          <w:p>
            <w:pPr>
              <w:pStyle w:val="Compact"/>
              <w:jc w:val="left"/>
            </w:pPr>
            <w:r>
              <w:t xml:space="preserve">Plasma protein binding partner</w:t>
            </w:r>
          </w:p>
        </w:tc>
        <w:tc>
          <w:tcPr/>
          <w:p>
            <w:pPr>
              <w:pStyle w:val="Compact"/>
              <w:jc w:val="left"/>
            </w:pPr>
            <w:r>
              <w:t xml:space="preserve">Albumin</w:t>
            </w:r>
          </w:p>
        </w:tc>
        <w:tc>
          <w:tcPr/>
          <w:p>
            <w:pPr>
              <w:pStyle w:val="Compact"/>
            </w:pPr>
          </w:p>
        </w:tc>
        <w:tc>
          <w:tcPr/>
          <w:p>
            <w:pPr>
              <w:pStyle w:val="Compact"/>
            </w:pPr>
          </w:p>
        </w:tc>
        <w:tc>
          <w:tcPr/>
          <w:p>
            <w:pPr>
              <w:pStyle w:val="Compact"/>
            </w:pPr>
          </w:p>
        </w:tc>
      </w:tr>
    </w:tbl>
    <w:bookmarkEnd w:id="33"/>
    <w:bookmarkStart w:id="34" w:name="calculation-methods"/>
    <w:p>
      <w:pPr>
        <w:pStyle w:val="Heading4"/>
      </w:pPr>
      <w:r>
        <w:t xml:space="preserve">Calculation methods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Value</w:t>
            </w:r>
          </w:p>
        </w:tc>
      </w:tr>
      <w:tr>
        <w:tc>
          <w:tcPr/>
          <w:p>
            <w:pPr>
              <w:pStyle w:val="Compact"/>
              <w:jc w:val="left"/>
            </w:pPr>
            <w:r>
              <w:t xml:space="preserve">Partition coefficients</w:t>
            </w:r>
          </w:p>
        </w:tc>
        <w:tc>
          <w:tcPr/>
          <w:p>
            <w:pPr>
              <w:pStyle w:val="Compact"/>
              <w:jc w:val="left"/>
            </w:pPr>
            <w:r>
              <w:t xml:space="preserve">Rodgers and Rowland</w:t>
            </w:r>
          </w:p>
        </w:tc>
      </w:tr>
      <w:tr>
        <w:tc>
          <w:tcPr/>
          <w:p>
            <w:pPr>
              <w:pStyle w:val="Compact"/>
              <w:jc w:val="left"/>
            </w:pPr>
            <w:r>
              <w:t xml:space="preserve">Cellular permeabilities</w:t>
            </w:r>
          </w:p>
        </w:tc>
        <w:tc>
          <w:tcPr/>
          <w:p>
            <w:pPr>
              <w:pStyle w:val="Compact"/>
              <w:jc w:val="left"/>
            </w:pPr>
            <w:r>
              <w:t xml:space="preserve">PK-Sim Standard</w:t>
            </w:r>
          </w:p>
        </w:tc>
      </w:tr>
    </w:tbl>
    <w:bookmarkEnd w:id="34"/>
    <w:bookmarkStart w:id="47" w:name="processes"/>
    <w:p>
      <w:pPr>
        <w:pStyle w:val="Heading4"/>
      </w:pPr>
      <w:r>
        <w:t xml:space="preserve">Processes</w:t>
      </w:r>
    </w:p>
    <w:bookmarkStart w:id="36" w:name="metabolizing-enzyme-cyp3a4-fit"/>
    <w:p>
      <w:pPr>
        <w:pStyle w:val="Heading5"/>
      </w:pPr>
      <w:r>
        <w:t xml:space="preserve">Metabolizing Enzyme: CYP3A4-fit</w:t>
      </w:r>
    </w:p>
    <w:p>
      <w:pPr>
        <w:pStyle w:val="FirstParagraph"/>
      </w:pPr>
      <w:r>
        <w:t xml:space="preserve">Molecule: CYP3A4</w:t>
      </w:r>
    </w:p>
    <w:bookmarkStart w:id="35" w:name="parameters-1"/>
    <w:p>
      <w:pPr>
        <w:pStyle w:val="Heading6"/>
      </w:pPr>
      <w:r>
        <w:t xml:space="preserve">Parameters</w:t>
      </w:r>
    </w:p>
    <w:tbl>
      <w:tblPr>
        <w:tblStyle w:val="Table"/>
        <w:tblW w:type="pct" w:w="5000"/>
        <w:tblLook w:firstRow="1" w:lastRow="0" w:firstColumn="0" w:lastColumn="0" w:noHBand="0" w:noVBand="0" w:val="0020"/>
        <w:jc w:val="start"/>
      </w:tblPr>
      <w:tblGrid>
        <w:gridCol w:w="3131"/>
        <w:gridCol w:w="2394"/>
        <w:gridCol w:w="2394"/>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 for liver microsomes</w:t>
            </w:r>
          </w:p>
        </w:tc>
        <w:tc>
          <w:tcPr/>
          <w:p>
            <w:pPr>
              <w:pStyle w:val="Compact"/>
              <w:jc w:val="left"/>
            </w:pPr>
            <w:r>
              <w:t xml:space="preserve">0 pmol/min/mg mic. protein</w:t>
            </w:r>
          </w:p>
        </w:tc>
        <w:tc>
          <w:tcPr/>
          <w:p>
            <w:pPr>
              <w:pStyle w:val="Compact"/>
            </w:pPr>
          </w:p>
        </w:tc>
      </w:tr>
      <w:tr>
        <w:tc>
          <w:tcPr/>
          <w:p>
            <w:pPr>
              <w:pStyle w:val="Compact"/>
              <w:jc w:val="left"/>
            </w:pPr>
            <w:r>
              <w:t xml:space="preserve">Km</w:t>
            </w:r>
          </w:p>
        </w:tc>
        <w:tc>
          <w:tcPr/>
          <w:p>
            <w:pPr>
              <w:pStyle w:val="Compact"/>
              <w:jc w:val="left"/>
            </w:pPr>
            <w:r>
              <w:t xml:space="preserve">48.7 µmol/l</w:t>
            </w:r>
          </w:p>
        </w:tc>
        <w:tc>
          <w:tcPr/>
          <w:p>
            <w:pPr>
              <w:pStyle w:val="Compact"/>
              <w:jc w:val="left"/>
            </w:pPr>
            <w:r>
              <w:t xml:space="preserve">Publication-Rodrigues 1997</w:t>
            </w:r>
          </w:p>
        </w:tc>
      </w:tr>
      <w:tr>
        <w:tc>
          <w:tcPr/>
          <w:p>
            <w:pPr>
              <w:pStyle w:val="Compact"/>
              <w:jc w:val="left"/>
            </w:pPr>
            <w:r>
              <w:t xml:space="preserve">kcat</w:t>
            </w:r>
          </w:p>
        </w:tc>
        <w:tc>
          <w:tcPr/>
          <w:p>
            <w:pPr>
              <w:pStyle w:val="Compact"/>
              <w:jc w:val="left"/>
            </w:pPr>
            <w:r>
              <w:t xml:space="preserve">76.5 1/min</w:t>
            </w:r>
          </w:p>
        </w:tc>
        <w:tc>
          <w:tcPr/>
          <w:p>
            <w:pPr>
              <w:pStyle w:val="Compact"/>
              <w:jc w:val="left"/>
            </w:pPr>
            <w:r>
              <w:t xml:space="preserve">Parameter Identification</w:t>
            </w:r>
          </w:p>
        </w:tc>
      </w:tr>
    </w:tbl>
    <w:bookmarkEnd w:id="35"/>
    <w:bookmarkEnd w:id="36"/>
    <w:bookmarkStart w:id="38" w:name="systemic-process-renal-clearances-fitted"/>
    <w:p>
      <w:pPr>
        <w:pStyle w:val="Heading5"/>
      </w:pPr>
      <w:r>
        <w:t xml:space="preserve">Systemic Process: Renal Clearances-fitted</w:t>
      </w:r>
    </w:p>
    <w:p>
      <w:pPr>
        <w:pStyle w:val="FirstParagraph"/>
      </w:pPr>
      <w:r>
        <w:t xml:space="preserve">Species: Human</w:t>
      </w:r>
    </w:p>
    <w:bookmarkStart w:id="37" w:name="parameters-2"/>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Body weight</w:t>
            </w:r>
          </w:p>
        </w:tc>
        <w:tc>
          <w:tcPr/>
          <w:p>
            <w:pPr>
              <w:pStyle w:val="Compact"/>
              <w:jc w:val="left"/>
            </w:pPr>
            <w:r>
              <w:t xml:space="preserve">71.5 kg</w:t>
            </w:r>
          </w:p>
        </w:tc>
        <w:tc>
          <w:tcPr/>
          <w:p>
            <w:pPr>
              <w:pStyle w:val="Compact"/>
              <w:jc w:val="left"/>
            </w:pPr>
            <w:r>
              <w:t xml:space="preserve">Unknown</w:t>
            </w:r>
          </w:p>
        </w:tc>
      </w:tr>
      <w:tr>
        <w:tc>
          <w:tcPr/>
          <w:p>
            <w:pPr>
              <w:pStyle w:val="Compact"/>
              <w:jc w:val="left"/>
            </w:pPr>
            <w:r>
              <w:t xml:space="preserve">Blood flow rate (kidney)</w:t>
            </w:r>
          </w:p>
        </w:tc>
        <w:tc>
          <w:tcPr/>
          <w:p>
            <w:pPr>
              <w:pStyle w:val="Compact"/>
              <w:jc w:val="left"/>
            </w:pPr>
            <w:r>
              <w:t xml:space="preserve">1.31 l/min</w:t>
            </w:r>
          </w:p>
        </w:tc>
        <w:tc>
          <w:tcPr/>
          <w:p>
            <w:pPr>
              <w:pStyle w:val="Compact"/>
              <w:jc w:val="left"/>
            </w:pPr>
            <w:r>
              <w:t xml:space="preserve">Unknown</w:t>
            </w:r>
          </w:p>
        </w:tc>
      </w:tr>
      <w:tr>
        <w:tc>
          <w:tcPr/>
          <w:p>
            <w:pPr>
              <w:pStyle w:val="Compact"/>
              <w:jc w:val="left"/>
            </w:pPr>
            <w:r>
              <w:t xml:space="preserve">Fraction unbound (experiment)</w:t>
            </w:r>
          </w:p>
        </w:tc>
        <w:tc>
          <w:tcPr/>
          <w:p>
            <w:pPr>
              <w:pStyle w:val="Compact"/>
              <w:jc w:val="left"/>
            </w:pPr>
            <w:r>
              <w:t xml:space="preserve">0.4</w:t>
            </w:r>
          </w:p>
        </w:tc>
        <w:tc>
          <w:tcPr/>
          <w:p>
            <w:pPr>
              <w:pStyle w:val="Compact"/>
            </w:pPr>
          </w:p>
        </w:tc>
      </w:tr>
      <w:tr>
        <w:tc>
          <w:tcPr/>
          <w:p>
            <w:pPr>
              <w:pStyle w:val="Compact"/>
              <w:jc w:val="left"/>
            </w:pPr>
            <w:r>
              <w:t xml:space="preserve">Plasma clearance</w:t>
            </w:r>
          </w:p>
        </w:tc>
        <w:tc>
          <w:tcPr/>
          <w:p>
            <w:pPr>
              <w:pStyle w:val="Compact"/>
              <w:jc w:val="left"/>
            </w:pPr>
            <w:r>
              <w:t xml:space="preserve">1.75 ml/min/kg</w:t>
            </w:r>
          </w:p>
        </w:tc>
        <w:tc>
          <w:tcPr/>
          <w:p>
            <w:pPr>
              <w:pStyle w:val="Compact"/>
            </w:pPr>
          </w:p>
        </w:tc>
      </w:tr>
    </w:tbl>
    <w:bookmarkEnd w:id="37"/>
    <w:bookmarkEnd w:id="38"/>
    <w:bookmarkStart w:id="40" w:name="inhibition-p-gp-eberl-2007"/>
    <w:p>
      <w:pPr>
        <w:pStyle w:val="Heading5"/>
      </w:pPr>
      <w:r>
        <w:t xml:space="preserve">Inhibition: P-gp-Eberl (2007)</w:t>
      </w:r>
    </w:p>
    <w:p>
      <w:pPr>
        <w:pStyle w:val="FirstParagraph"/>
      </w:pPr>
      <w:r>
        <w:t xml:space="preserve">Molecule: P-gp</w:t>
      </w:r>
    </w:p>
    <w:bookmarkStart w:id="39" w:name="parameters-3"/>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Ki</w:t>
            </w:r>
          </w:p>
        </w:tc>
        <w:tc>
          <w:tcPr/>
          <w:p>
            <w:pPr>
              <w:pStyle w:val="Compact"/>
              <w:jc w:val="left"/>
            </w:pPr>
            <w:r>
              <w:t xml:space="preserve">4.1 µmol/l</w:t>
            </w:r>
          </w:p>
        </w:tc>
        <w:tc>
          <w:tcPr/>
          <w:p>
            <w:pPr>
              <w:pStyle w:val="Compact"/>
              <w:jc w:val="left"/>
            </w:pPr>
            <w:r>
              <w:t xml:space="preserve">Publication-Eberl 2007</w:t>
            </w:r>
          </w:p>
        </w:tc>
      </w:tr>
    </w:tbl>
    <w:bookmarkEnd w:id="39"/>
    <w:bookmarkEnd w:id="40"/>
    <w:bookmarkStart w:id="42" w:name="inhibition-cyp3a4-fitted"/>
    <w:p>
      <w:pPr>
        <w:pStyle w:val="Heading5"/>
      </w:pPr>
      <w:r>
        <w:t xml:space="preserve">Inhibition: CYP3A4-fitted</w:t>
      </w:r>
    </w:p>
    <w:p>
      <w:pPr>
        <w:pStyle w:val="FirstParagraph"/>
      </w:pPr>
      <w:r>
        <w:t xml:space="preserve">Molecule: CYP3A4</w:t>
      </w:r>
    </w:p>
    <w:bookmarkStart w:id="41" w:name="parameters-4"/>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right"/>
            </w:pPr>
            <w:r>
              <w:t xml:space="preserve">Value Origin</w:t>
            </w:r>
          </w:p>
        </w:tc>
      </w:tr>
      <w:tr>
        <w:tc>
          <w:tcPr/>
          <w:p>
            <w:pPr>
              <w:pStyle w:val="Compact"/>
              <w:jc w:val="left"/>
            </w:pPr>
            <w:r>
              <w:t xml:space="preserve">kinact</w:t>
            </w:r>
          </w:p>
        </w:tc>
        <w:tc>
          <w:tcPr/>
          <w:p>
            <w:pPr>
              <w:pStyle w:val="Compact"/>
              <w:jc w:val="left"/>
            </w:pPr>
            <w:r>
              <w:t xml:space="preserve">0.04 1/min</w:t>
            </w:r>
          </w:p>
        </w:tc>
        <w:tc>
          <w:tcPr/>
          <w:p>
            <w:pPr>
              <w:pStyle w:val="Compact"/>
            </w:pPr>
          </w:p>
        </w:tc>
      </w:tr>
      <w:tr>
        <w:tc>
          <w:tcPr/>
          <w:p>
            <w:pPr>
              <w:pStyle w:val="Compact"/>
              <w:jc w:val="left"/>
            </w:pPr>
            <w:r>
              <w:t xml:space="preserve">K_kinact_half</w:t>
            </w:r>
          </w:p>
        </w:tc>
        <w:tc>
          <w:tcPr/>
          <w:p>
            <w:pPr>
              <w:pStyle w:val="Compact"/>
              <w:jc w:val="left"/>
            </w:pPr>
            <w:r>
              <w:t xml:space="preserve">6.04 µmol/l</w:t>
            </w:r>
          </w:p>
        </w:tc>
        <w:tc>
          <w:tcPr/>
          <w:p>
            <w:pPr>
              <w:pStyle w:val="Compact"/>
            </w:pPr>
          </w:p>
        </w:tc>
      </w:tr>
    </w:tbl>
    <w:bookmarkEnd w:id="41"/>
    <w:bookmarkEnd w:id="42"/>
    <w:bookmarkStart w:id="44" w:name="inhibition-oatp1b1-vermeer-2016"/>
    <w:p>
      <w:pPr>
        <w:pStyle w:val="Heading5"/>
      </w:pPr>
      <w:r>
        <w:t xml:space="preserve">Inhibition: OATP1B1-Vermeer 2016</w:t>
      </w:r>
    </w:p>
    <w:p>
      <w:pPr>
        <w:pStyle w:val="FirstParagraph"/>
      </w:pPr>
      <w:r>
        <w:t xml:space="preserve">Molecule: OATP1B1</w:t>
      </w:r>
    </w:p>
    <w:bookmarkStart w:id="43" w:name="parameters-5"/>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Ki</w:t>
            </w:r>
          </w:p>
        </w:tc>
        <w:tc>
          <w:tcPr/>
          <w:p>
            <w:pPr>
              <w:pStyle w:val="Compact"/>
              <w:jc w:val="left"/>
            </w:pPr>
            <w:r>
              <w:t xml:space="preserve">5.3 µmol/l</w:t>
            </w:r>
          </w:p>
        </w:tc>
        <w:tc>
          <w:tcPr/>
          <w:p>
            <w:pPr>
              <w:pStyle w:val="Compact"/>
              <w:jc w:val="left"/>
            </w:pPr>
            <w:r>
              <w:t xml:space="preserve">Publication-Vermeer 2016</w:t>
            </w:r>
          </w:p>
        </w:tc>
      </w:tr>
    </w:tbl>
    <w:bookmarkEnd w:id="43"/>
    <w:bookmarkEnd w:id="44"/>
    <w:bookmarkStart w:id="46" w:name="inhibition-oatp1b3-vermeer-2016"/>
    <w:p>
      <w:pPr>
        <w:pStyle w:val="Heading5"/>
      </w:pPr>
      <w:r>
        <w:t xml:space="preserve">Inhibition: OATP1B3-Vermeer 2016</w:t>
      </w:r>
    </w:p>
    <w:p>
      <w:pPr>
        <w:pStyle w:val="FirstParagraph"/>
      </w:pPr>
      <w:r>
        <w:t xml:space="preserve">Molecule: OATP1B3</w:t>
      </w:r>
    </w:p>
    <w:bookmarkStart w:id="45" w:name="parameters-6"/>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Ki</w:t>
            </w:r>
          </w:p>
        </w:tc>
        <w:tc>
          <w:tcPr/>
          <w:p>
            <w:pPr>
              <w:pStyle w:val="Compact"/>
              <w:jc w:val="left"/>
            </w:pPr>
            <w:r>
              <w:t xml:space="preserve">14 µmol/l</w:t>
            </w:r>
          </w:p>
        </w:tc>
        <w:tc>
          <w:tcPr/>
          <w:p>
            <w:pPr>
              <w:pStyle w:val="Compact"/>
              <w:jc w:val="left"/>
            </w:pPr>
            <w:r>
              <w:t xml:space="preserve">Publication-Vermeer 2016</w:t>
            </w:r>
          </w:p>
        </w:tc>
      </w:tr>
    </w:tbl>
    <w:bookmarkEnd w:id="45"/>
    <w:bookmarkEnd w:id="46"/>
    <w:bookmarkEnd w:id="47"/>
    <w:bookmarkEnd w:id="48"/>
    <w:bookmarkStart w:id="50" w:name="formulation-tablet-clarithromycin"/>
    <w:p>
      <w:pPr>
        <w:pStyle w:val="Heading3"/>
      </w:pPr>
      <w:r>
        <w:t xml:space="preserve">Formulation: Tablet Clarithromycin</w:t>
      </w:r>
    </w:p>
    <w:p>
      <w:pPr>
        <w:pStyle w:val="FirstParagraph"/>
      </w:pPr>
      <w:r>
        <w:t xml:space="preserve">Type: Weibull</w:t>
      </w:r>
    </w:p>
    <w:bookmarkStart w:id="49" w:name="parameters-7"/>
    <w:p>
      <w:pPr>
        <w:pStyle w:val="Heading4"/>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right"/>
            </w:pPr>
            <w:r>
              <w:t xml:space="preserve">Value Origin</w:t>
            </w:r>
          </w:p>
        </w:tc>
      </w:tr>
      <w:tr>
        <w:tc>
          <w:tcPr/>
          <w:p>
            <w:pPr>
              <w:pStyle w:val="Compact"/>
              <w:jc w:val="left"/>
            </w:pPr>
            <w:r>
              <w:t xml:space="preserve">Dissolution time (50% dissolved)</w:t>
            </w:r>
          </w:p>
        </w:tc>
        <w:tc>
          <w:tcPr/>
          <w:p>
            <w:pPr>
              <w:pStyle w:val="Compact"/>
              <w:jc w:val="left"/>
            </w:pPr>
            <w:r>
              <w:t xml:space="preserve">5 min</w:t>
            </w:r>
          </w:p>
        </w:tc>
        <w:tc>
          <w:tcPr/>
          <w:p>
            <w:pPr>
              <w:pStyle w:val="Compact"/>
            </w:pPr>
          </w:p>
        </w:tc>
      </w:tr>
      <w:tr>
        <w:tc>
          <w:tcPr/>
          <w:p>
            <w:pPr>
              <w:pStyle w:val="Compact"/>
              <w:jc w:val="left"/>
            </w:pPr>
            <w:r>
              <w:t xml:space="preserve">Lag time</w:t>
            </w:r>
          </w:p>
        </w:tc>
        <w:tc>
          <w:tcPr/>
          <w:p>
            <w:pPr>
              <w:pStyle w:val="Compact"/>
              <w:jc w:val="left"/>
            </w:pPr>
            <w:r>
              <w:t xml:space="preserve">0 min</w:t>
            </w:r>
          </w:p>
        </w:tc>
        <w:tc>
          <w:tcPr/>
          <w:p>
            <w:pPr>
              <w:pStyle w:val="Compact"/>
            </w:pPr>
          </w:p>
        </w:tc>
      </w:tr>
      <w:tr>
        <w:tc>
          <w:tcPr/>
          <w:p>
            <w:pPr>
              <w:pStyle w:val="Compact"/>
              <w:jc w:val="left"/>
            </w:pPr>
            <w:r>
              <w:t xml:space="preserve">Dissolution shape</w:t>
            </w:r>
          </w:p>
        </w:tc>
        <w:tc>
          <w:tcPr/>
          <w:p>
            <w:pPr>
              <w:pStyle w:val="Compact"/>
              <w:jc w:val="left"/>
            </w:pPr>
            <w:r>
              <w:t xml:space="preserve">2.9</w:t>
            </w:r>
          </w:p>
        </w:tc>
        <w:tc>
          <w:tcPr/>
          <w:p>
            <w:pPr>
              <w:pStyle w:val="Compact"/>
            </w:pPr>
          </w:p>
        </w:tc>
      </w:tr>
      <w:tr>
        <w:tc>
          <w:tcPr/>
          <w:p>
            <w:pPr>
              <w:pStyle w:val="Compact"/>
              <w:jc w:val="left"/>
            </w:pPr>
            <w:r>
              <w:t xml:space="preserve">Use as suspension</w:t>
            </w:r>
          </w:p>
        </w:tc>
        <w:tc>
          <w:tcPr/>
          <w:p>
            <w:pPr>
              <w:pStyle w:val="Compact"/>
              <w:jc w:val="left"/>
            </w:pPr>
            <w:r>
              <w:t xml:space="preserve">No</w:t>
            </w:r>
          </w:p>
        </w:tc>
        <w:tc>
          <w:tcPr/>
          <w:p>
            <w:pPr>
              <w:pStyle w:val="Compact"/>
            </w:pPr>
          </w:p>
        </w:tc>
      </w:tr>
    </w:tbl>
    <w:bookmarkEnd w:id="49"/>
    <w:bookmarkEnd w:id="50"/>
    <w:bookmarkEnd w:id="51"/>
    <w:bookmarkStart w:id="58" w:name="diagnostics-plots"/>
    <w:p>
      <w:pPr>
        <w:pStyle w:val="Heading2"/>
      </w:pPr>
      <w:r>
        <w:t xml:space="preserve">Diagnostics Plots</w:t>
      </w:r>
      <w:bookmarkStart w:id="diagnostics-plots" w:name="diagnostics-plots"/>
      <w:bookmarkEnd w:id="diagnostics-plots"/>
    </w:p>
    <w:p>
      <w:pPr>
        <w:pStyle w:val="FirstParagraph"/>
      </w:pPr>
      <w:r>
        <w:t xml:space="preserve">Below you find the goodness-of-fit visual diagnostic plots for the PBPK model performance of all data used presented in</w:t>
      </w:r>
      <w:r>
        <w:t xml:space="preserve"> </w:t>
      </w:r>
      <w:hyperlink w:anchor="X7ecbd1fd734a207de60ff9705c88346a68b0398">
        <w:r>
          <w:rPr>
            <w:rStyle w:val="Hyperlink"/>
          </w:rPr>
          <w:t xml:space="preserve">Section 2.2.2</w:t>
        </w:r>
      </w:hyperlink>
      <w:r>
        <w:t xml:space="preserve">.</w:t>
      </w:r>
    </w:p>
    <w:p>
      <w:pPr>
        <w:pStyle w:val="BodyText"/>
      </w:pPr>
      <w:r>
        <w:t xml:space="preserve">The first plot shows simulated versus observed plasma concentrations, the second weighted residuals versus time.</w:t>
      </w:r>
    </w:p>
    <w:br w:type="page"/>
    <w:p>
      <w:pPr>
        <w:pStyle w:val="BodyText"/>
      </w:pPr>
      <w:bookmarkStart w:id="table-3-1" w:name="table-3-1"/>
      <w:bookmarkEnd w:id="table-3-1"/>
    </w:p>
    <w:p>
      <w:pPr>
        <w:pStyle w:val="BodyText"/>
      </w:pPr>
      <w:r>
        <w:rPr>
          <w:bCs/>
          <w:b/>
        </w:rPr>
        <w:t xml:space="preserve">Table 3-1: GMFE for Goodness of fit plot for concentration in plasma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GMFE</w:t>
            </w:r>
          </w:p>
        </w:tc>
      </w:tr>
      <w:tr>
        <w:tc>
          <w:tcPr/>
          <w:p>
            <w:pPr>
              <w:pStyle w:val="Compact"/>
              <w:jc w:val="left"/>
            </w:pPr>
            <w:r>
              <w:t xml:space="preserve">model building</w:t>
            </w:r>
          </w:p>
        </w:tc>
        <w:tc>
          <w:tcPr/>
          <w:p>
            <w:pPr>
              <w:pStyle w:val="Compact"/>
              <w:jc w:val="left"/>
            </w:pPr>
            <w:r>
              <w:t xml:space="preserve">1.21</w:t>
            </w:r>
          </w:p>
        </w:tc>
      </w:tr>
      <w:tr>
        <w:tc>
          <w:tcPr/>
          <w:p>
            <w:pPr>
              <w:pStyle w:val="Compact"/>
              <w:jc w:val="left"/>
            </w:pPr>
            <w:r>
              <w:t xml:space="preserve">model evaluation</w:t>
            </w:r>
          </w:p>
        </w:tc>
        <w:tc>
          <w:tcPr/>
          <w:p>
            <w:pPr>
              <w:pStyle w:val="Compact"/>
              <w:jc w:val="left"/>
            </w:pPr>
            <w:r>
              <w:t xml:space="preserve">1.62</w:t>
            </w:r>
          </w:p>
        </w:tc>
      </w:tr>
      <w:tr>
        <w:tc>
          <w:tcPr/>
          <w:p>
            <w:pPr>
              <w:pStyle w:val="Compact"/>
              <w:jc w:val="left"/>
            </w:pPr>
            <w:r>
              <w:t xml:space="preserve">All</w:t>
            </w:r>
          </w:p>
        </w:tc>
        <w:tc>
          <w:tcPr/>
          <w:p>
            <w:pPr>
              <w:pStyle w:val="Compact"/>
              <w:jc w:val="left"/>
            </w:pPr>
            <w:r>
              <w:t xml:space="preserve">1.58</w:t>
            </w:r>
          </w:p>
        </w:tc>
      </w:tr>
    </w:tbl>
    <w:p>
      <w:pPr>
        <w:pStyle w:val="BodyText"/>
      </w:pPr>
      <w:r>
        <w:t xml:space="preserve"> </w:t>
      </w:r>
    </w:p>
    <w:br w:type="page"/>
    <w:p>
      <w:pPr>
        <w:pStyle w:val="BodyText"/>
      </w:pPr>
      <w:bookmarkStart w:id="figure-3-1" w:name="figure-3-1"/>
      <w:bookmarkEnd w:id="figure-3-1"/>
    </w:p>
    <w:p>
      <w:pPr>
        <w:pStyle w:val="BodyText"/>
      </w:pPr>
      <w:r>
        <w:drawing>
          <wp:inline>
            <wp:extent cx="5969000" cy="6546371"/>
            <wp:effectExtent b="0" l="0" r="0" t="0"/>
            <wp:docPr descr="" title="" id="53" name="Picture"/>
            <a:graphic>
              <a:graphicData uri="http://schemas.openxmlformats.org/drawingml/2006/picture">
                <pic:pic>
                  <pic:nvPicPr>
                    <pic:cNvPr descr="images/006_section_results-and-discussion/008_section_diagnostics-plots/2_gof_plot_predictedVsObserved.png" id="54" name="Picture"/>
                    <pic:cNvPicPr>
                      <a:picLocks noChangeArrowheads="1" noChangeAspect="1"/>
                    </pic:cNvPicPr>
                  </pic:nvPicPr>
                  <pic:blipFill>
                    <a:blip r:embed="rId52"/>
                    <a:stretch>
                      <a:fillRect/>
                    </a:stretch>
                  </pic:blipFill>
                  <pic:spPr bwMode="auto">
                    <a:xfrm>
                      <a:off x="0" y="0"/>
                      <a:ext cx="5969000" cy="6546371"/>
                    </a:xfrm>
                    <a:prstGeom prst="rect">
                      <a:avLst/>
                    </a:prstGeom>
                    <a:noFill/>
                    <a:ln w="9525">
                      <a:noFill/>
                      <a:headEnd/>
                      <a:tailEnd/>
                    </a:ln>
                  </pic:spPr>
                </pic:pic>
              </a:graphicData>
            </a:graphic>
          </wp:inline>
        </w:drawing>
      </w:r>
    </w:p>
    <w:p>
      <w:pPr>
        <w:pStyle w:val="BodyText"/>
      </w:pPr>
      <w:r>
        <w:rPr>
          <w:bCs/>
          <w:b/>
        </w:rPr>
        <w:t xml:space="preserve">Figure 3-1: Goodness of fit plot for concentration in plasma</w:t>
      </w:r>
    </w:p>
    <w:p>
      <w:pPr>
        <w:pStyle w:val="BodyText"/>
      </w:pPr>
      <w:r>
        <w:t xml:space="preserve"> </w:t>
      </w:r>
    </w:p>
    <w:br w:type="page"/>
    <w:p>
      <w:pPr>
        <w:pStyle w:val="BodyText"/>
      </w:pPr>
      <w:bookmarkStart w:id="figure-3-2" w:name="figure-3-2"/>
      <w:bookmarkEnd w:id="figure-3-2"/>
    </w:p>
    <w:p>
      <w:pPr>
        <w:pStyle w:val="BodyText"/>
      </w:pPr>
      <w:r>
        <w:drawing>
          <wp:inline>
            <wp:extent cx="5969000" cy="4339701"/>
            <wp:effectExtent b="0" l="0" r="0" t="0"/>
            <wp:docPr descr="" title="" id="56" name="Picture"/>
            <a:graphic>
              <a:graphicData uri="http://schemas.openxmlformats.org/drawingml/2006/picture">
                <pic:pic>
                  <pic:nvPicPr>
                    <pic:cNvPr descr="images/006_section_results-and-discussion/008_section_diagnostics-plots/3_gof_plot_residualsOverTime.png" id="57" name="Picture"/>
                    <pic:cNvPicPr>
                      <a:picLocks noChangeArrowheads="1" noChangeAspect="1"/>
                    </pic:cNvPicPr>
                  </pic:nvPicPr>
                  <pic:blipFill>
                    <a:blip r:embed="rId55"/>
                    <a:stretch>
                      <a:fillRect/>
                    </a:stretch>
                  </pic:blipFill>
                  <pic:spPr bwMode="auto">
                    <a:xfrm>
                      <a:off x="0" y="0"/>
                      <a:ext cx="5969000" cy="4339701"/>
                    </a:xfrm>
                    <a:prstGeom prst="rect">
                      <a:avLst/>
                    </a:prstGeom>
                    <a:noFill/>
                    <a:ln w="9525">
                      <a:noFill/>
                      <a:headEnd/>
                      <a:tailEnd/>
                    </a:ln>
                  </pic:spPr>
                </pic:pic>
              </a:graphicData>
            </a:graphic>
          </wp:inline>
        </w:drawing>
      </w:r>
    </w:p>
    <w:p>
      <w:pPr>
        <w:pStyle w:val="BodyText"/>
      </w:pPr>
      <w:r>
        <w:rPr>
          <w:bCs/>
          <w:b/>
        </w:rPr>
        <w:t xml:space="preserve">Figure 3-2: Goodness of fit plot for concentration in plasma</w:t>
      </w:r>
    </w:p>
    <w:p>
      <w:pPr>
        <w:pStyle w:val="BodyText"/>
      </w:pPr>
      <w:r>
        <w:t xml:space="preserve"> </w:t>
      </w:r>
    </w:p>
    <w:bookmarkEnd w:id="58"/>
    <w:bookmarkStart w:id="163" w:name="concentration-time-profiles"/>
    <w:p>
      <w:pPr>
        <w:pStyle w:val="Heading2"/>
      </w:pPr>
      <w:r>
        <w:t xml:space="preserve">Concentration-Time Profiles</w:t>
      </w:r>
      <w:bookmarkStart w:id="ct-profiles" w:name="ct-profiles"/>
      <w:bookmarkEnd w:id="ct-profiles"/>
    </w:p>
    <w:p>
      <w:pPr>
        <w:pStyle w:val="FirstParagraph"/>
      </w:pPr>
      <w:r>
        <w:t xml:space="preserve">Simulated versus observed concentration-time profiles of all data listed in</w:t>
      </w:r>
      <w:r>
        <w:t xml:space="preserve"> </w:t>
      </w:r>
      <w:hyperlink w:anchor="X7ecbd1fd734a207de60ff9705c88346a68b0398">
        <w:r>
          <w:rPr>
            <w:rStyle w:val="Hyperlink"/>
          </w:rPr>
          <w:t xml:space="preserve">Section 2.2.2</w:t>
        </w:r>
      </w:hyperlink>
      <w:r>
        <w:t xml:space="preserve"> </w:t>
      </w:r>
      <w:r>
        <w:t xml:space="preserve">are presented below.</w:t>
      </w:r>
    </w:p>
    <w:bookmarkStart w:id="89" w:name="model-building-1"/>
    <w:p>
      <w:pPr>
        <w:pStyle w:val="Heading3"/>
      </w:pPr>
      <w:r>
        <w:t xml:space="preserve">Model Building</w:t>
      </w:r>
      <w:bookmarkStart w:id="model-building" w:name="model-building"/>
      <w:bookmarkEnd w:id="model-building"/>
    </w:p>
    <w:br w:type="page"/>
    <w:p>
      <w:pPr>
        <w:pStyle w:val="FirstParagraph"/>
      </w:pPr>
      <w:bookmarkStart w:id="figure-3-3" w:name="figure-3-3"/>
      <w:bookmarkEnd w:id="figure-3-3"/>
    </w:p>
    <w:p>
      <w:pPr>
        <w:pStyle w:val="BodyText"/>
      </w:pPr>
      <w:r>
        <w:drawing>
          <wp:inline>
            <wp:extent cx="5969000" cy="4715987"/>
            <wp:effectExtent b="0" l="0" r="0" t="0"/>
            <wp:docPr descr="" title="" id="60" name="Picture"/>
            <a:graphic>
              <a:graphicData uri="http://schemas.openxmlformats.org/drawingml/2006/picture">
                <pic:pic>
                  <pic:nvPicPr>
                    <pic:cNvPr descr="images/006_section_results-and-discussion/009_section_ct-profiles/010_section_model-building/1_time_profile_plot_Clarithromycin_Model_Clarithromycin_iv__Chu_1992__250_mg__0_75_h.png" id="61" name="Picture"/>
                    <pic:cNvPicPr>
                      <a:picLocks noChangeArrowheads="1" noChangeAspect="1"/>
                    </pic:cNvPicPr>
                  </pic:nvPicPr>
                  <pic:blipFill>
                    <a:blip r:embed="rId59"/>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3-3: Time Profile Analysis</w:t>
      </w:r>
    </w:p>
    <w:p>
      <w:pPr>
        <w:pStyle w:val="BodyText"/>
      </w:pPr>
      <w:r>
        <w:t xml:space="preserve"> </w:t>
      </w:r>
    </w:p>
    <w:br w:type="page"/>
    <w:p>
      <w:pPr>
        <w:pStyle w:val="BodyText"/>
      </w:pPr>
      <w:bookmarkStart w:id="figure-3-4" w:name="figure-3-4"/>
      <w:bookmarkEnd w:id="figure-3-4"/>
    </w:p>
    <w:p>
      <w:pPr>
        <w:pStyle w:val="BodyText"/>
      </w:pPr>
      <w:r>
        <w:drawing>
          <wp:inline>
            <wp:extent cx="5969000" cy="4715987"/>
            <wp:effectExtent b="0" l="0" r="0" t="0"/>
            <wp:docPr descr="" title="" id="63" name="Picture"/>
            <a:graphic>
              <a:graphicData uri="http://schemas.openxmlformats.org/drawingml/2006/picture">
                <pic:pic>
                  <pic:nvPicPr>
                    <pic:cNvPr descr="images/006_section_results-and-discussion/009_section_ct-profiles/010_section_model-building/2_time_profile_plot_Clarithromycin_Model_Clarithromycin_iv__Chu_1992__250_mg__0_75_h.png" id="64" name="Picture"/>
                    <pic:cNvPicPr>
                      <a:picLocks noChangeArrowheads="1" noChangeAspect="1"/>
                    </pic:cNvPicPr>
                  </pic:nvPicPr>
                  <pic:blipFill>
                    <a:blip r:embed="rId62"/>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3-4: Time Profile Analysis 1</w:t>
      </w:r>
    </w:p>
    <w:p>
      <w:pPr>
        <w:pStyle w:val="BodyText"/>
      </w:pPr>
      <w:r>
        <w:t xml:space="preserve"> </w:t>
      </w:r>
    </w:p>
    <w:br w:type="page"/>
    <w:p>
      <w:pPr>
        <w:pStyle w:val="BodyText"/>
      </w:pPr>
      <w:bookmarkStart w:id="figure-3-5" w:name="figure-3-5"/>
      <w:bookmarkEnd w:id="figure-3-5"/>
    </w:p>
    <w:p>
      <w:pPr>
        <w:pStyle w:val="BodyText"/>
      </w:pPr>
      <w:r>
        <w:drawing>
          <wp:inline>
            <wp:extent cx="5969000" cy="4715987"/>
            <wp:effectExtent b="0" l="0" r="0" t="0"/>
            <wp:docPr descr="" title="" id="66" name="Picture"/>
            <a:graphic>
              <a:graphicData uri="http://schemas.openxmlformats.org/drawingml/2006/picture">
                <pic:pic>
                  <pic:nvPicPr>
                    <pic:cNvPr descr="images/006_section_results-and-discussion/009_section_ct-profiles/010_section_model-building/17_time_profile_plot_Clarithromycin_Model_Clarithromycin_po__Chu_1993__250_mg.png" id="67" name="Picture"/>
                    <pic:cNvPicPr>
                      <a:picLocks noChangeArrowheads="1" noChangeAspect="1"/>
                    </pic:cNvPicPr>
                  </pic:nvPicPr>
                  <pic:blipFill>
                    <a:blip r:embed="rId65"/>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3-5: Time Profile Analysis</w:t>
      </w:r>
    </w:p>
    <w:p>
      <w:pPr>
        <w:pStyle w:val="BodyText"/>
      </w:pPr>
      <w:r>
        <w:t xml:space="preserve"> </w:t>
      </w:r>
    </w:p>
    <w:br w:type="page"/>
    <w:p>
      <w:pPr>
        <w:pStyle w:val="BodyText"/>
      </w:pPr>
      <w:bookmarkStart w:id="figure-3-6" w:name="figure-3-6"/>
      <w:bookmarkEnd w:id="figure-3-6"/>
    </w:p>
    <w:p>
      <w:pPr>
        <w:pStyle w:val="BodyText"/>
      </w:pPr>
      <w:r>
        <w:drawing>
          <wp:inline>
            <wp:extent cx="5969000" cy="4715987"/>
            <wp:effectExtent b="0" l="0" r="0" t="0"/>
            <wp:docPr descr="" title="" id="69" name="Picture"/>
            <a:graphic>
              <a:graphicData uri="http://schemas.openxmlformats.org/drawingml/2006/picture">
                <pic:pic>
                  <pic:nvPicPr>
                    <pic:cNvPr descr="images/006_section_results-and-discussion/009_section_ct-profiles/010_section_model-building/18_time_profile_plot_Clarithromycin_Model_Clarithromycin_po__Chu_1993__250_mg.png" id="70" name="Picture"/>
                    <pic:cNvPicPr>
                      <a:picLocks noChangeArrowheads="1" noChangeAspect="1"/>
                    </pic:cNvPicPr>
                  </pic:nvPicPr>
                  <pic:blipFill>
                    <a:blip r:embed="rId68"/>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3-6: Time Profile Analysis 1</w:t>
      </w:r>
    </w:p>
    <w:p>
      <w:pPr>
        <w:pStyle w:val="BodyText"/>
      </w:pPr>
      <w:r>
        <w:t xml:space="preserve"> </w:t>
      </w:r>
    </w:p>
    <w:br w:type="page"/>
    <w:p>
      <w:pPr>
        <w:pStyle w:val="BodyText"/>
      </w:pPr>
      <w:bookmarkStart w:id="figure-3-7" w:name="figure-3-7"/>
      <w:bookmarkEnd w:id="figure-3-7"/>
    </w:p>
    <w:p>
      <w:pPr>
        <w:pStyle w:val="BodyText"/>
      </w:pPr>
      <w:r>
        <w:drawing>
          <wp:inline>
            <wp:extent cx="5969000" cy="4715987"/>
            <wp:effectExtent b="0" l="0" r="0" t="0"/>
            <wp:docPr descr="" title="" id="72" name="Picture"/>
            <a:graphic>
              <a:graphicData uri="http://schemas.openxmlformats.org/drawingml/2006/picture">
                <pic:pic>
                  <pic:nvPicPr>
                    <pic:cNvPr descr="images/006_section_results-and-discussion/009_section_ct-profiles/010_section_model-building/19_time_profile_plot_Clarithromycin_Model_Clarithromycin_po__Chu_1993__250_mg__MD__3_5_d.png" id="73" name="Picture"/>
                    <pic:cNvPicPr>
                      <a:picLocks noChangeArrowheads="1" noChangeAspect="1"/>
                    </pic:cNvPicPr>
                  </pic:nvPicPr>
                  <pic:blipFill>
                    <a:blip r:embed="rId71"/>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3-7: Time Profile Analysis</w:t>
      </w:r>
    </w:p>
    <w:p>
      <w:pPr>
        <w:pStyle w:val="BodyText"/>
      </w:pPr>
      <w:r>
        <w:t xml:space="preserve"> </w:t>
      </w:r>
    </w:p>
    <w:br w:type="page"/>
    <w:p>
      <w:pPr>
        <w:pStyle w:val="BodyText"/>
      </w:pPr>
      <w:bookmarkStart w:id="figure-3-8" w:name="figure-3-8"/>
      <w:bookmarkEnd w:id="figure-3-8"/>
    </w:p>
    <w:p>
      <w:pPr>
        <w:pStyle w:val="BodyText"/>
      </w:pPr>
      <w:r>
        <w:drawing>
          <wp:inline>
            <wp:extent cx="5969000" cy="4715987"/>
            <wp:effectExtent b="0" l="0" r="0" t="0"/>
            <wp:docPr descr="" title="" id="75" name="Picture"/>
            <a:graphic>
              <a:graphicData uri="http://schemas.openxmlformats.org/drawingml/2006/picture">
                <pic:pic>
                  <pic:nvPicPr>
                    <pic:cNvPr descr="images/006_section_results-and-discussion/009_section_ct-profiles/010_section_model-building/20_time_profile_plot_Clarithromycin_Model_Clarithromycin_po__Chu_1993__250_mg__MD__3_5_d.png" id="76" name="Picture"/>
                    <pic:cNvPicPr>
                      <a:picLocks noChangeArrowheads="1" noChangeAspect="1"/>
                    </pic:cNvPicPr>
                  </pic:nvPicPr>
                  <pic:blipFill>
                    <a:blip r:embed="rId74"/>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3-8: Time Profile Analysis 1</w:t>
      </w:r>
    </w:p>
    <w:p>
      <w:pPr>
        <w:pStyle w:val="BodyText"/>
      </w:pPr>
      <w:r>
        <w:t xml:space="preserve"> </w:t>
      </w:r>
    </w:p>
    <w:br w:type="page"/>
    <w:p>
      <w:pPr>
        <w:pStyle w:val="BodyText"/>
      </w:pPr>
      <w:bookmarkStart w:id="figure-3-9" w:name="figure-3-9"/>
      <w:bookmarkEnd w:id="figure-3-9"/>
    </w:p>
    <w:p>
      <w:pPr>
        <w:pStyle w:val="BodyText"/>
      </w:pPr>
      <w:r>
        <w:drawing>
          <wp:inline>
            <wp:extent cx="5969000" cy="4715987"/>
            <wp:effectExtent b="0" l="0" r="0" t="0"/>
            <wp:docPr descr="" title="" id="78" name="Picture"/>
            <a:graphic>
              <a:graphicData uri="http://schemas.openxmlformats.org/drawingml/2006/picture">
                <pic:pic>
                  <pic:nvPicPr>
                    <pic:cNvPr descr="images/006_section_results-and-discussion/009_section_ct-profiles/010_section_model-building/21_time_profile_plot_Clarithromycin_Model_Clarithromycin_po__Chu_1993__500_mg.png" id="79" name="Picture"/>
                    <pic:cNvPicPr>
                      <a:picLocks noChangeArrowheads="1" noChangeAspect="1"/>
                    </pic:cNvPicPr>
                  </pic:nvPicPr>
                  <pic:blipFill>
                    <a:blip r:embed="rId77"/>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3-9: Time Profile Analysis</w:t>
      </w:r>
    </w:p>
    <w:p>
      <w:pPr>
        <w:pStyle w:val="BodyText"/>
      </w:pPr>
      <w:r>
        <w:t xml:space="preserve"> </w:t>
      </w:r>
    </w:p>
    <w:br w:type="page"/>
    <w:p>
      <w:pPr>
        <w:pStyle w:val="BodyText"/>
      </w:pPr>
      <w:bookmarkStart w:id="figure-3-10" w:name="figure-3-10"/>
      <w:bookmarkEnd w:id="figure-3-10"/>
    </w:p>
    <w:p>
      <w:pPr>
        <w:pStyle w:val="BodyText"/>
      </w:pPr>
      <w:r>
        <w:drawing>
          <wp:inline>
            <wp:extent cx="5969000" cy="4715987"/>
            <wp:effectExtent b="0" l="0" r="0" t="0"/>
            <wp:docPr descr="" title="" id="81" name="Picture"/>
            <a:graphic>
              <a:graphicData uri="http://schemas.openxmlformats.org/drawingml/2006/picture">
                <pic:pic>
                  <pic:nvPicPr>
                    <pic:cNvPr descr="images/006_section_results-and-discussion/009_section_ct-profiles/010_section_model-building/22_time_profile_plot_Clarithromycin_Model_Clarithromycin_po__Chu_1993__500_mg.png" id="82" name="Picture"/>
                    <pic:cNvPicPr>
                      <a:picLocks noChangeArrowheads="1" noChangeAspect="1"/>
                    </pic:cNvPicPr>
                  </pic:nvPicPr>
                  <pic:blipFill>
                    <a:blip r:embed="rId80"/>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3-10: Time Profile Analysis 1</w:t>
      </w:r>
    </w:p>
    <w:p>
      <w:pPr>
        <w:pStyle w:val="BodyText"/>
      </w:pPr>
      <w:r>
        <w:t xml:space="preserve"> </w:t>
      </w:r>
    </w:p>
    <w:br w:type="page"/>
    <w:p>
      <w:pPr>
        <w:pStyle w:val="BodyText"/>
      </w:pPr>
      <w:bookmarkStart w:id="figure-3-11" w:name="figure-3-11"/>
      <w:bookmarkEnd w:id="figure-3-11"/>
    </w:p>
    <w:p>
      <w:pPr>
        <w:pStyle w:val="BodyText"/>
      </w:pPr>
      <w:r>
        <w:drawing>
          <wp:inline>
            <wp:extent cx="5969000" cy="4715987"/>
            <wp:effectExtent b="0" l="0" r="0" t="0"/>
            <wp:docPr descr="" title="" id="84" name="Picture"/>
            <a:graphic>
              <a:graphicData uri="http://schemas.openxmlformats.org/drawingml/2006/picture">
                <pic:pic>
                  <pic:nvPicPr>
                    <pic:cNvPr descr="images/006_section_results-and-discussion/009_section_ct-profiles/010_section_model-building/23_time_profile_plot_Clarithromycin_Model_Clarithromycin_po__Chu_1993__500_mg__MD__3_5_d.png" id="85" name="Picture"/>
                    <pic:cNvPicPr>
                      <a:picLocks noChangeArrowheads="1" noChangeAspect="1"/>
                    </pic:cNvPicPr>
                  </pic:nvPicPr>
                  <pic:blipFill>
                    <a:blip r:embed="rId83"/>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3-11: Time Profile Analysis</w:t>
      </w:r>
    </w:p>
    <w:p>
      <w:pPr>
        <w:pStyle w:val="BodyText"/>
      </w:pPr>
      <w:r>
        <w:t xml:space="preserve"> </w:t>
      </w:r>
    </w:p>
    <w:br w:type="page"/>
    <w:p>
      <w:pPr>
        <w:pStyle w:val="BodyText"/>
      </w:pPr>
      <w:bookmarkStart w:id="figure-3-12" w:name="figure-3-12"/>
      <w:bookmarkEnd w:id="figure-3-12"/>
    </w:p>
    <w:p>
      <w:pPr>
        <w:pStyle w:val="BodyText"/>
      </w:pPr>
      <w:r>
        <w:drawing>
          <wp:inline>
            <wp:extent cx="5969000" cy="4715987"/>
            <wp:effectExtent b="0" l="0" r="0" t="0"/>
            <wp:docPr descr="" title="" id="87" name="Picture"/>
            <a:graphic>
              <a:graphicData uri="http://schemas.openxmlformats.org/drawingml/2006/picture">
                <pic:pic>
                  <pic:nvPicPr>
                    <pic:cNvPr descr="images/006_section_results-and-discussion/009_section_ct-profiles/010_section_model-building/24_time_profile_plot_Clarithromycin_Model_Clarithromycin_po__Chu_1993__500_mg__MD__3_5_d.png" id="88" name="Picture"/>
                    <pic:cNvPicPr>
                      <a:picLocks noChangeArrowheads="1" noChangeAspect="1"/>
                    </pic:cNvPicPr>
                  </pic:nvPicPr>
                  <pic:blipFill>
                    <a:blip r:embed="rId86"/>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3-12: Time Profile Analysis 1</w:t>
      </w:r>
    </w:p>
    <w:p>
      <w:pPr>
        <w:pStyle w:val="BodyText"/>
      </w:pPr>
      <w:r>
        <w:t xml:space="preserve"> </w:t>
      </w:r>
    </w:p>
    <w:bookmarkEnd w:id="89"/>
    <w:bookmarkStart w:id="162" w:name="model-verification-1"/>
    <w:p>
      <w:pPr>
        <w:pStyle w:val="Heading3"/>
      </w:pPr>
      <w:r>
        <w:t xml:space="preserve">Model Verification</w:t>
      </w:r>
      <w:bookmarkStart w:id="model-verification" w:name="model-verification"/>
      <w:bookmarkEnd w:id="model-verification"/>
    </w:p>
    <w:br w:type="page"/>
    <w:p>
      <w:pPr>
        <w:pStyle w:val="FirstParagraph"/>
      </w:pPr>
      <w:bookmarkStart w:id="figure-3-13" w:name="figure-3-13"/>
      <w:bookmarkEnd w:id="figure-3-13"/>
    </w:p>
    <w:p>
      <w:pPr>
        <w:pStyle w:val="BodyText"/>
      </w:pPr>
      <w:r>
        <w:drawing>
          <wp:inline>
            <wp:extent cx="5969000" cy="4853513"/>
            <wp:effectExtent b="0" l="0" r="0" t="0"/>
            <wp:docPr descr="" title="" id="91" name="Picture"/>
            <a:graphic>
              <a:graphicData uri="http://schemas.openxmlformats.org/drawingml/2006/picture">
                <pic:pic>
                  <pic:nvPicPr>
                    <pic:cNvPr descr="images/006_section_results-and-discussion/009_section_ct-profiles/011_section_model-verification/3_time_profile_plot_Clarithromycin_Model_Clarithromycin_po__Abduljalil_2009__500_mg__MD__3_5_d.png" id="92" name="Picture"/>
                    <pic:cNvPicPr>
                      <a:picLocks noChangeArrowheads="1" noChangeAspect="1"/>
                    </pic:cNvPicPr>
                  </pic:nvPicPr>
                  <pic:blipFill>
                    <a:blip r:embed="rId90"/>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3-13: Time Profile Analysis</w:t>
      </w:r>
    </w:p>
    <w:p>
      <w:pPr>
        <w:pStyle w:val="BodyText"/>
      </w:pPr>
      <w:r>
        <w:t xml:space="preserve"> </w:t>
      </w:r>
    </w:p>
    <w:br w:type="page"/>
    <w:p>
      <w:pPr>
        <w:pStyle w:val="BodyText"/>
      </w:pPr>
      <w:bookmarkStart w:id="figure-3-14" w:name="figure-3-14"/>
      <w:bookmarkEnd w:id="figure-3-14"/>
    </w:p>
    <w:p>
      <w:pPr>
        <w:pStyle w:val="BodyText"/>
      </w:pPr>
      <w:r>
        <w:drawing>
          <wp:inline>
            <wp:extent cx="5969000" cy="4853513"/>
            <wp:effectExtent b="0" l="0" r="0" t="0"/>
            <wp:docPr descr="" title="" id="94" name="Picture"/>
            <a:graphic>
              <a:graphicData uri="http://schemas.openxmlformats.org/drawingml/2006/picture">
                <pic:pic>
                  <pic:nvPicPr>
                    <pic:cNvPr descr="images/006_section_results-and-discussion/009_section_ct-profiles/011_section_model-verification/4_time_profile_plot_Clarithromycin_Model_Clarithromycin_po__Abduljalil_2009__500_mg__MD__3_5_d.png" id="95" name="Picture"/>
                    <pic:cNvPicPr>
                      <a:picLocks noChangeArrowheads="1" noChangeAspect="1"/>
                    </pic:cNvPicPr>
                  </pic:nvPicPr>
                  <pic:blipFill>
                    <a:blip r:embed="rId93"/>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3-14: Time Profile Analysis 1</w:t>
      </w:r>
    </w:p>
    <w:p>
      <w:pPr>
        <w:pStyle w:val="BodyText"/>
      </w:pPr>
      <w:r>
        <w:t xml:space="preserve"> </w:t>
      </w:r>
    </w:p>
    <w:br w:type="page"/>
    <w:p>
      <w:pPr>
        <w:pStyle w:val="BodyText"/>
      </w:pPr>
      <w:bookmarkStart w:id="figure-3-15" w:name="figure-3-15"/>
      <w:bookmarkEnd w:id="figure-3-15"/>
    </w:p>
    <w:p>
      <w:pPr>
        <w:pStyle w:val="BodyText"/>
      </w:pPr>
      <w:r>
        <w:drawing>
          <wp:inline>
            <wp:extent cx="5969000" cy="4715987"/>
            <wp:effectExtent b="0" l="0" r="0" t="0"/>
            <wp:docPr descr="" title="" id="97" name="Picture"/>
            <a:graphic>
              <a:graphicData uri="http://schemas.openxmlformats.org/drawingml/2006/picture">
                <pic:pic>
                  <pic:nvPicPr>
                    <pic:cNvPr descr="images/006_section_results-and-discussion/009_section_ct-profiles/011_section_model-verification/5_time_profile_plot_Clarithromycin_Model_Clarithromycin_po__Chu_1992__100_mg.png" id="98" name="Picture"/>
                    <pic:cNvPicPr>
                      <a:picLocks noChangeArrowheads="1" noChangeAspect="1"/>
                    </pic:cNvPicPr>
                  </pic:nvPicPr>
                  <pic:blipFill>
                    <a:blip r:embed="rId96"/>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3-15: Time Profile Analysis</w:t>
      </w:r>
    </w:p>
    <w:p>
      <w:pPr>
        <w:pStyle w:val="BodyText"/>
      </w:pPr>
      <w:r>
        <w:t xml:space="preserve"> </w:t>
      </w:r>
    </w:p>
    <w:br w:type="page"/>
    <w:p>
      <w:pPr>
        <w:pStyle w:val="BodyText"/>
      </w:pPr>
      <w:bookmarkStart w:id="figure-3-16" w:name="figure-3-16"/>
      <w:bookmarkEnd w:id="figure-3-16"/>
    </w:p>
    <w:p>
      <w:pPr>
        <w:pStyle w:val="BodyText"/>
      </w:pPr>
      <w:r>
        <w:drawing>
          <wp:inline>
            <wp:extent cx="5969000" cy="4715987"/>
            <wp:effectExtent b="0" l="0" r="0" t="0"/>
            <wp:docPr descr="" title="" id="100" name="Picture"/>
            <a:graphic>
              <a:graphicData uri="http://schemas.openxmlformats.org/drawingml/2006/picture">
                <pic:pic>
                  <pic:nvPicPr>
                    <pic:cNvPr descr="images/006_section_results-and-discussion/009_section_ct-profiles/011_section_model-verification/6_time_profile_plot_Clarithromycin_Model_Clarithromycin_po__Chu_1992__100_mg.png" id="101" name="Picture"/>
                    <pic:cNvPicPr>
                      <a:picLocks noChangeArrowheads="1" noChangeAspect="1"/>
                    </pic:cNvPicPr>
                  </pic:nvPicPr>
                  <pic:blipFill>
                    <a:blip r:embed="rId99"/>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3-16: Time Profile Analysis 1</w:t>
      </w:r>
    </w:p>
    <w:p>
      <w:pPr>
        <w:pStyle w:val="BodyText"/>
      </w:pPr>
      <w:r>
        <w:t xml:space="preserve"> </w:t>
      </w:r>
    </w:p>
    <w:br w:type="page"/>
    <w:p>
      <w:pPr>
        <w:pStyle w:val="BodyText"/>
      </w:pPr>
      <w:bookmarkStart w:id="figure-3-17" w:name="figure-3-17"/>
      <w:bookmarkEnd w:id="figure-3-17"/>
    </w:p>
    <w:p>
      <w:pPr>
        <w:pStyle w:val="BodyText"/>
      </w:pPr>
      <w:r>
        <w:drawing>
          <wp:inline>
            <wp:extent cx="5969000" cy="4715987"/>
            <wp:effectExtent b="0" l="0" r="0" t="0"/>
            <wp:docPr descr="" title="" id="103" name="Picture"/>
            <a:graphic>
              <a:graphicData uri="http://schemas.openxmlformats.org/drawingml/2006/picture">
                <pic:pic>
                  <pic:nvPicPr>
                    <pic:cNvPr descr="images/006_section_results-and-discussion/009_section_ct-profiles/011_section_model-verification/7_time_profile_plot_Clarithromycin_Model_Clarithromycin_po__Chu_1992__1200_mg.png" id="104" name="Picture"/>
                    <pic:cNvPicPr>
                      <a:picLocks noChangeArrowheads="1" noChangeAspect="1"/>
                    </pic:cNvPicPr>
                  </pic:nvPicPr>
                  <pic:blipFill>
                    <a:blip r:embed="rId102"/>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3-17: Time Profile Analysis</w:t>
      </w:r>
    </w:p>
    <w:p>
      <w:pPr>
        <w:pStyle w:val="BodyText"/>
      </w:pPr>
      <w:r>
        <w:t xml:space="preserve"> </w:t>
      </w:r>
    </w:p>
    <w:br w:type="page"/>
    <w:p>
      <w:pPr>
        <w:pStyle w:val="BodyText"/>
      </w:pPr>
      <w:bookmarkStart w:id="figure-3-18" w:name="figure-3-18"/>
      <w:bookmarkEnd w:id="figure-3-18"/>
    </w:p>
    <w:p>
      <w:pPr>
        <w:pStyle w:val="BodyText"/>
      </w:pPr>
      <w:r>
        <w:drawing>
          <wp:inline>
            <wp:extent cx="5969000" cy="4715987"/>
            <wp:effectExtent b="0" l="0" r="0" t="0"/>
            <wp:docPr descr="" title="" id="106" name="Picture"/>
            <a:graphic>
              <a:graphicData uri="http://schemas.openxmlformats.org/drawingml/2006/picture">
                <pic:pic>
                  <pic:nvPicPr>
                    <pic:cNvPr descr="images/006_section_results-and-discussion/009_section_ct-profiles/011_section_model-verification/8_time_profile_plot_Clarithromycin_Model_Clarithromycin_po__Chu_1992__1200_mg.png" id="107" name="Picture"/>
                    <pic:cNvPicPr>
                      <a:picLocks noChangeArrowheads="1" noChangeAspect="1"/>
                    </pic:cNvPicPr>
                  </pic:nvPicPr>
                  <pic:blipFill>
                    <a:blip r:embed="rId105"/>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3-18: Time Profile Analysis 1</w:t>
      </w:r>
    </w:p>
    <w:p>
      <w:pPr>
        <w:pStyle w:val="BodyText"/>
      </w:pPr>
      <w:r>
        <w:t xml:space="preserve"> </w:t>
      </w:r>
    </w:p>
    <w:br w:type="page"/>
    <w:p>
      <w:pPr>
        <w:pStyle w:val="BodyText"/>
      </w:pPr>
      <w:bookmarkStart w:id="figure-3-19" w:name="figure-3-19"/>
      <w:bookmarkEnd w:id="figure-3-19"/>
    </w:p>
    <w:p>
      <w:pPr>
        <w:pStyle w:val="BodyText"/>
      </w:pPr>
      <w:r>
        <w:drawing>
          <wp:inline>
            <wp:extent cx="5969000" cy="4715987"/>
            <wp:effectExtent b="0" l="0" r="0" t="0"/>
            <wp:docPr descr="" title="" id="109" name="Picture"/>
            <a:graphic>
              <a:graphicData uri="http://schemas.openxmlformats.org/drawingml/2006/picture">
                <pic:pic>
                  <pic:nvPicPr>
                    <pic:cNvPr descr="images/006_section_results-and-discussion/009_section_ct-profiles/011_section_model-verification/9_time_profile_plot_Clarithromycin_Model_Clarithromycin_po__Chu_1992__200_mg.png" id="110" name="Picture"/>
                    <pic:cNvPicPr>
                      <a:picLocks noChangeArrowheads="1" noChangeAspect="1"/>
                    </pic:cNvPicPr>
                  </pic:nvPicPr>
                  <pic:blipFill>
                    <a:blip r:embed="rId108"/>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3-19: Time Profile Analysis</w:t>
      </w:r>
    </w:p>
    <w:p>
      <w:pPr>
        <w:pStyle w:val="BodyText"/>
      </w:pPr>
      <w:r>
        <w:t xml:space="preserve"> </w:t>
      </w:r>
    </w:p>
    <w:br w:type="page"/>
    <w:p>
      <w:pPr>
        <w:pStyle w:val="BodyText"/>
      </w:pPr>
      <w:bookmarkStart w:id="figure-3-20" w:name="figure-3-20"/>
      <w:bookmarkEnd w:id="figure-3-20"/>
    </w:p>
    <w:p>
      <w:pPr>
        <w:pStyle w:val="BodyText"/>
      </w:pPr>
      <w:r>
        <w:drawing>
          <wp:inline>
            <wp:extent cx="5969000" cy="4715987"/>
            <wp:effectExtent b="0" l="0" r="0" t="0"/>
            <wp:docPr descr="" title="" id="112" name="Picture"/>
            <a:graphic>
              <a:graphicData uri="http://schemas.openxmlformats.org/drawingml/2006/picture">
                <pic:pic>
                  <pic:nvPicPr>
                    <pic:cNvPr descr="images/006_section_results-and-discussion/009_section_ct-profiles/011_section_model-verification/10_time_profile_plot_Clarithromycin_Model_Clarithromycin_po__Chu_1992__200_mg.png" id="113" name="Picture"/>
                    <pic:cNvPicPr>
                      <a:picLocks noChangeArrowheads="1" noChangeAspect="1"/>
                    </pic:cNvPicPr>
                  </pic:nvPicPr>
                  <pic:blipFill>
                    <a:blip r:embed="rId111"/>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3-20: Time Profile Analysis 1</w:t>
      </w:r>
    </w:p>
    <w:p>
      <w:pPr>
        <w:pStyle w:val="BodyText"/>
      </w:pPr>
      <w:r>
        <w:t xml:space="preserve"> </w:t>
      </w:r>
    </w:p>
    <w:br w:type="page"/>
    <w:p>
      <w:pPr>
        <w:pStyle w:val="BodyText"/>
      </w:pPr>
      <w:bookmarkStart w:id="figure-3-21" w:name="figure-3-21"/>
      <w:bookmarkEnd w:id="figure-3-21"/>
    </w:p>
    <w:p>
      <w:pPr>
        <w:pStyle w:val="BodyText"/>
      </w:pPr>
      <w:r>
        <w:drawing>
          <wp:inline>
            <wp:extent cx="5969000" cy="4715987"/>
            <wp:effectExtent b="0" l="0" r="0" t="0"/>
            <wp:docPr descr="" title="" id="115" name="Picture"/>
            <a:graphic>
              <a:graphicData uri="http://schemas.openxmlformats.org/drawingml/2006/picture">
                <pic:pic>
                  <pic:nvPicPr>
                    <pic:cNvPr descr="images/006_section_results-and-discussion/009_section_ct-profiles/011_section_model-verification/11_time_profile_plot_Clarithromycin_Model_Clarithromycin_po__Chu_1992__400_mg.png" id="116" name="Picture"/>
                    <pic:cNvPicPr>
                      <a:picLocks noChangeArrowheads="1" noChangeAspect="1"/>
                    </pic:cNvPicPr>
                  </pic:nvPicPr>
                  <pic:blipFill>
                    <a:blip r:embed="rId114"/>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3-21: Time Profile Analysis</w:t>
      </w:r>
    </w:p>
    <w:p>
      <w:pPr>
        <w:pStyle w:val="BodyText"/>
      </w:pPr>
      <w:r>
        <w:t xml:space="preserve"> </w:t>
      </w:r>
    </w:p>
    <w:br w:type="page"/>
    <w:p>
      <w:pPr>
        <w:pStyle w:val="BodyText"/>
      </w:pPr>
      <w:bookmarkStart w:id="figure-3-22" w:name="figure-3-22"/>
      <w:bookmarkEnd w:id="figure-3-22"/>
    </w:p>
    <w:p>
      <w:pPr>
        <w:pStyle w:val="BodyText"/>
      </w:pPr>
      <w:r>
        <w:drawing>
          <wp:inline>
            <wp:extent cx="5969000" cy="4715987"/>
            <wp:effectExtent b="0" l="0" r="0" t="0"/>
            <wp:docPr descr="" title="" id="118" name="Picture"/>
            <a:graphic>
              <a:graphicData uri="http://schemas.openxmlformats.org/drawingml/2006/picture">
                <pic:pic>
                  <pic:nvPicPr>
                    <pic:cNvPr descr="images/006_section_results-and-discussion/009_section_ct-profiles/011_section_model-verification/12_time_profile_plot_Clarithromycin_Model_Clarithromycin_po__Chu_1992__400_mg.png" id="119" name="Picture"/>
                    <pic:cNvPicPr>
                      <a:picLocks noChangeArrowheads="1" noChangeAspect="1"/>
                    </pic:cNvPicPr>
                  </pic:nvPicPr>
                  <pic:blipFill>
                    <a:blip r:embed="rId117"/>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3-22: Time Profile Analysis 1</w:t>
      </w:r>
    </w:p>
    <w:p>
      <w:pPr>
        <w:pStyle w:val="BodyText"/>
      </w:pPr>
      <w:r>
        <w:t xml:space="preserve"> </w:t>
      </w:r>
    </w:p>
    <w:br w:type="page"/>
    <w:p>
      <w:pPr>
        <w:pStyle w:val="BodyText"/>
      </w:pPr>
      <w:bookmarkStart w:id="figure-3-23" w:name="figure-3-23"/>
      <w:bookmarkEnd w:id="figure-3-23"/>
    </w:p>
    <w:p>
      <w:pPr>
        <w:pStyle w:val="BodyText"/>
      </w:pPr>
      <w:r>
        <w:drawing>
          <wp:inline>
            <wp:extent cx="5969000" cy="4715987"/>
            <wp:effectExtent b="0" l="0" r="0" t="0"/>
            <wp:docPr descr="" title="" id="121" name="Picture"/>
            <a:graphic>
              <a:graphicData uri="http://schemas.openxmlformats.org/drawingml/2006/picture">
                <pic:pic>
                  <pic:nvPicPr>
                    <pic:cNvPr descr="images/006_section_results-and-discussion/009_section_ct-profiles/011_section_model-verification/13_time_profile_plot_Clarithromycin_Model_Clarithromycin_po__Chu_1992__600_mg.png" id="122" name="Picture"/>
                    <pic:cNvPicPr>
                      <a:picLocks noChangeArrowheads="1" noChangeAspect="1"/>
                    </pic:cNvPicPr>
                  </pic:nvPicPr>
                  <pic:blipFill>
                    <a:blip r:embed="rId120"/>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3-23: Time Profile Analysis</w:t>
      </w:r>
    </w:p>
    <w:p>
      <w:pPr>
        <w:pStyle w:val="BodyText"/>
      </w:pPr>
      <w:r>
        <w:t xml:space="preserve"> </w:t>
      </w:r>
    </w:p>
    <w:br w:type="page"/>
    <w:p>
      <w:pPr>
        <w:pStyle w:val="BodyText"/>
      </w:pPr>
      <w:bookmarkStart w:id="figure-3-24" w:name="figure-3-24"/>
      <w:bookmarkEnd w:id="figure-3-24"/>
    </w:p>
    <w:p>
      <w:pPr>
        <w:pStyle w:val="BodyText"/>
      </w:pPr>
      <w:r>
        <w:drawing>
          <wp:inline>
            <wp:extent cx="5969000" cy="4715987"/>
            <wp:effectExtent b="0" l="0" r="0" t="0"/>
            <wp:docPr descr="" title="" id="124" name="Picture"/>
            <a:graphic>
              <a:graphicData uri="http://schemas.openxmlformats.org/drawingml/2006/picture">
                <pic:pic>
                  <pic:nvPicPr>
                    <pic:cNvPr descr="images/006_section_results-and-discussion/009_section_ct-profiles/011_section_model-verification/14_time_profile_plot_Clarithromycin_Model_Clarithromycin_po__Chu_1992__600_mg.png" id="125" name="Picture"/>
                    <pic:cNvPicPr>
                      <a:picLocks noChangeArrowheads="1" noChangeAspect="1"/>
                    </pic:cNvPicPr>
                  </pic:nvPicPr>
                  <pic:blipFill>
                    <a:blip r:embed="rId123"/>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3-24: Time Profile Analysis 1</w:t>
      </w:r>
    </w:p>
    <w:p>
      <w:pPr>
        <w:pStyle w:val="BodyText"/>
      </w:pPr>
      <w:r>
        <w:t xml:space="preserve"> </w:t>
      </w:r>
    </w:p>
    <w:br w:type="page"/>
    <w:p>
      <w:pPr>
        <w:pStyle w:val="BodyText"/>
      </w:pPr>
      <w:bookmarkStart w:id="figure-3-25" w:name="figure-3-25"/>
      <w:bookmarkEnd w:id="figure-3-25"/>
    </w:p>
    <w:p>
      <w:pPr>
        <w:pStyle w:val="BodyText"/>
      </w:pPr>
      <w:r>
        <w:drawing>
          <wp:inline>
            <wp:extent cx="5969000" cy="4715987"/>
            <wp:effectExtent b="0" l="0" r="0" t="0"/>
            <wp:docPr descr="" title="" id="127" name="Picture"/>
            <a:graphic>
              <a:graphicData uri="http://schemas.openxmlformats.org/drawingml/2006/picture">
                <pic:pic>
                  <pic:nvPicPr>
                    <pic:cNvPr descr="images/006_section_results-and-discussion/009_section_ct-profiles/011_section_model-verification/15_time_profile_plot_Clarithromycin_Model_Clarithromycin_po__Chu_1992__800_mg.png" id="128" name="Picture"/>
                    <pic:cNvPicPr>
                      <a:picLocks noChangeArrowheads="1" noChangeAspect="1"/>
                    </pic:cNvPicPr>
                  </pic:nvPicPr>
                  <pic:blipFill>
                    <a:blip r:embed="rId126"/>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3-25: Time Profile Analysis</w:t>
      </w:r>
    </w:p>
    <w:p>
      <w:pPr>
        <w:pStyle w:val="BodyText"/>
      </w:pPr>
      <w:r>
        <w:t xml:space="preserve"> </w:t>
      </w:r>
    </w:p>
    <w:br w:type="page"/>
    <w:p>
      <w:pPr>
        <w:pStyle w:val="BodyText"/>
      </w:pPr>
      <w:bookmarkStart w:id="figure-3-26" w:name="figure-3-26"/>
      <w:bookmarkEnd w:id="figure-3-26"/>
    </w:p>
    <w:p>
      <w:pPr>
        <w:pStyle w:val="BodyText"/>
      </w:pPr>
      <w:r>
        <w:drawing>
          <wp:inline>
            <wp:extent cx="5969000" cy="4715987"/>
            <wp:effectExtent b="0" l="0" r="0" t="0"/>
            <wp:docPr descr="" title="" id="130" name="Picture"/>
            <a:graphic>
              <a:graphicData uri="http://schemas.openxmlformats.org/drawingml/2006/picture">
                <pic:pic>
                  <pic:nvPicPr>
                    <pic:cNvPr descr="images/006_section_results-and-discussion/009_section_ct-profiles/011_section_model-verification/16_time_profile_plot_Clarithromycin_Model_Clarithromycin_po__Chu_1992__800_mg.png" id="131" name="Picture"/>
                    <pic:cNvPicPr>
                      <a:picLocks noChangeArrowheads="1" noChangeAspect="1"/>
                    </pic:cNvPicPr>
                  </pic:nvPicPr>
                  <pic:blipFill>
                    <a:blip r:embed="rId129"/>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3-26: Time Profile Analysis 1</w:t>
      </w:r>
    </w:p>
    <w:p>
      <w:pPr>
        <w:pStyle w:val="BodyText"/>
      </w:pPr>
      <w:r>
        <w:t xml:space="preserve"> </w:t>
      </w:r>
    </w:p>
    <w:br w:type="page"/>
    <w:p>
      <w:pPr>
        <w:pStyle w:val="BodyText"/>
      </w:pPr>
      <w:bookmarkStart w:id="figure-3-27" w:name="figure-3-27"/>
      <w:bookmarkEnd w:id="figure-3-27"/>
    </w:p>
    <w:p>
      <w:pPr>
        <w:pStyle w:val="BodyText"/>
      </w:pPr>
      <w:r>
        <w:drawing>
          <wp:inline>
            <wp:extent cx="5969000" cy="4715987"/>
            <wp:effectExtent b="0" l="0" r="0" t="0"/>
            <wp:docPr descr="" title="" id="133" name="Picture"/>
            <a:graphic>
              <a:graphicData uri="http://schemas.openxmlformats.org/drawingml/2006/picture">
                <pic:pic>
                  <pic:nvPicPr>
                    <pic:cNvPr descr="images/006_section_results-and-discussion/009_section_ct-profiles/011_section_model-verification/25_time_profile_plot_Clarithromycin_Model_Clarithromycin_po__Kees_1995__250_mg.png" id="134" name="Picture"/>
                    <pic:cNvPicPr>
                      <a:picLocks noChangeArrowheads="1" noChangeAspect="1"/>
                    </pic:cNvPicPr>
                  </pic:nvPicPr>
                  <pic:blipFill>
                    <a:blip r:embed="rId132"/>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3-27: Time Profile Analysis</w:t>
      </w:r>
    </w:p>
    <w:p>
      <w:pPr>
        <w:pStyle w:val="BodyText"/>
      </w:pPr>
      <w:r>
        <w:t xml:space="preserve"> </w:t>
      </w:r>
    </w:p>
    <w:br w:type="page"/>
    <w:p>
      <w:pPr>
        <w:pStyle w:val="BodyText"/>
      </w:pPr>
      <w:bookmarkStart w:id="figure-3-28" w:name="figure-3-28"/>
      <w:bookmarkEnd w:id="figure-3-28"/>
    </w:p>
    <w:p>
      <w:pPr>
        <w:pStyle w:val="BodyText"/>
      </w:pPr>
      <w:r>
        <w:drawing>
          <wp:inline>
            <wp:extent cx="5969000" cy="4715987"/>
            <wp:effectExtent b="0" l="0" r="0" t="0"/>
            <wp:docPr descr="" title="" id="136" name="Picture"/>
            <a:graphic>
              <a:graphicData uri="http://schemas.openxmlformats.org/drawingml/2006/picture">
                <pic:pic>
                  <pic:nvPicPr>
                    <pic:cNvPr descr="images/006_section_results-and-discussion/009_section_ct-profiles/011_section_model-verification/26_time_profile_plot_Clarithromycin_Model_Clarithromycin_po__Kees_1995__250_mg.png" id="137" name="Picture"/>
                    <pic:cNvPicPr>
                      <a:picLocks noChangeArrowheads="1" noChangeAspect="1"/>
                    </pic:cNvPicPr>
                  </pic:nvPicPr>
                  <pic:blipFill>
                    <a:blip r:embed="rId135"/>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3-28: Time Profile Analysis 1</w:t>
      </w:r>
    </w:p>
    <w:p>
      <w:pPr>
        <w:pStyle w:val="BodyText"/>
      </w:pPr>
      <w:r>
        <w:t xml:space="preserve"> </w:t>
      </w:r>
    </w:p>
    <w:br w:type="page"/>
    <w:p>
      <w:pPr>
        <w:pStyle w:val="BodyText"/>
      </w:pPr>
      <w:bookmarkStart w:id="figure-3-29" w:name="figure-3-29"/>
      <w:bookmarkEnd w:id="figure-3-29"/>
    </w:p>
    <w:p>
      <w:pPr>
        <w:pStyle w:val="BodyText"/>
      </w:pPr>
      <w:r>
        <w:drawing>
          <wp:inline>
            <wp:extent cx="5969000" cy="4715987"/>
            <wp:effectExtent b="0" l="0" r="0" t="0"/>
            <wp:docPr descr="" title="" id="139" name="Picture"/>
            <a:graphic>
              <a:graphicData uri="http://schemas.openxmlformats.org/drawingml/2006/picture">
                <pic:pic>
                  <pic:nvPicPr>
                    <pic:cNvPr descr="images/006_section_results-and-discussion/009_section_ct-profiles/011_section_model-verification/27_time_profile_plot_Clarithromycin_Model_Clarithromycin_po__Kees_1995__250_mg__MD__5_d.png" id="140" name="Picture"/>
                    <pic:cNvPicPr>
                      <a:picLocks noChangeArrowheads="1" noChangeAspect="1"/>
                    </pic:cNvPicPr>
                  </pic:nvPicPr>
                  <pic:blipFill>
                    <a:blip r:embed="rId138"/>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3-29: Time Profile Analysis</w:t>
      </w:r>
    </w:p>
    <w:p>
      <w:pPr>
        <w:pStyle w:val="BodyText"/>
      </w:pPr>
      <w:r>
        <w:t xml:space="preserve"> </w:t>
      </w:r>
    </w:p>
    <w:br w:type="page"/>
    <w:p>
      <w:pPr>
        <w:pStyle w:val="BodyText"/>
      </w:pPr>
      <w:bookmarkStart w:id="figure-3-30" w:name="figure-3-30"/>
      <w:bookmarkEnd w:id="figure-3-30"/>
    </w:p>
    <w:p>
      <w:pPr>
        <w:pStyle w:val="BodyText"/>
      </w:pPr>
      <w:r>
        <w:drawing>
          <wp:inline>
            <wp:extent cx="5969000" cy="4715987"/>
            <wp:effectExtent b="0" l="0" r="0" t="0"/>
            <wp:docPr descr="" title="" id="142" name="Picture"/>
            <a:graphic>
              <a:graphicData uri="http://schemas.openxmlformats.org/drawingml/2006/picture">
                <pic:pic>
                  <pic:nvPicPr>
                    <pic:cNvPr descr="images/006_section_results-and-discussion/009_section_ct-profiles/011_section_model-verification/28_time_profile_plot_Clarithromycin_Model_Clarithromycin_po__Kees_1995__250_mg__MD__5_d.png" id="143" name="Picture"/>
                    <pic:cNvPicPr>
                      <a:picLocks noChangeArrowheads="1" noChangeAspect="1"/>
                    </pic:cNvPicPr>
                  </pic:nvPicPr>
                  <pic:blipFill>
                    <a:blip r:embed="rId141"/>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3-30: Time Profile Analysis 1</w:t>
      </w:r>
    </w:p>
    <w:p>
      <w:pPr>
        <w:pStyle w:val="BodyText"/>
      </w:pPr>
      <w:r>
        <w:t xml:space="preserve"> </w:t>
      </w:r>
    </w:p>
    <w:br w:type="page"/>
    <w:p>
      <w:pPr>
        <w:pStyle w:val="BodyText"/>
      </w:pPr>
      <w:bookmarkStart w:id="figure-3-31" w:name="figure-3-31"/>
      <w:bookmarkEnd w:id="figure-3-31"/>
    </w:p>
    <w:p>
      <w:pPr>
        <w:pStyle w:val="BodyText"/>
      </w:pPr>
      <w:r>
        <w:drawing>
          <wp:inline>
            <wp:extent cx="5969000" cy="4715987"/>
            <wp:effectExtent b="0" l="0" r="0" t="0"/>
            <wp:docPr descr="" title="" id="145" name="Picture"/>
            <a:graphic>
              <a:graphicData uri="http://schemas.openxmlformats.org/drawingml/2006/picture">
                <pic:pic>
                  <pic:nvPicPr>
                    <pic:cNvPr descr="images/006_section_results-and-discussion/009_section_ct-profiles/011_section_model-verification/29_time_profile_plot_Clarithromycin_Model_Clarithromycin_po__Kees_1995__500_mg.png" id="146" name="Picture"/>
                    <pic:cNvPicPr>
                      <a:picLocks noChangeArrowheads="1" noChangeAspect="1"/>
                    </pic:cNvPicPr>
                  </pic:nvPicPr>
                  <pic:blipFill>
                    <a:blip r:embed="rId144"/>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3-31: Time Profile Analysis</w:t>
      </w:r>
    </w:p>
    <w:p>
      <w:pPr>
        <w:pStyle w:val="BodyText"/>
      </w:pPr>
      <w:r>
        <w:t xml:space="preserve"> </w:t>
      </w:r>
    </w:p>
    <w:br w:type="page"/>
    <w:p>
      <w:pPr>
        <w:pStyle w:val="BodyText"/>
      </w:pPr>
      <w:bookmarkStart w:id="figure-3-32" w:name="figure-3-32"/>
      <w:bookmarkEnd w:id="figure-3-32"/>
    </w:p>
    <w:p>
      <w:pPr>
        <w:pStyle w:val="BodyText"/>
      </w:pPr>
      <w:r>
        <w:drawing>
          <wp:inline>
            <wp:extent cx="5969000" cy="4715987"/>
            <wp:effectExtent b="0" l="0" r="0" t="0"/>
            <wp:docPr descr="" title="" id="148" name="Picture"/>
            <a:graphic>
              <a:graphicData uri="http://schemas.openxmlformats.org/drawingml/2006/picture">
                <pic:pic>
                  <pic:nvPicPr>
                    <pic:cNvPr descr="images/006_section_results-and-discussion/009_section_ct-profiles/011_section_model-verification/30_time_profile_plot_Clarithromycin_Model_Clarithromycin_po__Kees_1995__500_mg.png" id="149" name="Picture"/>
                    <pic:cNvPicPr>
                      <a:picLocks noChangeArrowheads="1" noChangeAspect="1"/>
                    </pic:cNvPicPr>
                  </pic:nvPicPr>
                  <pic:blipFill>
                    <a:blip r:embed="rId147"/>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3-32: Time Profile Analysis 1</w:t>
      </w:r>
    </w:p>
    <w:p>
      <w:pPr>
        <w:pStyle w:val="BodyText"/>
      </w:pPr>
      <w:r>
        <w:t xml:space="preserve"> </w:t>
      </w:r>
    </w:p>
    <w:br w:type="page"/>
    <w:p>
      <w:pPr>
        <w:pStyle w:val="BodyText"/>
      </w:pPr>
      <w:bookmarkStart w:id="figure-3-33" w:name="figure-3-33"/>
      <w:bookmarkEnd w:id="figure-3-33"/>
    </w:p>
    <w:p>
      <w:pPr>
        <w:pStyle w:val="BodyText"/>
      </w:pPr>
      <w:r>
        <w:drawing>
          <wp:inline>
            <wp:extent cx="5969000" cy="4715987"/>
            <wp:effectExtent b="0" l="0" r="0" t="0"/>
            <wp:docPr descr="" title="" id="151" name="Picture"/>
            <a:graphic>
              <a:graphicData uri="http://schemas.openxmlformats.org/drawingml/2006/picture">
                <pic:pic>
                  <pic:nvPicPr>
                    <pic:cNvPr descr="images/006_section_results-and-discussion/009_section_ct-profiles/011_section_model-verification/31_time_profile_plot_Clarithromycin_Model_Clarithromycin_po__Kees_1995__500_mg__MD__5_d.png" id="152" name="Picture"/>
                    <pic:cNvPicPr>
                      <a:picLocks noChangeArrowheads="1" noChangeAspect="1"/>
                    </pic:cNvPicPr>
                  </pic:nvPicPr>
                  <pic:blipFill>
                    <a:blip r:embed="rId150"/>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3-33: Time Profile Analysis</w:t>
      </w:r>
    </w:p>
    <w:p>
      <w:pPr>
        <w:pStyle w:val="BodyText"/>
      </w:pPr>
      <w:r>
        <w:t xml:space="preserve"> </w:t>
      </w:r>
    </w:p>
    <w:br w:type="page"/>
    <w:p>
      <w:pPr>
        <w:pStyle w:val="BodyText"/>
      </w:pPr>
      <w:bookmarkStart w:id="figure-3-34" w:name="figure-3-34"/>
      <w:bookmarkEnd w:id="figure-3-34"/>
    </w:p>
    <w:p>
      <w:pPr>
        <w:pStyle w:val="BodyText"/>
      </w:pPr>
      <w:r>
        <w:drawing>
          <wp:inline>
            <wp:extent cx="5969000" cy="4715987"/>
            <wp:effectExtent b="0" l="0" r="0" t="0"/>
            <wp:docPr descr="" title="" id="154" name="Picture"/>
            <a:graphic>
              <a:graphicData uri="http://schemas.openxmlformats.org/drawingml/2006/picture">
                <pic:pic>
                  <pic:nvPicPr>
                    <pic:cNvPr descr="images/006_section_results-and-discussion/009_section_ct-profiles/011_section_model-verification/32_time_profile_plot_Clarithromycin_Model_Clarithromycin_po__Kees_1995__500_mg__MD__5_d.png" id="155" name="Picture"/>
                    <pic:cNvPicPr>
                      <a:picLocks noChangeArrowheads="1" noChangeAspect="1"/>
                    </pic:cNvPicPr>
                  </pic:nvPicPr>
                  <pic:blipFill>
                    <a:blip r:embed="rId153"/>
                    <a:stretch>
                      <a:fillRect/>
                    </a:stretch>
                  </pic:blipFill>
                  <pic:spPr bwMode="auto">
                    <a:xfrm>
                      <a:off x="0" y="0"/>
                      <a:ext cx="5969000" cy="4715987"/>
                    </a:xfrm>
                    <a:prstGeom prst="rect">
                      <a:avLst/>
                    </a:prstGeom>
                    <a:noFill/>
                    <a:ln w="9525">
                      <a:noFill/>
                      <a:headEnd/>
                      <a:tailEnd/>
                    </a:ln>
                  </pic:spPr>
                </pic:pic>
              </a:graphicData>
            </a:graphic>
          </wp:inline>
        </w:drawing>
      </w:r>
    </w:p>
    <w:p>
      <w:pPr>
        <w:pStyle w:val="BodyText"/>
      </w:pPr>
      <w:r>
        <w:rPr>
          <w:bCs/>
          <w:b/>
        </w:rPr>
        <w:t xml:space="preserve">Figure 3-34: Time Profile Analysis 1</w:t>
      </w:r>
    </w:p>
    <w:p>
      <w:pPr>
        <w:pStyle w:val="BodyText"/>
      </w:pPr>
      <w:r>
        <w:t xml:space="preserve"> </w:t>
      </w:r>
    </w:p>
    <w:br w:type="page"/>
    <w:p>
      <w:pPr>
        <w:pStyle w:val="BodyText"/>
      </w:pPr>
      <w:bookmarkStart w:id="figure-3-35" w:name="figure-3-35"/>
      <w:bookmarkEnd w:id="figure-3-35"/>
    </w:p>
    <w:p>
      <w:pPr>
        <w:pStyle w:val="BodyText"/>
      </w:pPr>
      <w:r>
        <w:drawing>
          <wp:inline>
            <wp:extent cx="5969000" cy="4853513"/>
            <wp:effectExtent b="0" l="0" r="0" t="0"/>
            <wp:docPr descr="" title="" id="157" name="Picture"/>
            <a:graphic>
              <a:graphicData uri="http://schemas.openxmlformats.org/drawingml/2006/picture">
                <pic:pic>
                  <pic:nvPicPr>
                    <pic:cNvPr descr="images/006_section_results-and-discussion/009_section_ct-profiles/011_section_model-verification/33_time_profile_plot_Clarithromycin_Model_Clarithromycin_po__Rengels_2003__250_mg__MD__1_5_d.png" id="158" name="Picture"/>
                    <pic:cNvPicPr>
                      <a:picLocks noChangeArrowheads="1" noChangeAspect="1"/>
                    </pic:cNvPicPr>
                  </pic:nvPicPr>
                  <pic:blipFill>
                    <a:blip r:embed="rId156"/>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3-35: Time Profile Analysis</w:t>
      </w:r>
    </w:p>
    <w:p>
      <w:pPr>
        <w:pStyle w:val="BodyText"/>
      </w:pPr>
      <w:r>
        <w:t xml:space="preserve"> </w:t>
      </w:r>
    </w:p>
    <w:br w:type="page"/>
    <w:p>
      <w:pPr>
        <w:pStyle w:val="BodyText"/>
      </w:pPr>
      <w:bookmarkStart w:id="figure-3-36" w:name="figure-3-36"/>
      <w:bookmarkEnd w:id="figure-3-36"/>
    </w:p>
    <w:p>
      <w:pPr>
        <w:pStyle w:val="BodyText"/>
      </w:pPr>
      <w:r>
        <w:drawing>
          <wp:inline>
            <wp:extent cx="5969000" cy="4853513"/>
            <wp:effectExtent b="0" l="0" r="0" t="0"/>
            <wp:docPr descr="" title="" id="160" name="Picture"/>
            <a:graphic>
              <a:graphicData uri="http://schemas.openxmlformats.org/drawingml/2006/picture">
                <pic:pic>
                  <pic:nvPicPr>
                    <pic:cNvPr descr="images/006_section_results-and-discussion/009_section_ct-profiles/011_section_model-verification/34_time_profile_plot_Clarithromycin_Model_Clarithromycin_po__Rengels_2003__250_mg__MD__1_5_d.png" id="161" name="Picture"/>
                    <pic:cNvPicPr>
                      <a:picLocks noChangeArrowheads="1" noChangeAspect="1"/>
                    </pic:cNvPicPr>
                  </pic:nvPicPr>
                  <pic:blipFill>
                    <a:blip r:embed="rId159"/>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3-36: Time Profile Analysis 1</w:t>
      </w:r>
    </w:p>
    <w:p>
      <w:pPr>
        <w:pStyle w:val="BodyText"/>
      </w:pPr>
      <w:r>
        <w:t xml:space="preserve"> </w:t>
      </w:r>
    </w:p>
    <w:bookmarkEnd w:id="162"/>
    <w:bookmarkEnd w:id="163"/>
    <w:bookmarkEnd w:id="164"/>
    <w:bookmarkStart w:id="165" w:name="conclusion"/>
    <w:p>
      <w:pPr>
        <w:pStyle w:val="Heading1"/>
      </w:pPr>
      <w:r>
        <w:t xml:space="preserve">Conclusion</w:t>
      </w:r>
      <w:bookmarkStart w:id="conclusion" w:name="conclusion"/>
      <w:bookmarkEnd w:id="conclusion"/>
    </w:p>
    <w:p>
      <w:pPr>
        <w:pStyle w:val="FirstParagraph"/>
      </w:pPr>
      <w:r>
        <w:t xml:space="preserve">The herein presented PBPK model adequately describes the pharmacokinetics of clarithromycin in adults. In particular, it applies increased transfer and accumulation in red blood cells, metabolism by CYP3A4, renal clearance as unchanged drug and mechanism-based inactivation of CYP3A4. Thus, the model is fit for purpose to be applied for the investigation of drug-drug interactions with regard to inhibition of CYP3A4 and P-gp.</w:t>
      </w:r>
    </w:p>
    <w:bookmarkEnd w:id="165"/>
    <w:bookmarkStart w:id="166" w:name="references"/>
    <w:p>
      <w:pPr>
        <w:pStyle w:val="Heading1"/>
      </w:pPr>
      <w:r>
        <w:t xml:space="preserve">References</w:t>
      </w:r>
      <w:bookmarkStart w:id="references" w:name="references"/>
      <w:bookmarkEnd w:id="references"/>
    </w:p>
    <w:p>
      <w:pPr>
        <w:pStyle w:val="FirstParagraph"/>
      </w:pPr>
      <w:r>
        <w:rPr>
          <w:bCs/>
          <w:b/>
        </w:rPr>
        <w:t xml:space="preserve">Abduljalil 2009</w:t>
      </w:r>
      <w:r>
        <w:t xml:space="preserve"> </w:t>
      </w:r>
      <w:r>
        <w:t xml:space="preserve">Abduljalil, K. et al. Modeling the autoinhibition of clarithromycin metabolism during repeated oral administration. Antimicrob. Agents Chemother. 53, 2892–901 (2009).</w:t>
      </w:r>
    </w:p>
    <w:p>
      <w:pPr>
        <w:pStyle w:val="BodyText"/>
      </w:pPr>
      <w:r>
        <w:rPr>
          <w:bCs/>
          <w:b/>
        </w:rPr>
        <w:t xml:space="preserve">Chu 1992a</w:t>
      </w:r>
      <w:r>
        <w:t xml:space="preserve"> </w:t>
      </w:r>
      <w:r>
        <w:t xml:space="preserve">Chu, S.Y. et al. Pharmacokinetics of clarithromycin, a new macrolide, after single ascending oral doses. Antimicrob. Agents Chemother. 36, 2447–53 (1992).</w:t>
      </w:r>
    </w:p>
    <w:p>
      <w:pPr>
        <w:pStyle w:val="BodyText"/>
      </w:pPr>
      <w:r>
        <w:rPr>
          <w:bCs/>
          <w:b/>
        </w:rPr>
        <w:t xml:space="preserve">Chu 1992b</w:t>
      </w:r>
      <w:r>
        <w:t xml:space="preserve"> </w:t>
      </w:r>
      <w:r>
        <w:t xml:space="preserve">Chu, S.Y., Deaton, R. &amp; Cavanaugh, J. Absolute bioavailability of clarithromycin after oral administration in humans. Antimicrob. Agents Chemother. 36, 1147–50 (1992).</w:t>
      </w:r>
    </w:p>
    <w:p>
      <w:pPr>
        <w:pStyle w:val="BodyText"/>
      </w:pPr>
      <w:r>
        <w:rPr>
          <w:bCs/>
          <w:b/>
        </w:rPr>
        <w:t xml:space="preserve">Chu 1993a</w:t>
      </w:r>
      <w:r>
        <w:t xml:space="preserve"> </w:t>
      </w:r>
      <w:r>
        <w:t xml:space="preserve">Chu, S. et al. Single- and multiple-dose pharmacokinetics of clarithromycin, a new macrolide antimicrobial. J. Clin. Pharmacol. 33, 719–26 (1993).</w:t>
      </w:r>
    </w:p>
    <w:p>
      <w:pPr>
        <w:pStyle w:val="BodyText"/>
      </w:pPr>
      <w:r>
        <w:rPr>
          <w:bCs/>
          <w:b/>
        </w:rPr>
        <w:t xml:space="preserve">Chu 1993b</w:t>
      </w:r>
      <w:r>
        <w:t xml:space="preserve"> </w:t>
      </w:r>
      <w:r>
        <w:t xml:space="preserve">Chu, S.Y. et al. Effect of moderate or severe hepatic impairment on clarithromycin pharmacokinetics. J. Clin. Pharmacol. 33, 480–5 (1993).</w:t>
      </w:r>
    </w:p>
    <w:p>
      <w:pPr>
        <w:pStyle w:val="BodyText"/>
      </w:pPr>
      <w:r>
        <w:rPr>
          <w:bCs/>
          <w:b/>
        </w:rPr>
        <w:t xml:space="preserve">Davey 1991</w:t>
      </w:r>
      <w:r>
        <w:t xml:space="preserve"> </w:t>
      </w:r>
      <w:r>
        <w:t xml:space="preserve">Davey, P.G. The pharmacokinetics of clarithromycin and its 14-OH metabolite. J. Hosp. Infect. 19 Suppl A, 29–37 (1991).</w:t>
      </w:r>
    </w:p>
    <w:p>
      <w:pPr>
        <w:pStyle w:val="BodyText"/>
      </w:pPr>
      <w:r>
        <w:rPr>
          <w:bCs/>
          <w:b/>
        </w:rPr>
        <w:t xml:space="preserve">drugbank.ca</w:t>
      </w:r>
      <w:r>
        <w:t xml:space="preserve">. (https://www.drugbank.ca/drugs/DB01211), accessed on 04-28-2020.</w:t>
      </w:r>
    </w:p>
    <w:p>
      <w:pPr>
        <w:pStyle w:val="BodyText"/>
      </w:pPr>
      <w:r>
        <w:rPr>
          <w:bCs/>
          <w:b/>
        </w:rPr>
        <w:t xml:space="preserve">Eberl 2007</w:t>
      </w:r>
      <w:r>
        <w:t xml:space="preserve"> </w:t>
      </w:r>
      <w:r>
        <w:t xml:space="preserve">Eberl, S. et al. Role of p-glycoprotein inhibition for drug interactions: evidence from in vitro and pharmacoepidemiological studies. Clin. Pharmacokinet. 46, 1039–49 (2007).</w:t>
      </w:r>
    </w:p>
    <w:p>
      <w:pPr>
        <w:pStyle w:val="BodyText"/>
      </w:pPr>
      <w:r>
        <w:rPr>
          <w:bCs/>
          <w:b/>
        </w:rPr>
        <w:t xml:space="preserve">Hanke 2018</w:t>
      </w:r>
      <w:r>
        <w:t xml:space="preserve"> </w:t>
      </w:r>
      <w:r>
        <w:t xml:space="preserve">Hanke, N. et al. PBPK Models for CYP3A4 and P-gp DDI Prediction: A Modeling Network of Rifampicin, Itraconazole, Clarithromycin,Midazolam, Alfentanil, and Digoxin. CPT Pharmacometrics Syst. Pharmacol. 7, 647-659 (2018)</w:t>
      </w:r>
    </w:p>
    <w:p>
      <w:pPr>
        <w:pStyle w:val="BodyText"/>
      </w:pPr>
      <w:r>
        <w:rPr>
          <w:bCs/>
          <w:b/>
        </w:rPr>
        <w:t xml:space="preserve">Ishiguro 1989</w:t>
      </w:r>
      <w:r>
        <w:t xml:space="preserve"> </w:t>
      </w:r>
      <w:r>
        <w:t xml:space="preserve">Ishiguro M, Koga H, Kohno S, Hayashi T, Yamaguchi K, Hirota M. Penetration of macrolides into human polymorphonuclear leucocytes. J Antimicrob Chemother. 24, 719–29 (1989)</w:t>
      </w:r>
    </w:p>
    <w:p>
      <w:pPr>
        <w:pStyle w:val="BodyText"/>
      </w:pPr>
      <w:r>
        <w:rPr>
          <w:bCs/>
          <w:b/>
        </w:rPr>
        <w:t xml:space="preserve">Ito 2003</w:t>
      </w:r>
      <w:r>
        <w:t xml:space="preserve"> </w:t>
      </w:r>
      <w:r>
        <w:t xml:space="preserve">Ito, K., Ogihara, K., Kanamitsu, S.-I. &amp; Itoh, T. Prediction of the in vivo interaction between midazolam and macrolides based on in vitro studies using human liver microsomes. Drug Metab. Dispos. 31, 945–54 (2003).</w:t>
      </w:r>
    </w:p>
    <w:p>
      <w:pPr>
        <w:pStyle w:val="BodyText"/>
      </w:pPr>
      <w:r>
        <w:rPr>
          <w:bCs/>
          <w:b/>
        </w:rPr>
        <w:t xml:space="preserve">Kees 1995</w:t>
      </w:r>
      <w:r>
        <w:t xml:space="preserve"> </w:t>
      </w:r>
      <w:r>
        <w:t xml:space="preserve">Kees, F., Wellenhofer, M. &amp; Grobecker, H. Serum and cellular pharmacokinetics of clarithromycin 500 mg q.d. and 250 mg b.i.d. in volunteers. Infection 23, 168–72 (1995).</w:t>
      </w:r>
    </w:p>
    <w:p>
      <w:pPr>
        <w:pStyle w:val="BodyText"/>
      </w:pPr>
      <w:r>
        <w:rPr>
          <w:bCs/>
          <w:b/>
        </w:rPr>
        <w:t xml:space="preserve">Kuepfer 2016</w:t>
      </w:r>
      <w:r>
        <w:t xml:space="preserve"> </w:t>
      </w:r>
      <w:r>
        <w:t xml:space="preserve">Kuepfer L, Niederalt C, Wendl T, Schlender JF, Willmann S, Lippert J, Block M, Eissing T, Teutonico D. Applied Concepts in PBPK Modeling: How to Build a PBPK/PD Model.CPT Pharmacometrics Syst Pharmacol. 2016 Oct;5(10):516-531. doi: 10.1002/psp4.12134. Epub 2016 Oct 19.</w:t>
      </w:r>
    </w:p>
    <w:p>
      <w:pPr>
        <w:pStyle w:val="BodyText"/>
      </w:pPr>
      <w:r>
        <w:rPr>
          <w:bCs/>
          <w:b/>
        </w:rPr>
        <w:t xml:space="preserve">Lappin 2011</w:t>
      </w:r>
      <w:r>
        <w:t xml:space="preserve"> </w:t>
      </w:r>
      <w:r>
        <w:t xml:space="preserve">Lappin, G. et al. Comparative pharmacokinetics between a microdose and therapeutic dose for clarithromycin, sumatriptan, propafenone, paracetamol (acetaminophen), and phenobarbital in human volunteers. Eur. J. Pharm. Sci. 43, 141–50 (2011).</w:t>
      </w:r>
    </w:p>
    <w:p>
      <w:pPr>
        <w:pStyle w:val="BodyText"/>
      </w:pPr>
      <w:r>
        <w:rPr>
          <w:bCs/>
          <w:b/>
        </w:rPr>
        <w:t xml:space="preserve">Mayhew 2000</w:t>
      </w:r>
      <w:r>
        <w:t xml:space="preserve"> </w:t>
      </w:r>
      <w:r>
        <w:t xml:space="preserve">Mayhew, B.S., Jones, D.R. &amp; Hall, S.D. An in vitro model for predicting in vivo inhibition of cytochrome P450 3A4 by metabolic intermediate complex formation. Drug Metab. Dispos. 28, 1031–7 (2000).</w:t>
      </w:r>
    </w:p>
    <w:p>
      <w:pPr>
        <w:pStyle w:val="BodyText"/>
      </w:pPr>
      <w:r>
        <w:rPr>
          <w:bCs/>
          <w:b/>
        </w:rPr>
        <w:t xml:space="preserve">McFarland 1997</w:t>
      </w:r>
      <w:r>
        <w:t xml:space="preserve"> </w:t>
      </w:r>
      <w:r>
        <w:t xml:space="preserve">McFarland, J.W. et al. Quantitative structure-activity relationships among macrolide antibacterial agents: in vitro and in vivo potency against Pasteurella multocida. J. Med. Chem. 40, 1340–6 (1997).</w:t>
      </w:r>
    </w:p>
    <w:p>
      <w:pPr>
        <w:pStyle w:val="BodyText"/>
      </w:pPr>
      <w:r>
        <w:rPr>
          <w:bCs/>
          <w:b/>
        </w:rPr>
        <w:t xml:space="preserve">Moj 2017</w:t>
      </w:r>
      <w:r>
        <w:t xml:space="preserve"> </w:t>
      </w:r>
      <w:r>
        <w:t xml:space="preserve">Moj, D. et al. Clarithromycin, midazolam, and digoxin: application of PBPK modeling to gain new insights into drug-drug interactions and co-medication regimens. AAPS J. 19, 298–312 (2017).</w:t>
      </w:r>
    </w:p>
    <w:p>
      <w:pPr>
        <w:pStyle w:val="BodyText"/>
      </w:pPr>
      <w:r>
        <w:rPr>
          <w:bCs/>
          <w:b/>
        </w:rPr>
        <w:t xml:space="preserve">Noreddin 2002</w:t>
      </w:r>
      <w:r>
        <w:t xml:space="preserve"> </w:t>
      </w:r>
      <w:r>
        <w:t xml:space="preserve">Noreddin, A.M. et al. Pharmacodynamic modeling of clarithromycin against macrolide-resistant [PCR-positive mef(A) or erm(B)] Streptococcus pneumoniae simulating clinically achievable serum and epithelial lining fluid free-drug concentrations. Antimicrob. Agents Chemother. 46, 4029–34 (2002).</w:t>
      </w:r>
    </w:p>
    <w:p>
      <w:pPr>
        <w:pStyle w:val="BodyText"/>
      </w:pPr>
      <w:r>
        <w:rPr>
          <w:bCs/>
          <w:b/>
        </w:rPr>
        <w:t xml:space="preserve">PK-Sim Ontogeny Database Version 7.3</w:t>
      </w:r>
      <w:r>
        <w:t xml:space="preserve"> </w:t>
      </w:r>
      <w:r>
        <w:t xml:space="preserve">(https://github.com/Open-Systems-Pharmacology/OSPSuite.Documentation/blob/38cf71b384cfc25cfa0ce4d2f3addfd32757e13b/PK-Sim%20Ontogeny%20Database%20Version%207.3.pdf)</w:t>
      </w:r>
    </w:p>
    <w:p>
      <w:pPr>
        <w:pStyle w:val="BodyText"/>
      </w:pPr>
      <w:r>
        <w:rPr>
          <w:bCs/>
          <w:b/>
        </w:rPr>
        <w:t xml:space="preserve">Polasek 2006</w:t>
      </w:r>
      <w:r>
        <w:t xml:space="preserve"> </w:t>
      </w:r>
      <w:r>
        <w:t xml:space="preserve">Polasek, T.M. &amp; Miners, J.O. Quantitative prediction of macrolide drug-drug interaction potential from in vitro studies using testosterone as the human cytochrome P4503A substrate. Eur. J. Clin. Pharmacol. 62, 203–8 (2006).</w:t>
      </w:r>
    </w:p>
    <w:p>
      <w:pPr>
        <w:pStyle w:val="BodyText"/>
      </w:pPr>
      <w:r>
        <w:rPr>
          <w:bCs/>
          <w:b/>
        </w:rPr>
        <w:t xml:space="preserve">Rengelshausen 2003</w:t>
      </w:r>
      <w:r>
        <w:t xml:space="preserve"> </w:t>
      </w:r>
      <w:r>
        <w:t xml:space="preserve">Rengelshausen, J. et al. Contribution of increased oral bioavailability and reduced nonglomerular renal clearance of digoxin to the digoxin-clarithromycin interaction. Br. J. Clin. Pharmacol. 56, 32–8 (2003).</w:t>
      </w:r>
    </w:p>
    <w:p>
      <w:pPr>
        <w:pStyle w:val="BodyText"/>
      </w:pPr>
      <w:r>
        <w:rPr>
          <w:bCs/>
          <w:b/>
        </w:rPr>
        <w:t xml:space="preserve">Rodrigues 1997</w:t>
      </w:r>
      <w:r>
        <w:t xml:space="preserve"> </w:t>
      </w:r>
      <w:r>
        <w:t xml:space="preserve">Rodrigues, A.D., Roberts, E.M., Mulford, D.J., Yao, Y. &amp; Ouellet, D. Oxidative metabolism of clarithromycin in the presence of human liver microsomes. Major role for the cytochrome P4503A (CYP3A) subfamily. Drug Metab. Dispos. 25, 623–30 (1997).</w:t>
      </w:r>
    </w:p>
    <w:p>
      <w:pPr>
        <w:pStyle w:val="BodyText"/>
      </w:pPr>
      <w:r>
        <w:rPr>
          <w:bCs/>
          <w:b/>
        </w:rPr>
        <w:t xml:space="preserve">Rodvold 1999</w:t>
      </w:r>
      <w:r>
        <w:t xml:space="preserve"> </w:t>
      </w:r>
      <w:r>
        <w:t xml:space="preserve">Rodvold, K.A. Clinical pharmacokinetics of clarithromycin. Clin. Pharmacokinet. 37, 385–98 (1999).</w:t>
      </w:r>
    </w:p>
    <w:p>
      <w:pPr>
        <w:pStyle w:val="BodyText"/>
      </w:pPr>
      <w:r>
        <w:rPr>
          <w:bCs/>
          <w:b/>
        </w:rPr>
        <w:t xml:space="preserve">Salem 2003</w:t>
      </w:r>
      <w:r>
        <w:t xml:space="preserve"> </w:t>
      </w:r>
      <w:r>
        <w:t xml:space="preserve">Salem, I.I. &amp; Düzgünes, N. Efficacies of cyclodextrin-complexed and liposome-encapsulated clarithromycin against Mycobacterium avium complex infection in human macrophages. Int. J. Pharm. 250, 403–14 (2003).</w:t>
      </w:r>
    </w:p>
    <w:p>
      <w:pPr>
        <w:pStyle w:val="BodyText"/>
      </w:pPr>
      <w:r>
        <w:rPr>
          <w:bCs/>
          <w:b/>
        </w:rPr>
        <w:t xml:space="preserve">Schlender 2016</w:t>
      </w:r>
      <w:r>
        <w:t xml:space="preserve"> </w:t>
      </w:r>
      <w:r>
        <w:t xml:space="preserve">Schlender JF, Meyer M, Thelen K, Krauss M, Willmann S, Eissing T, Jaehde U. Development of a Whole-Body Physiologically Based Pharmacokinetic Approach to Assess the Pharmacokinetics of Drugs in Elderly Individuals. Clin Pharmacokinet. 2016 Dec;55(12):1573-1589.</w:t>
      </w:r>
    </w:p>
    <w:p>
      <w:pPr>
        <w:pStyle w:val="BodyText"/>
      </w:pPr>
      <w:r>
        <w:rPr>
          <w:bCs/>
          <w:b/>
        </w:rPr>
        <w:t xml:space="preserve">Seithel 2007</w:t>
      </w:r>
      <w:r>
        <w:t xml:space="preserve"> </w:t>
      </w:r>
      <w:r>
        <w:t xml:space="preserve">Seithel, A. et al. The influence of macrolide antibiotics on the uptake of organic anions and drugs mediated by OATP1B1 and OATP1B3. Drug Metab. Dispos. 35, 779–86 (2007).</w:t>
      </w:r>
    </w:p>
    <w:p>
      <w:pPr>
        <w:pStyle w:val="BodyText"/>
      </w:pPr>
      <w:r>
        <w:rPr>
          <w:bCs/>
          <w:b/>
        </w:rPr>
        <w:t xml:space="preserve">Vermeer 2016</w:t>
      </w:r>
      <w:r>
        <w:t xml:space="preserve"> </w:t>
      </w:r>
      <w:r>
        <w:t xml:space="preserve">Vermeer, L. M., Isringhausen, C. D., Ogilvie, B. W., &amp; Buckley, D. B. Evaluation of ketoconazole and its alternative clinical CYP3A4/5 inhibitors as inhibitors of drug transporters: the in vitro effects of ketoconazole, ritonavir, clarithromycin, and itraconazole on 13 clinically-relevant drug transporters. Drug Metab. Dispos. 44, 453–459 (2016).</w:t>
      </w:r>
    </w:p>
    <w:bookmarkEnd w:id="166"/>
    <w:sectPr w:rsidR="00B470D9">
      <w:headerReference r:id="rId9" w:type="default"/>
      <w:footerReference r:id="rId10" w:type="default"/>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720" w:rsidRDefault="00237720">
    <w:pPr>
      <w:pStyle w:val="Footer"/>
      <w:jc w:val="center"/>
    </w:pPr>
  </w:p>
  <w:p w:rsidR="00237720" w:rsidRDefault="0023772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20381891"/>
      <w:docPartObj>
        <w:docPartGallery w:val="Page Numbers (Top of Page)"/>
        <w:docPartUnique/>
      </w:docPartObj>
    </w:sdtPr>
    <w:sdtEndPr/>
    <w:sdtContent>
      <w:p w:rsidR="000F07F1" w:rsidRPr="007E2361" w:rsidRDefault="000F07F1" w:rsidP="000F07F1">
        <w:pPr>
          <w:pStyle w:val="Header"/>
          <w:jc w:val="right"/>
          <w:rPr>
            <w:rFonts w:ascii="Times New Roman" w:hAnsi="Times New Roman" w:cs="Times New Roman"/>
          </w:rPr>
        </w:pPr>
        <w:r w:rsidRPr="007E2361">
          <w:rPr>
            <w:rFonts w:ascii="Times New Roman" w:hAnsi="Times New Roman" w:cs="Times New Roman"/>
            <w:lang w:val="de-DE"/>
          </w:rPr>
          <w:t xml:space="preserve">Page </w:t>
        </w:r>
        <w:r w:rsidRPr="007E2361">
          <w:rPr>
            <w:rFonts w:ascii="Times New Roman" w:hAnsi="Times New Roman" w:cs="Times New Roman"/>
          </w:rPr>
          <w:fldChar w:fldCharType="begin"/>
        </w:r>
        <w:r w:rsidRPr="007E2361">
          <w:rPr>
            <w:rFonts w:ascii="Times New Roman" w:hAnsi="Times New Roman" w:cs="Times New Roman"/>
          </w:rPr>
          <w:instrText>PAGE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rPr>
          <w:fldChar w:fldCharType="end"/>
        </w:r>
        <w:r w:rsidRPr="007E2361">
          <w:rPr>
            <w:rFonts w:ascii="Times New Roman" w:hAnsi="Times New Roman" w:cs="Times New Roman"/>
            <w:lang w:val="de-DE"/>
          </w:rPr>
          <w:t xml:space="preserve"> of </w:t>
        </w:r>
        <w:r w:rsidRPr="007E2361">
          <w:rPr>
            <w:rFonts w:ascii="Times New Roman" w:hAnsi="Times New Roman" w:cs="Times New Roman"/>
          </w:rPr>
          <w:fldChar w:fldCharType="begin"/>
        </w:r>
        <w:r w:rsidRPr="007E2361">
          <w:rPr>
            <w:rFonts w:ascii="Times New Roman" w:hAnsi="Times New Roman" w:cs="Times New Roman"/>
          </w:rPr>
          <w:instrText>NUMPAGES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lang w:val="de-DE"/>
          </w:rPr>
          <w:fldChar w:fldCharType="end"/>
        </w:r>
      </w:p>
    </w:sdtContent>
  </w:sdt>
  <w:p w:rsidR="000F07F1" w:rsidRDefault="000F07F1">
    <w:pPr>
      <w:pStyle w:val="Header"/>
    </w:pP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7C"/>
    <w:multiLevelType w:val="singleLevel"/>
    <w:tmpl w:val="52D2BC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AD6823F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D14951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B28122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C966F83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746C57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1D6116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6DCFC3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B43C6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3B06E4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0E7ACBA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6E7027"/>
    <w:multiLevelType w:val="multilevel"/>
    <w:tmpl w:val="CFB603AE"/>
    <w:styleLink w:val="REVersuch2"/>
    <w:lvl w:ilvl="0">
      <w:start w:val="1"/>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1.%2.%3"/>
      <w:lvlJc w:val="left"/>
      <w:pPr>
        <w:ind w:hanging="360" w:left="1080"/>
      </w:pPr>
      <w:rPr>
        <w:rFonts w:hint="default"/>
      </w:rPr>
    </w:lvl>
    <w:lvl w:ilvl="3">
      <w:start w:val="1"/>
      <w:numFmt w:val="decimal"/>
      <w:lvlText w:val="%1.%2.%3.%4"/>
      <w:lvlJc w:val="left"/>
      <w:pPr>
        <w:ind w:hanging="360" w:left="1440"/>
      </w:pPr>
      <w:rPr>
        <w:rFonts w:hint="default"/>
      </w:rPr>
    </w:lvl>
    <w:lvl w:ilvl="4">
      <w:start w:val="1"/>
      <w:numFmt w:val="decimal"/>
      <w:lvlText w:val="%1.%2.%3.%4.%5"/>
      <w:lvlJc w:val="left"/>
      <w:pPr>
        <w:ind w:hanging="360" w:left="1800"/>
      </w:pPr>
      <w:rPr>
        <w:rFonts w:hint="default"/>
      </w:rPr>
    </w:lvl>
    <w:lvl w:ilvl="5">
      <w:start w:val="1"/>
      <w:numFmt w:val="decimal"/>
      <w:lvlText w:val="%1.%2.%3.%4.%5.%6"/>
      <w:lvlJc w:val="left"/>
      <w:pPr>
        <w:ind w:hanging="360" w:left="2160"/>
      </w:pPr>
      <w:rPr>
        <w:rFonts w:hint="default"/>
      </w:rPr>
    </w:lvl>
    <w:lvl w:ilvl="6">
      <w:start w:val="1"/>
      <w:numFmt w:val="decimal"/>
      <w:lvlText w:val="%1.%2.%3.%4.%5.%6.%7"/>
      <w:lvlJc w:val="left"/>
      <w:pPr>
        <w:ind w:hanging="360" w:left="2520"/>
      </w:pPr>
      <w:rPr>
        <w:rFonts w:hint="default"/>
      </w:rPr>
    </w:lvl>
    <w:lvl w:ilvl="7">
      <w:start w:val="1"/>
      <w:numFmt w:val="decimal"/>
      <w:lvlText w:val="%1.%2.%3.%4.%5.%6.%7.%8"/>
      <w:lvlJc w:val="left"/>
      <w:pPr>
        <w:ind w:hanging="360" w:left="2880"/>
      </w:pPr>
      <w:rPr>
        <w:rFonts w:hint="default"/>
      </w:rPr>
    </w:lvl>
    <w:lvl w:ilvl="8">
      <w:start w:val="1"/>
      <w:numFmt w:val="decimal"/>
      <w:lvlText w:val="%1.%2.%3.%4.%5.%6.%7.%8.%9"/>
      <w:lvlJc w:val="left"/>
      <w:pPr>
        <w:ind w:hanging="360" w:left="3240"/>
      </w:pPr>
      <w:rPr>
        <w:rFonts w:hint="default"/>
      </w:rPr>
    </w:lvl>
  </w:abstractNum>
  <w:abstractNum w15:restartNumberingAfterBreak="0" w:abstractNumId="12">
    <w:nsid w:val="2F4367A2"/>
    <w:multiLevelType w:val="hybridMultilevel"/>
    <w:tmpl w:val="0E94A3F2"/>
    <w:lvl w:ilvl="0" w:tplc="6FFEDB94">
      <w:start w:val="1"/>
      <w:numFmt w:val="decimal"/>
      <w:lvlText w:val="Figur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3">
    <w:nsid w:val="439D272C"/>
    <w:multiLevelType w:val="multilevel"/>
    <w:tmpl w:val="5E8A4980"/>
    <w:lvl w:ilvl="0">
      <w:start w:val="1"/>
      <w:numFmt w:val="decimal"/>
      <w:pStyle w:val="Heading1"/>
      <w:lvlText w:val="%1"/>
      <w:lvlJc w:val="left"/>
      <w:pPr>
        <w:ind w:hanging="1134" w:left="1134"/>
      </w:pPr>
      <w:rPr>
        <w:rFonts w:hint="default"/>
      </w:rPr>
    </w:lvl>
    <w:lvl w:ilvl="1">
      <w:start w:val="1"/>
      <w:numFmt w:val="decimal"/>
      <w:pStyle w:val="Heading2"/>
      <w:lvlText w:val="%1.%2"/>
      <w:lvlJc w:val="left"/>
      <w:pPr>
        <w:ind w:hanging="1134" w:left="1134"/>
      </w:pPr>
      <w:rPr>
        <w:rFonts w:hint="default"/>
      </w:rPr>
    </w:lvl>
    <w:lvl w:ilvl="2">
      <w:start w:val="1"/>
      <w:numFmt w:val="decimal"/>
      <w:pStyle w:val="Heading3"/>
      <w:lvlText w:val="%1.%2.%3"/>
      <w:lvlJc w:val="left"/>
      <w:pPr>
        <w:ind w:hanging="1134" w:left="1134"/>
      </w:pPr>
      <w:rPr>
        <w:rFonts w:hint="default"/>
      </w:rPr>
    </w:lvl>
    <w:lvl w:ilvl="3">
      <w:start w:val="1"/>
      <w:numFmt w:val="decimal"/>
      <w:pStyle w:val="Heading4"/>
      <w:lvlText w:val="%1.%2.%3.%4"/>
      <w:lvlJc w:val="left"/>
      <w:pPr>
        <w:ind w:hanging="1134" w:left="1134"/>
      </w:pPr>
      <w:rPr>
        <w:rFonts w:hint="default"/>
      </w:rPr>
    </w:lvl>
    <w:lvl w:ilvl="4">
      <w:start w:val="1"/>
      <w:numFmt w:val="decimal"/>
      <w:pStyle w:val="Heading5"/>
      <w:lvlText w:val="%1.%2.%3.%4.%5"/>
      <w:lvlJc w:val="left"/>
      <w:pPr>
        <w:ind w:hanging="1134" w:left="1134"/>
      </w:pPr>
      <w:rPr>
        <w:rFonts w:hint="default"/>
      </w:rPr>
    </w:lvl>
    <w:lvl w:ilvl="5">
      <w:start w:val="1"/>
      <w:numFmt w:val="decimal"/>
      <w:pStyle w:val="Heading6"/>
      <w:lvlText w:val="%1.%2.%3.%4.%5.%6"/>
      <w:lvlJc w:val="left"/>
      <w:pPr>
        <w:ind w:hanging="1134" w:left="1134"/>
      </w:pPr>
      <w:rPr>
        <w:rFonts w:hint="default"/>
      </w:rPr>
    </w:lvl>
    <w:lvl w:ilvl="6">
      <w:start w:val="1"/>
      <w:numFmt w:val="decimal"/>
      <w:pStyle w:val="Heading7"/>
      <w:lvlText w:val="%1.%2.%3.%4.%5.%6.%7"/>
      <w:lvlJc w:val="left"/>
      <w:pPr>
        <w:ind w:hanging="1134" w:left="1134"/>
      </w:pPr>
      <w:rPr>
        <w:rFonts w:hint="default"/>
      </w:rPr>
    </w:lvl>
    <w:lvl w:ilvl="7">
      <w:start w:val="1"/>
      <w:numFmt w:val="decimal"/>
      <w:pStyle w:val="Heading8"/>
      <w:lvlText w:val="%1.%2.%3.%4.%5.%6.%7.%8"/>
      <w:lvlJc w:val="left"/>
      <w:pPr>
        <w:ind w:hanging="1134" w:left="1134"/>
      </w:pPr>
      <w:rPr>
        <w:rFonts w:hint="default"/>
      </w:rPr>
    </w:lvl>
    <w:lvl w:ilvl="8">
      <w:start w:val="1"/>
      <w:numFmt w:val="decimal"/>
      <w:pStyle w:val="Heading9"/>
      <w:lvlText w:val="%1.%2.%3.%4.%5.%6.%7.%8.%9"/>
      <w:lvlJc w:val="left"/>
      <w:pPr>
        <w:ind w:hanging="1134" w:left="1134"/>
      </w:pPr>
      <w:rPr>
        <w:rFonts w:hint="default"/>
      </w:rPr>
    </w:lvl>
  </w:abstractNum>
  <w:abstractNum w15:restartNumberingAfterBreak="0" w:abstractNumId="14">
    <w:nsid w:val="4E027060"/>
    <w:multiLevelType w:val="hybridMultilevel"/>
    <w:tmpl w:val="BDE6AA42"/>
    <w:lvl w:ilvl="0" w:tplc="9976DFBA">
      <w:start w:val="1"/>
      <w:numFmt w:val="decimal"/>
      <w:lvlText w:val="Tabl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5">
    <w:nsid w:val="57675838"/>
    <w:multiLevelType w:val="multilevel"/>
    <w:tmpl w:val="CFB603AE"/>
    <w:numStyleLink w:val="REVersuch2"/>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5"/>
  </w:num>
  <w:num w:numId="14">
    <w:abstractNumId w:val="13"/>
  </w:num>
  <w:num w:numId="15">
    <w:abstractNumId w:val="12"/>
  </w:num>
  <w:num w:numId="16">
    <w:abstractNumId w:val="14"/>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basedOn w:val="Normal"/>
    <w:next w:val="BodyText"/>
    <w:uiPriority w:val="9"/>
    <w:qFormat/>
    <w:rsid w:val="00DF4C3C"/>
    <w:pPr>
      <w:keepNext/>
      <w:keepLines/>
      <w:pageBreakBefore/>
      <w:numPr>
        <w:numId w:val="14"/>
      </w:numPr>
      <w:spacing w:after="0"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D500C1"/>
    <w:pPr>
      <w:keepNext/>
      <w:keepLines/>
      <w:numPr>
        <w:ilvl w:val="1"/>
        <w:numId w:val="14"/>
      </w:numPr>
      <w:spacing w:after="0" w:before="200"/>
      <w:outlineLvl w:val="1"/>
    </w:pPr>
    <w:rPr>
      <w:rFonts w:ascii="Times New Roman" w:cstheme="majorBidi" w:eastAsiaTheme="majorEastAsia" w:hAnsi="Times New Roman"/>
      <w:b/>
      <w:bCs/>
      <w:sz w:val="26"/>
      <w:szCs w:val="28"/>
    </w:rPr>
  </w:style>
  <w:style w:styleId="Heading3" w:type="paragraph">
    <w:name w:val="heading 3"/>
    <w:basedOn w:val="Normal"/>
    <w:next w:val="BodyText"/>
    <w:uiPriority w:val="9"/>
    <w:unhideWhenUsed/>
    <w:qFormat/>
    <w:rsid w:val="00D500C1"/>
    <w:pPr>
      <w:keepNext/>
      <w:keepLines/>
      <w:numPr>
        <w:ilvl w:val="2"/>
        <w:numId w:val="14"/>
      </w:numPr>
      <w:spacing w:after="0" w:before="200"/>
      <w:outlineLvl w:val="2"/>
    </w:pPr>
    <w:rPr>
      <w:rFonts w:ascii="Times New Roman" w:cstheme="majorBidi" w:eastAsiaTheme="majorEastAsia" w:hAnsi="Times New Roman"/>
      <w:b/>
      <w:bCs/>
      <w:sz w:val="26"/>
    </w:rPr>
  </w:style>
  <w:style w:styleId="Heading4" w:type="paragraph">
    <w:name w:val="heading 4"/>
    <w:basedOn w:val="Normal"/>
    <w:next w:val="BodyText"/>
    <w:uiPriority w:val="9"/>
    <w:unhideWhenUsed/>
    <w:qFormat/>
    <w:rsid w:val="00D500C1"/>
    <w:pPr>
      <w:keepNext/>
      <w:keepLines/>
      <w:numPr>
        <w:ilvl w:val="3"/>
        <w:numId w:val="14"/>
      </w:numPr>
      <w:spacing w:after="0" w:before="200"/>
      <w:outlineLvl w:val="3"/>
    </w:pPr>
    <w:rPr>
      <w:rFonts w:ascii="Times New Roman" w:cstheme="majorBidi" w:eastAsiaTheme="majorEastAsia" w:hAnsi="Times New Roman"/>
      <w:b/>
      <w:bCs/>
      <w:sz w:val="26"/>
    </w:rPr>
  </w:style>
  <w:style w:styleId="Heading5" w:type="paragraph">
    <w:name w:val="heading 5"/>
    <w:basedOn w:val="Normal"/>
    <w:next w:val="BodyText"/>
    <w:uiPriority w:val="9"/>
    <w:unhideWhenUsed/>
    <w:qFormat/>
    <w:rsid w:val="00D500C1"/>
    <w:pPr>
      <w:keepNext/>
      <w:keepLines/>
      <w:numPr>
        <w:ilvl w:val="4"/>
        <w:numId w:val="14"/>
      </w:numPr>
      <w:spacing w:after="0" w:before="200"/>
      <w:outlineLvl w:val="4"/>
    </w:pPr>
    <w:rPr>
      <w:rFonts w:ascii="Times New Roman" w:cstheme="majorBidi" w:eastAsiaTheme="majorEastAsia" w:hAnsi="Times New Roman"/>
      <w:b/>
      <w:iCs/>
      <w:sz w:val="26"/>
    </w:rPr>
  </w:style>
  <w:style w:styleId="Heading6" w:type="paragraph">
    <w:name w:val="heading 6"/>
    <w:basedOn w:val="Normal"/>
    <w:next w:val="BodyText"/>
    <w:uiPriority w:val="9"/>
    <w:unhideWhenUsed/>
    <w:qFormat/>
    <w:rsid w:val="00D500C1"/>
    <w:pPr>
      <w:keepNext/>
      <w:keepLines/>
      <w:numPr>
        <w:ilvl w:val="5"/>
        <w:numId w:val="14"/>
      </w:numPr>
      <w:spacing w:after="0" w:before="200"/>
      <w:outlineLvl w:val="5"/>
    </w:pPr>
    <w:rPr>
      <w:rFonts w:ascii="Times New Roman" w:cstheme="majorBidi" w:eastAsiaTheme="majorEastAsia" w:hAnsi="Times New Roman"/>
      <w:b/>
      <w:sz w:val="26"/>
    </w:rPr>
  </w:style>
  <w:style w:styleId="Heading7" w:type="paragraph">
    <w:name w:val="heading 7"/>
    <w:basedOn w:val="Normal"/>
    <w:next w:val="BodyText"/>
    <w:uiPriority w:val="9"/>
    <w:unhideWhenUsed/>
    <w:qFormat/>
    <w:rsid w:val="00D500C1"/>
    <w:pPr>
      <w:keepNext/>
      <w:keepLines/>
      <w:numPr>
        <w:ilvl w:val="6"/>
        <w:numId w:val="14"/>
      </w:numPr>
      <w:spacing w:after="0" w:before="200"/>
      <w:outlineLvl w:val="6"/>
    </w:pPr>
    <w:rPr>
      <w:rFonts w:ascii="Times New Roman" w:cstheme="majorBidi" w:eastAsiaTheme="majorEastAsia" w:hAnsi="Times New Roman"/>
      <w:b/>
      <w:sz w:val="26"/>
    </w:rPr>
  </w:style>
  <w:style w:styleId="Heading8" w:type="paragraph">
    <w:name w:val="heading 8"/>
    <w:basedOn w:val="Normal"/>
    <w:next w:val="BodyText"/>
    <w:uiPriority w:val="9"/>
    <w:unhideWhenUsed/>
    <w:qFormat/>
    <w:rsid w:val="00D500C1"/>
    <w:pPr>
      <w:keepNext/>
      <w:keepLines/>
      <w:numPr>
        <w:ilvl w:val="7"/>
        <w:numId w:val="14"/>
      </w:numPr>
      <w:spacing w:after="0" w:before="200"/>
      <w:outlineLvl w:val="7"/>
    </w:pPr>
    <w:rPr>
      <w:rFonts w:ascii="Times New Roman" w:cstheme="majorBidi" w:eastAsiaTheme="majorEastAsia" w:hAnsi="Times New Roman"/>
      <w:b/>
      <w:sz w:val="26"/>
    </w:rPr>
  </w:style>
  <w:style w:styleId="Heading9" w:type="paragraph">
    <w:name w:val="heading 9"/>
    <w:basedOn w:val="Normal"/>
    <w:next w:val="BodyText"/>
    <w:uiPriority w:val="9"/>
    <w:unhideWhenUsed/>
    <w:qFormat/>
    <w:rsid w:val="00D500C1"/>
    <w:pPr>
      <w:keepNext/>
      <w:keepLines/>
      <w:numPr>
        <w:ilvl w:val="8"/>
        <w:numId w:val="14"/>
      </w:numPr>
      <w:spacing w:after="0" w:before="200"/>
      <w:outlineLvl w:val="8"/>
    </w:pPr>
    <w:rPr>
      <w:rFonts w:ascii="Times New Roman" w:cstheme="majorBidi" w:eastAsiaTheme="majorEastAsia" w:hAnsi="Times New Roman"/>
      <w:b/>
      <w:sz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B034F3"/>
    <w:pPr>
      <w:spacing w:after="180" w:before="180" w:line="360" w:lineRule="auto"/>
    </w:pPr>
    <w:rPr>
      <w:rFonts w:ascii="Arial" w:hAnsi="Arial"/>
      <w:sz w:val="20"/>
    </w:rPr>
  </w:style>
  <w:style w:customStyle="1" w:styleId="FirstParagraph" w:type="paragraph">
    <w:name w:val="First Paragraph"/>
    <w:basedOn w:val="BodyText"/>
    <w:next w:val="BodyText"/>
    <w:autoRedefine/>
    <w:qFormat/>
    <w:rsid w:val="008D31A4"/>
  </w:style>
  <w:style w:customStyle="1" w:styleId="Compact" w:type="paragraph">
    <w:name w:val="Compact"/>
    <w:basedOn w:val="BodyText"/>
    <w:autoRedefine/>
    <w:qFormat/>
    <w:rsid w:val="008D31A4"/>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autoRedefine/>
    <w:qFormat/>
    <w:rsid w:val="008D31A4"/>
    <w:pPr>
      <w:keepNext/>
      <w:keepLines/>
      <w:jc w:val="center"/>
    </w:pPr>
    <w:rPr>
      <w:rFonts w:ascii="Arial" w:hAnsi="Arial"/>
    </w:rPr>
  </w:style>
  <w:style w:styleId="Date" w:type="paragraph">
    <w:name w:val="Date"/>
    <w:next w:val="BodyText"/>
    <w:autoRedefine/>
    <w:qFormat/>
    <w:rsid w:val="008D31A4"/>
    <w:pPr>
      <w:keepNext/>
      <w:keepLines/>
      <w:jc w:val="center"/>
    </w:pPr>
    <w:rPr>
      <w:rFonts w:ascii="Arial" w:hAnsi="Arial"/>
    </w:rPr>
  </w:style>
  <w:style w:customStyle="1" w:styleId="Abstract" w:type="paragraph">
    <w:name w:val="Abstract"/>
    <w:basedOn w:val="Normal"/>
    <w:next w:val="BodyText"/>
    <w:autoRedefine/>
    <w:qFormat/>
    <w:rsid w:val="008D31A4"/>
    <w:pPr>
      <w:keepNext/>
      <w:keepLines/>
      <w:spacing w:after="300" w:before="300"/>
      <w:jc w:val="both"/>
    </w:pPr>
    <w:rPr>
      <w:rFonts w:ascii="Arial" w:hAnsi="Arial"/>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GridTable1Light"/>
    <w:semiHidden/>
    <w:unhideWhenUsed/>
    <w:qFormat/>
    <w:rsid w:val="008F3A26"/>
    <w:rPr>
      <w:rFonts w:ascii="Arial" w:hAnsi="Arial"/>
      <w:sz w:val="20"/>
      <w:szCs w:val="20"/>
      <w:lang w:eastAsia="en-CA" w:val="en-CA"/>
    </w:rPr>
    <w:tblPr/>
    <w:tcPr>
      <w:vAlign w:val="center"/>
    </w:tcPr>
    <w:tblStylePr w:type="firstRow">
      <w:rPr>
        <w:b/>
        <w:bCs/>
      </w:rPr>
      <w:tblPr/>
      <w:tcPr>
        <w:tcBorders>
          <w:bottom w:color="666666" w:space="0" w:sz="12" w:themeColor="text1" w:themeTint="99" w:val="single"/>
        </w:tcBorders>
      </w:tcPr>
    </w:tblStylePr>
    <w:tblStylePr w:type="lastRow">
      <w:rPr>
        <w:b w:val="0"/>
        <w:bCs/>
      </w:rPr>
      <w:tblPr/>
      <w:tcPr>
        <w:tcBorders>
          <w:top w:color="BFBFBF" w:space="0" w:sz="4" w:themeColor="background1" w:themeShade="BF" w:val="single"/>
        </w:tcBorders>
      </w:tcPr>
    </w:tblStylePr>
    <w:tblStylePr w:type="firstCol">
      <w:rPr>
        <w:b/>
        <w:bCs/>
      </w:rPr>
    </w:tblStylePr>
    <w:tblStylePr w:type="lastCol">
      <w:rPr>
        <w:b w:val="0"/>
        <w:bCs/>
      </w:rPr>
    </w:tblStylePr>
    <w:tblStylePr w:type="swCell">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CB69FF"/>
    <w:pPr>
      <w:keepNext/>
      <w:spacing w:before="120"/>
    </w:pPr>
    <w:rPr>
      <w:rFonts w:ascii="Arial" w:hAnsi="Arial"/>
      <w:b/>
      <w:i w:val="0"/>
      <w:sz w:val="20"/>
    </w:rPr>
  </w:style>
  <w:style w:customStyle="1" w:styleId="ImageCaption" w:type="paragraph">
    <w:name w:val="Image Caption"/>
    <w:basedOn w:val="Caption"/>
    <w:rsid w:val="00CB69FF"/>
    <w:rPr>
      <w:rFonts w:ascii="Arial" w:hAnsi="Arial"/>
      <w:b/>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uiPriority w:val="99"/>
    <w:rsid w:val="007E2361"/>
    <w:rPr>
      <w:color w:val="0000FF"/>
    </w:rPr>
  </w:style>
  <w:style w:styleId="TOCHeading" w:type="paragraph">
    <w:name w:val="TOC Heading"/>
    <w:aliases w:val="RE_TableOfContent"/>
    <w:next w:val="BodyText"/>
    <w:uiPriority w:val="39"/>
    <w:unhideWhenUsed/>
    <w:qFormat/>
    <w:rsid w:val="00D500C1"/>
    <w:pPr>
      <w:spacing w:before="240" w:line="259" w:lineRule="auto"/>
    </w:pPr>
    <w:rPr>
      <w:rFonts w:ascii="Times New Roman" w:cstheme="majorBidi" w:eastAsiaTheme="majorEastAsia" w:hAnsi="Times New Roman"/>
      <w:b/>
      <w:szCs w:val="32"/>
    </w:rPr>
  </w:style>
  <w:style w:styleId="Header" w:type="paragraph">
    <w:name w:val="header"/>
    <w:basedOn w:val="Normal"/>
    <w:link w:val="HeaderChar"/>
    <w:unhideWhenUsed/>
    <w:rsid w:val="00237720"/>
    <w:pPr>
      <w:tabs>
        <w:tab w:pos="4536" w:val="center"/>
        <w:tab w:pos="9072" w:val="right"/>
      </w:tabs>
      <w:spacing w:after="0"/>
    </w:pPr>
  </w:style>
  <w:style w:customStyle="1" w:styleId="HeaderChar" w:type="character">
    <w:name w:val="Header Char"/>
    <w:basedOn w:val="DefaultParagraphFont"/>
    <w:link w:val="Header"/>
    <w:rsid w:val="00237720"/>
  </w:style>
  <w:style w:styleId="Footer" w:type="paragraph">
    <w:name w:val="footer"/>
    <w:basedOn w:val="Normal"/>
    <w:link w:val="FooterChar"/>
    <w:uiPriority w:val="99"/>
    <w:unhideWhenUsed/>
    <w:rsid w:val="00237720"/>
    <w:pPr>
      <w:tabs>
        <w:tab w:pos="4536" w:val="center"/>
        <w:tab w:pos="9072" w:val="right"/>
      </w:tabs>
      <w:spacing w:after="0"/>
    </w:pPr>
  </w:style>
  <w:style w:customStyle="1" w:styleId="FooterChar" w:type="character">
    <w:name w:val="Footer Char"/>
    <w:basedOn w:val="DefaultParagraphFont"/>
    <w:link w:val="Footer"/>
    <w:uiPriority w:val="99"/>
    <w:rsid w:val="00237720"/>
  </w:style>
  <w:style w:customStyle="1" w:styleId="REVersuch2" w:type="numbering">
    <w:name w:val="RE_Versuch_2"/>
    <w:uiPriority w:val="99"/>
    <w:rsid w:val="00F5435A"/>
    <w:pPr>
      <w:numPr>
        <w:numId w:val="12"/>
      </w:numPr>
    </w:pPr>
  </w:style>
  <w:style w:customStyle="1" w:styleId="BodyTextChar" w:type="character">
    <w:name w:val="Body Text Char"/>
    <w:basedOn w:val="DefaultParagraphFont"/>
    <w:link w:val="BodyText"/>
    <w:rsid w:val="00B034F3"/>
    <w:rPr>
      <w:rFonts w:ascii="Arial" w:hAnsi="Arial"/>
      <w:sz w:val="20"/>
    </w:rPr>
  </w:style>
  <w:style w:styleId="TOC2" w:type="paragraph">
    <w:name w:val="toc 2"/>
    <w:basedOn w:val="Normal"/>
    <w:next w:val="Normal"/>
    <w:autoRedefine/>
    <w:uiPriority w:val="39"/>
    <w:unhideWhenUsed/>
    <w:rsid w:val="00F45D3A"/>
    <w:pPr>
      <w:tabs>
        <w:tab w:pos="880" w:val="left"/>
        <w:tab w:leader="dot" w:pos="9396" w:val="right"/>
      </w:tabs>
      <w:spacing w:after="0"/>
      <w:ind w:hanging="624" w:left="624" w:right="284"/>
    </w:pPr>
    <w:rPr>
      <w:rFonts w:ascii="Times New Roman" w:hAnsi="Times New Roman"/>
      <w:color w:val="0000FF"/>
    </w:rPr>
  </w:style>
  <w:style w:styleId="TOC1" w:type="paragraph">
    <w:name w:val="toc 1"/>
    <w:basedOn w:val="Normal"/>
    <w:next w:val="Normal"/>
    <w:autoRedefine/>
    <w:uiPriority w:val="39"/>
    <w:unhideWhenUsed/>
    <w:rsid w:val="00F45D3A"/>
    <w:pPr>
      <w:spacing w:after="0" w:before="120"/>
      <w:ind w:hanging="425" w:left="425" w:right="284"/>
    </w:pPr>
    <w:rPr>
      <w:rFonts w:ascii="Times New Roman" w:hAnsi="Times New Roman"/>
      <w:b/>
      <w:color w:val="0000FF"/>
    </w:rPr>
  </w:style>
  <w:style w:styleId="TOC3" w:type="paragraph">
    <w:name w:val="toc 3"/>
    <w:basedOn w:val="Normal"/>
    <w:next w:val="Normal"/>
    <w:autoRedefine/>
    <w:uiPriority w:val="39"/>
    <w:unhideWhenUsed/>
    <w:rsid w:val="00F45D3A"/>
    <w:pPr>
      <w:tabs>
        <w:tab w:pos="1320" w:val="left"/>
        <w:tab w:leader="dot" w:pos="9396" w:val="right"/>
      </w:tabs>
      <w:spacing w:after="0"/>
      <w:ind w:hanging="822" w:left="822" w:right="284"/>
    </w:pPr>
    <w:rPr>
      <w:rFonts w:ascii="Times New Roman" w:hAnsi="Times New Roman"/>
      <w:color w:val="0000FF"/>
    </w:rPr>
  </w:style>
  <w:style w:styleId="TOC4" w:type="paragraph">
    <w:name w:val="toc 4"/>
    <w:basedOn w:val="Normal"/>
    <w:next w:val="Normal"/>
    <w:autoRedefine/>
    <w:uiPriority w:val="39"/>
    <w:unhideWhenUsed/>
    <w:rsid w:val="00F45D3A"/>
    <w:pPr>
      <w:tabs>
        <w:tab w:pos="1540" w:val="left"/>
        <w:tab w:leader="dot" w:pos="9396" w:val="right"/>
      </w:tabs>
      <w:spacing w:after="0"/>
      <w:ind w:hanging="1021" w:left="1021" w:right="284"/>
    </w:pPr>
    <w:rPr>
      <w:rFonts w:ascii="Times New Roman" w:hAnsi="Times New Roman"/>
      <w:color w:val="0000FF"/>
    </w:rPr>
  </w:style>
  <w:style w:styleId="TOC5" w:type="paragraph">
    <w:name w:val="toc 5"/>
    <w:basedOn w:val="Normal"/>
    <w:next w:val="Normal"/>
    <w:autoRedefine/>
    <w:uiPriority w:val="39"/>
    <w:unhideWhenUsed/>
    <w:rsid w:val="00F45D3A"/>
    <w:pPr>
      <w:tabs>
        <w:tab w:pos="1880" w:val="left"/>
        <w:tab w:leader="dot" w:pos="9396" w:val="right"/>
      </w:tabs>
      <w:spacing w:after="0"/>
      <w:ind w:hanging="1219" w:left="1219" w:right="284"/>
    </w:pPr>
    <w:rPr>
      <w:rFonts w:ascii="Times New Roman" w:hAnsi="Times New Roman"/>
      <w:color w:val="0000FF"/>
    </w:rPr>
  </w:style>
  <w:style w:styleId="Index1" w:type="paragraph">
    <w:name w:val="index 1"/>
    <w:basedOn w:val="Normal"/>
    <w:next w:val="Normal"/>
    <w:autoRedefine/>
    <w:rsid w:val="00830389"/>
    <w:pPr>
      <w:spacing w:after="0"/>
      <w:ind w:hanging="240" w:left="240"/>
    </w:pPr>
  </w:style>
  <w:style w:styleId="TableofFigures" w:type="paragraph">
    <w:name w:val="table of figures"/>
    <w:basedOn w:val="Normal"/>
    <w:next w:val="Normal"/>
    <w:uiPriority w:val="99"/>
    <w:unhideWhenUsed/>
    <w:rsid w:val="00162E8B"/>
    <w:pPr>
      <w:spacing w:after="0"/>
    </w:pPr>
    <w:rPr>
      <w:rFonts w:ascii="Times New Roman" w:hAnsi="Times New Roman"/>
      <w:color w:val="0000FF"/>
    </w:rPr>
  </w:style>
  <w:style w:styleId="GridTable1Light" w:type="table">
    <w:name w:val="Grid Table 1 Light"/>
    <w:basedOn w:val="TableNormal"/>
    <w:rsid w:val="008D31A4"/>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59" Target="media/rId59.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62" Target="media/rId62.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1" Target="media/rId141.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8" Target="media/rId10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118</Words>
  <Characters>679</Characters>
  <Application>Microsoft Office Word</Application>
  <DocSecurity>0</DocSecurity>
  <Lines>5</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and evaluation of a PBPK model for clarithromycin in healthy adults</dc:title>
  <dc:creator/>
  <cp:keywords/>
  <dcterms:created xsi:type="dcterms:W3CDTF">2025-03-11T15:16:36Z</dcterms:created>
  <dcterms:modified xsi:type="dcterms:W3CDTF">2025-03-11T15:16:36Z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Version1.0-OSP12.0based on Model Snapshot and Evaluation Planhttps://github.com/Open-Systems-Pharmacology/Clarithromycin-Model/releases/tag/v1.0OSP Version12.0Qualification Framework Version3.3This evaluation report and the corresponding PK-Sim project file are filed at:https://github.com/Open-Systems-Pharmacology/OSP-PBPK-Model-Library/</vt:lpwstr>
  </property>
  <property fmtid="{D5CDD505-2E9C-101B-9397-08002B2CF9AE}" pid="3" name="subtitle">
    <vt:lpwstr/>
  </property>
</Properties>
</file>