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9.png" ContentType="image/png"/>
  <Override PartName="/word/media/rId52.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110.png" ContentType="image/png"/>
  <Override PartName="/word/media/rId56.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7.png" ContentType="image/png"/>
  <Override PartName="/word/media/rId181.png" ContentType="image/png"/>
  <Override PartName="/word/media/rId1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Dapagliflozin</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https://github.com/Open-Systems-Pharmacology/Dapagliflozin-Model/releases/tag/v1.0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Dapagliflozin is an active, highly selective sodium-glucose transport protein 2 (SGLT2) inhibitor that improves glycemic control in patients with type 2 diabetes mellitus by reducing renal glucose reabsorption leading to urinary glucose excretion (glucuresis). It is administered orally.</w:t>
      </w:r>
    </w:p>
    <w:p>
      <w:pPr>
        <w:pStyle w:val="BodyText"/>
      </w:pPr>
      <w:r>
        <w:t xml:space="preserve">Dapagliflozin is predominantly metabolized by uridine diphosphate-glucuronosyltransferase 1A9 (UGT1A9) in the liver and kidneys to the major metabolite dapagliflozin 3-O-glucuronide and can be considered a sensitive substrate for characterization of UGT1A9 activity. In a clinical drug interaction study, co-administration of mefenamic acid with dapagliflozin resulted in a dapagliflozin AUC ratio of 1.51 and C</w:t>
      </w:r>
      <w:r>
        <w:rPr>
          <w:vertAlign w:val="subscript"/>
        </w:rPr>
        <w:t xml:space="preserve">max</w:t>
      </w:r>
      <w:r>
        <w:t xml:space="preserve"> </w:t>
      </w:r>
      <w:r>
        <w:t xml:space="preserve">ratio of 1.13 (</w:t>
      </w:r>
      <w:hyperlink w:anchor="Xa559bd5247f9128e74e6edcc17de37648e8cde6">
        <w:r>
          <w:rPr>
            <w:rStyle w:val="Hyperlink"/>
          </w:rPr>
          <w:t xml:space="preserve">Kasichayanula 2013a</w:t>
        </w:r>
      </w:hyperlink>
      <w:r>
        <w:t xml:space="preserve">).</w:t>
      </w:r>
    </w:p>
    <w:p>
      <w:pPr>
        <w:pStyle w:val="BodyText"/>
      </w:pPr>
      <w:r>
        <w:t xml:space="preserve">Using published clinical data, the objective is to establish a whole-body PBPK model for dapagliflozin with a quantitative representation of its UGT1A9 metabolism.</w:t>
      </w:r>
    </w:p>
    <w:p>
      <w:pPr>
        <w:pStyle w:val="BodyText"/>
      </w:pPr>
      <w:r>
        <w:t xml:space="preserve">The herein presented model building and evaluation report evaluates the performance of the PBPK model for dapagliflozin in (healthy) adults.</w:t>
      </w:r>
    </w:p>
    <w:bookmarkEnd w:id="20"/>
    <w:bookmarkStart w:id="32"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w:t>
      </w:r>
      <w:r>
        <w:t xml:space="preserve"> </w:t>
      </w:r>
      <w:r>
        <w:rPr>
          <w:iCs/>
          <w:i/>
        </w:rPr>
        <w:t xml:space="preserve">et al.</w:t>
      </w:r>
      <w:r>
        <w:t xml:space="preserve"> </w:t>
      </w:r>
      <w:r>
        <w:t xml:space="preserve">(</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PK-Sim Ontogeny Database Version 7.3</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Schlender 2016</w:t>
        </w:r>
      </w:hyperlink>
      <w:r>
        <w:t xml:space="preserve">) or otherwise referenced for the specific process.</w:t>
      </w:r>
    </w:p>
    <w:p>
      <w:pPr>
        <w:pStyle w:val="BodyText"/>
      </w:pPr>
      <w:r>
        <w:t xml:space="preserve">First, a base mean model was built using clinical Phase I data including selected single dose studies with intravenous and oral applications (capsule) of dapagliflozin to find an appropriate structure to describe the pharmacokinetics in plasma. The mean PBPK model was developed using a typical European individual. The relative tissue-specific expressions of enzymes predominantly being involved in the metabolism of dapagliflozin (UGT1A9 and UGT2B7) were considered based on high-sensitive real-time RT-PCR (</w:t>
      </w:r>
      <w:hyperlink w:anchor="Xa559bd5247f9128e74e6edcc17de37648e8cde6">
        <w:r>
          <w:rPr>
            <w:rStyle w:val="Hyperlink"/>
          </w:rPr>
          <w:t xml:space="preserve">Nishimura 2013</w:t>
        </w:r>
      </w:hyperlink>
      <w:r>
        <w:t xml:space="preserve">). Absolute tissue-specific expressions were obtained by considering the respective absolute concentration in the liver as reported by Ohtsuki</w:t>
      </w:r>
      <w:r>
        <w:t xml:space="preserve"> </w:t>
      </w:r>
      <w:r>
        <w:rPr>
          <w:iCs/>
          <w:i/>
        </w:rPr>
        <w:t xml:space="preserve">et al.</w:t>
      </w:r>
      <w:r>
        <w:t xml:space="preserve"> </w:t>
      </w:r>
      <w:r>
        <w:t xml:space="preserve">(</w:t>
      </w:r>
      <w:hyperlink w:anchor="Xa559bd5247f9128e74e6edcc17de37648e8cde6">
        <w:r>
          <w:rPr>
            <w:rStyle w:val="Hyperlink"/>
          </w:rPr>
          <w:t xml:space="preserve">Ohtsuki 2012</w:t>
        </w:r>
      </w:hyperlink>
      <w:r>
        <w:t xml:space="preserve">).</w:t>
      </w:r>
    </w:p>
    <w:p>
      <w:pPr>
        <w:pStyle w:val="BodyText"/>
      </w:pPr>
      <w:r>
        <w:t xml:space="preserve">Unknown parameters (see below) were identified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additional parameters for tablet formulations were identified.</w:t>
      </w:r>
    </w:p>
    <w:p>
      <w:pPr>
        <w:pStyle w:val="BodyText"/>
      </w:pPr>
      <w:r>
        <w:t xml:space="preserve">The model was then verified by simulating:</w:t>
      </w:r>
    </w:p>
    <w:p>
      <w:pPr>
        <w:numPr>
          <w:ilvl w:val="0"/>
          <w:numId w:val="1001"/>
        </w:numPr>
        <w:pStyle w:val="Compact"/>
      </w:pPr>
      <w:r>
        <w:t xml:space="preserve">multiple dose studies</w:t>
      </w:r>
    </w:p>
    <w:p>
      <w:pPr>
        <w:numPr>
          <w:ilvl w:val="0"/>
          <w:numId w:val="1001"/>
        </w:numPr>
        <w:pStyle w:val="Compact"/>
      </w:pPr>
      <w:r>
        <w:t xml:space="preserve">a food effect study</w:t>
      </w:r>
    </w:p>
    <w:p>
      <w:pPr>
        <w:pStyle w:val="FirstParagraph"/>
      </w:pPr>
      <w:r>
        <w:t xml:space="preserve">Details about input data (physicochemical,</w:t>
      </w:r>
      <w:r>
        <w:t xml:space="preserve"> </w:t>
      </w:r>
      <w:r>
        <w:rPr>
          <w:iCs/>
          <w:i/>
        </w:rPr>
        <w:t xml:space="preserve">in vitro</w:t>
      </w:r>
      <w:r>
        <w:t xml:space="preserve"> </w:t>
      </w:r>
      <w:r>
        <w:t xml:space="preserve">and clinical) can be found in</w:t>
      </w:r>
      <w:r>
        <w:t xml:space="preserve"> </w:t>
      </w:r>
      <w:hyperlink w:anchor="X681d1fae3f233cf07e1ee33c73d775b8586b96f">
        <w:r>
          <w:rPr>
            <w:rStyle w:val="Hyperlink"/>
          </w:rPr>
          <w:t xml:space="preserve">Section 2.2</w:t>
        </w:r>
      </w:hyperlink>
      <w:r>
        <w:t xml:space="preserve">.</w:t>
      </w:r>
    </w:p>
    <w:p>
      <w:pPr>
        <w:pStyle w:val="BodyText"/>
      </w:pPr>
      <w:r>
        <w:t xml:space="preserve">Details about the structural model and its parameters can be found in</w:t>
      </w:r>
      <w:r>
        <w:t xml:space="preserve"> </w:t>
      </w:r>
      <w:hyperlink w:anchor="X920e58f6eb345d17092abc826058b6950015cf7">
        <w:r>
          <w:rPr>
            <w:rStyle w:val="Hyperlink"/>
          </w:rPr>
          <w:t xml:space="preserve">Section 2.3</w:t>
        </w:r>
      </w:hyperlink>
      <w:r>
        <w:t xml:space="preserve">.</w:t>
      </w:r>
    </w:p>
    <w:bookmarkEnd w:id="21"/>
    <w:bookmarkStart w:id="26" w:name="data"/>
    <w:p>
      <w:pPr>
        <w:pStyle w:val="Heading2"/>
      </w:pPr>
      <w:r>
        <w:t xml:space="preserve">Data</w:t>
      </w:r>
      <w:bookmarkStart w:id="data" w:name="data"/>
      <w:bookmarkEnd w:id="data"/>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dapagliflozin. The obtained information from literature is summarized in the table below.</w:t>
      </w:r>
    </w:p>
    <w:tbl>
      <w:tblPr>
        <w:tblStyle w:val="Table"/>
        <w:tblW w:type="pct" w:w="5000"/>
        <w:tblLook w:firstRow="1" w:lastRow="0" w:firstColumn="0" w:lastColumn="0" w:noHBand="0" w:noVBand="0" w:val="0020"/>
        <w:jc w:val="start"/>
      </w:tblPr>
      <w:tblGrid>
        <w:gridCol w:w="935"/>
        <w:gridCol w:w="498"/>
        <w:gridCol w:w="561"/>
        <w:gridCol w:w="2993"/>
        <w:gridCol w:w="2931"/>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w:t>
            </w:r>
          </w:p>
        </w:tc>
        <w:tc>
          <w:tcPr/>
          <w:p>
            <w:pPr>
              <w:pStyle w:val="Compact"/>
              <w:jc w:val="left"/>
            </w:pPr>
            <w:r>
              <w:t xml:space="preserve">Source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408.873</w:t>
            </w:r>
          </w:p>
        </w:tc>
        <w:tc>
          <w:tcPr/>
          <w:p>
            <w:pPr>
              <w:pStyle w:val="Compact"/>
              <w:jc w:val="left"/>
            </w:pPr>
            <w:hyperlink w:anchor="Xa559bd5247f9128e74e6edcc17de37648e8cde6">
              <w:r>
                <w:rPr>
                  <w:rStyle w:val="Hyperlink"/>
                </w:rPr>
                <w:t xml:space="preserve">DrugBank DB06292</w:t>
              </w:r>
            </w:hyperlink>
          </w:p>
        </w:tc>
        <w:tc>
          <w:tcPr/>
          <w:p>
            <w:pPr>
              <w:pStyle w:val="Compact"/>
              <w:jc w:val="left"/>
            </w:pPr>
            <w:r>
              <w:t xml:space="preserve">Molecular weight</w:t>
            </w:r>
          </w:p>
        </w:tc>
      </w:tr>
      <w:tr>
        <w:tc>
          <w:tcPr/>
          <w:p>
            <w:pPr>
              <w:pStyle w:val="Compact"/>
              <w:jc w:val="left"/>
            </w:pPr>
            <w:r>
              <w:t xml:space="preserve">pK</w:t>
            </w:r>
            <w:r>
              <w:rPr>
                <w:vertAlign w:val="subscript"/>
              </w:rPr>
              <w:t xml:space="preserve">a</w:t>
            </w:r>
          </w:p>
        </w:tc>
        <w:tc>
          <w:tcPr/>
          <w:p>
            <w:pPr>
              <w:pStyle w:val="Compact"/>
            </w:pPr>
          </w:p>
        </w:tc>
        <w:tc>
          <w:tcPr/>
          <w:p>
            <w:pPr>
              <w:pStyle w:val="Compact"/>
              <w:jc w:val="left"/>
            </w:pPr>
            <w:r>
              <w:t xml:space="preserve">12.57</w:t>
            </w:r>
          </w:p>
        </w:tc>
        <w:tc>
          <w:tcPr/>
          <w:p>
            <w:pPr>
              <w:pStyle w:val="Compact"/>
              <w:jc w:val="left"/>
            </w:pPr>
            <w:hyperlink w:anchor="Xa559bd5247f9128e74e6edcc17de37648e8cde6">
              <w:r>
                <w:rPr>
                  <w:rStyle w:val="Hyperlink"/>
                </w:rPr>
                <w:t xml:space="preserve">DrugBank DB06292</w:t>
              </w:r>
            </w:hyperlink>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mg/mL</w:t>
            </w:r>
          </w:p>
        </w:tc>
        <w:tc>
          <w:tcPr/>
          <w:p>
            <w:pPr>
              <w:pStyle w:val="Compact"/>
              <w:jc w:val="left"/>
            </w:pPr>
            <w:r>
              <w:t xml:space="preserve">0.173 (7)</w:t>
            </w:r>
          </w:p>
        </w:tc>
        <w:tc>
          <w:tcPr/>
          <w:p>
            <w:pPr>
              <w:pStyle w:val="Compact"/>
              <w:jc w:val="left"/>
            </w:pPr>
            <w:hyperlink w:anchor="Xa559bd5247f9128e74e6edcc17de37648e8cde6">
              <w:r>
                <w:rPr>
                  <w:rStyle w:val="Hyperlink"/>
                </w:rPr>
                <w:t xml:space="preserve">DrugBank DB06292</w:t>
              </w:r>
            </w:hyperlink>
          </w:p>
        </w:tc>
        <w:tc>
          <w:tcPr/>
          <w:p>
            <w:pPr>
              <w:pStyle w:val="Compact"/>
              <w:jc w:val="left"/>
            </w:pPr>
            <w:r>
              <w:t xml:space="preserve">Aqueous Solubility</w:t>
            </w:r>
          </w:p>
        </w:tc>
      </w:tr>
      <w:tr>
        <w:tc>
          <w:tcPr/>
          <w:p>
            <w:pPr>
              <w:pStyle w:val="Compact"/>
              <w:jc w:val="left"/>
            </w:pPr>
            <w:r>
              <w:t xml:space="preserve">logP</w:t>
            </w:r>
          </w:p>
        </w:tc>
        <w:tc>
          <w:tcPr/>
          <w:p>
            <w:pPr>
              <w:pStyle w:val="Compact"/>
            </w:pPr>
          </w:p>
        </w:tc>
        <w:tc>
          <w:tcPr/>
          <w:p>
            <w:pPr>
              <w:pStyle w:val="Compact"/>
              <w:jc w:val="left"/>
            </w:pPr>
            <w:r>
              <w:t xml:space="preserve">2.7</w:t>
            </w:r>
          </w:p>
        </w:tc>
        <w:tc>
          <w:tcPr/>
          <w:p>
            <w:pPr>
              <w:pStyle w:val="Compact"/>
              <w:jc w:val="left"/>
            </w:pPr>
            <w:hyperlink w:anchor="Xa559bd5247f9128e74e6edcc17de37648e8cde6">
              <w:r>
                <w:rPr>
                  <w:rStyle w:val="Hyperlink"/>
                </w:rPr>
                <w:t xml:space="preserve">DrugBank DB06292</w:t>
              </w:r>
            </w:hyperlink>
            <w:r>
              <w:t xml:space="preserve"> </w:t>
            </w:r>
            <w:r>
              <w:t xml:space="preserve">(experimental)</w:t>
            </w:r>
          </w:p>
        </w:tc>
        <w:tc>
          <w:tcPr/>
          <w:p>
            <w:pPr>
              <w:pStyle w:val="Compact"/>
              <w:jc w:val="left"/>
            </w:pPr>
            <w:r>
              <w:t xml:space="preserve">Partition coefficient between octanol and water</w:t>
            </w:r>
          </w:p>
        </w:tc>
      </w:tr>
      <w:tr>
        <w:tc>
          <w:tcPr/>
          <w:p>
            <w:pPr>
              <w:pStyle w:val="Compact"/>
              <w:jc w:val="left"/>
            </w:pPr>
            <w:r>
              <w:t xml:space="preserve">f</w:t>
            </w:r>
            <w:r>
              <w:rPr>
                <w:vertAlign w:val="subscript"/>
              </w:rPr>
              <w:t xml:space="preserve">u</w:t>
            </w:r>
          </w:p>
        </w:tc>
        <w:tc>
          <w:tcPr/>
          <w:p>
            <w:pPr>
              <w:pStyle w:val="Compact"/>
              <w:jc w:val="left"/>
            </w:pPr>
            <w:r>
              <w:t xml:space="preserve">%</w:t>
            </w:r>
          </w:p>
        </w:tc>
        <w:tc>
          <w:tcPr/>
          <w:p>
            <w:pPr>
              <w:pStyle w:val="Compact"/>
              <w:jc w:val="left"/>
            </w:pPr>
            <w:r>
              <w:t xml:space="preserve">9</w:t>
            </w:r>
          </w:p>
        </w:tc>
        <w:tc>
          <w:tcPr/>
          <w:p>
            <w:pPr>
              <w:pStyle w:val="Compact"/>
              <w:jc w:val="left"/>
            </w:pPr>
            <w:hyperlink w:anchor="Xa559bd5247f9128e74e6edcc17de37648e8cde6">
              <w:r>
                <w:rPr>
                  <w:rStyle w:val="Hyperlink"/>
                </w:rPr>
                <w:t xml:space="preserve">Obermeier 2009</w:t>
              </w:r>
            </w:hyperlink>
          </w:p>
        </w:tc>
        <w:tc>
          <w:tcPr/>
          <w:p>
            <w:pPr>
              <w:pStyle w:val="Compact"/>
              <w:jc w:val="left"/>
            </w:pPr>
            <w:r>
              <w:t xml:space="preserve">Fraction unbound in plasma</w:t>
            </w:r>
          </w:p>
        </w:tc>
      </w:tr>
      <w:tr>
        <w:tc>
          <w:tcPr/>
          <w:p>
            <w:pPr>
              <w:pStyle w:val="Compact"/>
              <w:jc w:val="left"/>
            </w:pPr>
            <w:r>
              <w:t xml:space="preserve">B/P ratio</w:t>
            </w:r>
          </w:p>
        </w:tc>
        <w:tc>
          <w:tcPr/>
          <w:p>
            <w:pPr>
              <w:pStyle w:val="Compact"/>
            </w:pPr>
          </w:p>
        </w:tc>
        <w:tc>
          <w:tcPr/>
          <w:p>
            <w:pPr>
              <w:pStyle w:val="Compact"/>
              <w:jc w:val="left"/>
            </w:pPr>
            <w:r>
              <w:t xml:space="preserve">0.88</w:t>
            </w:r>
          </w:p>
        </w:tc>
        <w:tc>
          <w:tcPr/>
          <w:p>
            <w:pPr>
              <w:pStyle w:val="Compact"/>
              <w:jc w:val="left"/>
            </w:pPr>
            <w:hyperlink w:anchor="Xa559bd5247f9128e74e6edcc17de37648e8cde6">
              <w:r>
                <w:rPr>
                  <w:rStyle w:val="Hyperlink"/>
                </w:rPr>
                <w:t xml:space="preserve">Obermeier 2009</w:t>
              </w:r>
            </w:hyperlink>
          </w:p>
        </w:tc>
        <w:tc>
          <w:tcPr/>
          <w:p>
            <w:pPr>
              <w:pStyle w:val="Compact"/>
              <w:jc w:val="left"/>
            </w:pPr>
            <w:r>
              <w:t xml:space="preserve">Blood to plasma ratio</w:t>
            </w:r>
          </w:p>
        </w:tc>
      </w:tr>
    </w:tbl>
    <w:bookmarkEnd w:id="22"/>
    <w:bookmarkStart w:id="25" w:name="clinical-data"/>
    <w:p>
      <w:pPr>
        <w:pStyle w:val="Heading3"/>
      </w:pPr>
      <w:r>
        <w:t xml:space="preserve">2.2.2 Clinical Data</w:t>
      </w:r>
    </w:p>
    <w:p>
      <w:pPr>
        <w:pStyle w:val="FirstParagraph"/>
      </w:pPr>
      <w:r>
        <w:t xml:space="preserve">A literature search was performed to collect available clinical data on dapagliflozin in healthy adults.</w:t>
      </w:r>
    </w:p>
    <w:bookmarkStart w:id="23" w:name="model-building"/>
    <w:p>
      <w:pPr>
        <w:pStyle w:val="Heading4"/>
      </w:pPr>
      <w:r>
        <w:t xml:space="preserve">2.2.2.1 Model Building</w:t>
      </w:r>
    </w:p>
    <w:p>
      <w:pPr>
        <w:pStyle w:val="FirstParagraph"/>
      </w:pPr>
      <w:r>
        <w:t xml:space="preserve">The following studies were used for model building (training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Publication</w:t>
            </w:r>
          </w:p>
        </w:tc>
        <w:tc>
          <w:tcPr/>
          <w:p>
            <w:pPr>
              <w:pStyle w:val="Compact"/>
              <w:jc w:val="left"/>
            </w:pPr>
            <w:r>
              <w:t xml:space="preserve">Arm / Treatment / Information used for model building</w:t>
            </w:r>
          </w:p>
        </w:tc>
      </w:tr>
      <w:tr>
        <w:tc>
          <w:tcPr/>
          <w:p>
            <w:pPr>
              <w:pStyle w:val="Compact"/>
              <w:jc w:val="left"/>
            </w:pPr>
            <w:hyperlink w:anchor="Xa559bd5247f9128e74e6edcc17de37648e8cde6">
              <w:r>
                <w:rPr>
                  <w:rStyle w:val="Hyperlink"/>
                </w:rPr>
                <w:t xml:space="preserve">Boulton 2013</w:t>
              </w:r>
            </w:hyperlink>
          </w:p>
        </w:tc>
        <w:tc>
          <w:tcPr/>
          <w:p>
            <w:pPr>
              <w:pStyle w:val="Compact"/>
              <w:jc w:val="left"/>
            </w:pPr>
            <w:r>
              <w:t xml:space="preserve">14C-dapagliflozin intravenous and</w:t>
            </w:r>
            <w:r>
              <w:t xml:space="preserve">Dapagliflozin oral administration</w:t>
            </w:r>
          </w:p>
        </w:tc>
      </w:tr>
      <w:tr>
        <w:tc>
          <w:tcPr/>
          <w:p>
            <w:pPr>
              <w:pStyle w:val="Compact"/>
              <w:jc w:val="left"/>
            </w:pPr>
            <w:hyperlink w:anchor="Xa559bd5247f9128e74e6edcc17de37648e8cde6">
              <w:r>
                <w:rPr>
                  <w:rStyle w:val="Hyperlink"/>
                </w:rPr>
                <w:t xml:space="preserve">DeFronzo 2013</w:t>
              </w:r>
            </w:hyperlink>
          </w:p>
        </w:tc>
        <w:tc>
          <w:tcPr/>
          <w:p>
            <w:pPr>
              <w:pStyle w:val="Compact"/>
              <w:jc w:val="left"/>
            </w:pPr>
            <w:r>
              <w:t xml:space="preserve">Healthy subjects with a single oral dose of 10 mg</w:t>
            </w:r>
          </w:p>
        </w:tc>
      </w:tr>
      <w:tr>
        <w:tc>
          <w:tcPr/>
          <w:p>
            <w:pPr>
              <w:pStyle w:val="Compact"/>
              <w:jc w:val="left"/>
            </w:pPr>
            <w:hyperlink w:anchor="Xa559bd5247f9128e74e6edcc17de37648e8cde6">
              <w:r>
                <w:rPr>
                  <w:rStyle w:val="Hyperlink"/>
                </w:rPr>
                <w:t xml:space="preserve">Imamura 2013</w:t>
              </w:r>
            </w:hyperlink>
          </w:p>
        </w:tc>
        <w:tc>
          <w:tcPr/>
          <w:p>
            <w:pPr>
              <w:pStyle w:val="Compact"/>
              <w:jc w:val="left"/>
            </w:pPr>
            <w:r>
              <w:t xml:space="preserve">Control phase with a single oral dose of 10 mg</w:t>
            </w:r>
          </w:p>
        </w:tc>
      </w:tr>
      <w:tr>
        <w:tc>
          <w:tcPr/>
          <w:p>
            <w:pPr>
              <w:pStyle w:val="Compact"/>
              <w:jc w:val="left"/>
            </w:pPr>
            <w:hyperlink w:anchor="Xa559bd5247f9128e74e6edcc17de37648e8cde6">
              <w:r>
                <w:rPr>
                  <w:rStyle w:val="Hyperlink"/>
                </w:rPr>
                <w:t xml:space="preserve">Kasichayanula 2008</w:t>
              </w:r>
            </w:hyperlink>
          </w:p>
        </w:tc>
        <w:tc>
          <w:tcPr/>
          <w:p>
            <w:pPr>
              <w:pStyle w:val="Compact"/>
              <w:jc w:val="left"/>
            </w:pPr>
            <w:r>
              <w:t xml:space="preserve">Mass balance information</w:t>
            </w:r>
          </w:p>
        </w:tc>
      </w:tr>
      <w:tr>
        <w:tc>
          <w:tcPr/>
          <w:p>
            <w:pPr>
              <w:pStyle w:val="Compact"/>
              <w:jc w:val="left"/>
            </w:pPr>
            <w:hyperlink w:anchor="Xa559bd5247f9128e74e6edcc17de37648e8cde6">
              <w:r>
                <w:rPr>
                  <w:rStyle w:val="Hyperlink"/>
                </w:rPr>
                <w:t xml:space="preserve">Kasichayanula 2011a</w:t>
              </w:r>
            </w:hyperlink>
          </w:p>
        </w:tc>
        <w:tc>
          <w:tcPr/>
          <w:p>
            <w:pPr>
              <w:pStyle w:val="Compact"/>
              <w:jc w:val="left"/>
            </w:pPr>
            <w:r>
              <w:t xml:space="preserve">Fasted, single oral dose of 10 mg</w:t>
            </w:r>
          </w:p>
        </w:tc>
      </w:tr>
      <w:tr>
        <w:tc>
          <w:tcPr/>
          <w:p>
            <w:pPr>
              <w:pStyle w:val="Compact"/>
              <w:jc w:val="left"/>
            </w:pPr>
            <w:hyperlink w:anchor="Xa559bd5247f9128e74e6edcc17de37648e8cde6">
              <w:r>
                <w:rPr>
                  <w:rStyle w:val="Hyperlink"/>
                </w:rPr>
                <w:t xml:space="preserve">Kasichayanula 2011b</w:t>
              </w:r>
            </w:hyperlink>
          </w:p>
        </w:tc>
        <w:tc>
          <w:tcPr/>
          <w:p>
            <w:pPr>
              <w:pStyle w:val="Compact"/>
              <w:jc w:val="left"/>
            </w:pPr>
            <w:r>
              <w:t xml:space="preserve">Control phases of study 1, 2 and 3</w:t>
            </w:r>
            <w:r>
              <w:t xml:space="preserve">(single oral doses of 20 mg or 50 mg)</w:t>
            </w:r>
          </w:p>
        </w:tc>
      </w:tr>
      <w:tr>
        <w:tc>
          <w:tcPr/>
          <w:p>
            <w:pPr>
              <w:pStyle w:val="Compact"/>
              <w:jc w:val="left"/>
            </w:pPr>
            <w:hyperlink w:anchor="Xa559bd5247f9128e74e6edcc17de37648e8cde6">
              <w:r>
                <w:rPr>
                  <w:rStyle w:val="Hyperlink"/>
                </w:rPr>
                <w:t xml:space="preserve">Kasichayanula 2011c</w:t>
              </w:r>
            </w:hyperlink>
          </w:p>
        </w:tc>
        <w:tc>
          <w:tcPr/>
          <w:p>
            <w:pPr>
              <w:pStyle w:val="Compact"/>
              <w:jc w:val="left"/>
            </w:pPr>
            <w:r>
              <w:t xml:space="preserve">Healthy subjects with a single oral dose of 10 mg</w:t>
            </w:r>
          </w:p>
        </w:tc>
      </w:tr>
      <w:tr>
        <w:tc>
          <w:tcPr/>
          <w:p>
            <w:pPr>
              <w:pStyle w:val="Compact"/>
              <w:jc w:val="left"/>
            </w:pPr>
            <w:hyperlink w:anchor="Xa559bd5247f9128e74e6edcc17de37648e8cde6">
              <w:r>
                <w:rPr>
                  <w:rStyle w:val="Hyperlink"/>
                </w:rPr>
                <w:t xml:space="preserve">Kasichayanula 2012</w:t>
              </w:r>
            </w:hyperlink>
          </w:p>
        </w:tc>
        <w:tc>
          <w:tcPr/>
          <w:p>
            <w:pPr>
              <w:pStyle w:val="Compact"/>
              <w:jc w:val="left"/>
            </w:pPr>
            <w:r>
              <w:t xml:space="preserve">Control phase with a single oral dose of 20 mg</w:t>
            </w:r>
          </w:p>
        </w:tc>
      </w:tr>
      <w:tr>
        <w:tc>
          <w:tcPr/>
          <w:p>
            <w:pPr>
              <w:pStyle w:val="Compact"/>
              <w:jc w:val="left"/>
            </w:pPr>
            <w:hyperlink w:anchor="Xa559bd5247f9128e74e6edcc17de37648e8cde6">
              <w:r>
                <w:rPr>
                  <w:rStyle w:val="Hyperlink"/>
                </w:rPr>
                <w:t xml:space="preserve">Kasichayanula 2013a</w:t>
              </w:r>
            </w:hyperlink>
          </w:p>
        </w:tc>
        <w:tc>
          <w:tcPr/>
          <w:p>
            <w:pPr>
              <w:pStyle w:val="Compact"/>
              <w:jc w:val="left"/>
            </w:pPr>
            <w:r>
              <w:t xml:space="preserve">Control phases of study 1 and 2</w:t>
            </w:r>
            <w:r>
              <w:t xml:space="preserve">(single oral doses of 10 mg)</w:t>
            </w:r>
          </w:p>
        </w:tc>
      </w:tr>
      <w:tr>
        <w:tc>
          <w:tcPr/>
          <w:p>
            <w:pPr>
              <w:pStyle w:val="Compact"/>
              <w:jc w:val="left"/>
            </w:pPr>
            <w:hyperlink w:anchor="Xa559bd5247f9128e74e6edcc17de37648e8cde6">
              <w:r>
                <w:rPr>
                  <w:rStyle w:val="Hyperlink"/>
                </w:rPr>
                <w:t xml:space="preserve">Kasichayanula 2013b</w:t>
              </w:r>
            </w:hyperlink>
          </w:p>
        </w:tc>
        <w:tc>
          <w:tcPr/>
          <w:p>
            <w:pPr>
              <w:pStyle w:val="Compact"/>
              <w:jc w:val="left"/>
            </w:pPr>
            <w:r>
              <w:t xml:space="preserve">Healthy subjects with normal kidney function</w:t>
            </w:r>
            <w:r>
              <w:t xml:space="preserve">with a single oral dose of 50 mg</w:t>
            </w:r>
          </w:p>
        </w:tc>
      </w:tr>
      <w:tr>
        <w:tc>
          <w:tcPr/>
          <w:p>
            <w:pPr>
              <w:pStyle w:val="Compact"/>
              <w:jc w:val="left"/>
            </w:pPr>
            <w:hyperlink w:anchor="Xa559bd5247f9128e74e6edcc17de37648e8cde6">
              <w:r>
                <w:rPr>
                  <w:rStyle w:val="Hyperlink"/>
                </w:rPr>
                <w:t xml:space="preserve">Komoroski 2009</w:t>
              </w:r>
            </w:hyperlink>
            <w:r>
              <w:t xml:space="preserve"> </w:t>
            </w:r>
            <w:r>
              <w:t xml:space="preserve">and</w:t>
            </w:r>
            <w:hyperlink w:anchor="Xa559bd5247f9128e74e6edcc17de37648e8cde6">
              <w:r>
                <w:rPr>
                  <w:rStyle w:val="Hyperlink"/>
                </w:rPr>
                <w:t xml:space="preserve">FDA Clinical Pharmacology Review for NDA 202293</w:t>
              </w:r>
            </w:hyperlink>
          </w:p>
        </w:tc>
        <w:tc>
          <w:tcPr/>
          <w:p>
            <w:pPr>
              <w:pStyle w:val="Compact"/>
              <w:jc w:val="left"/>
            </w:pPr>
            <w:r>
              <w:t xml:space="preserve">SAD (single ascending dose) 2.5 to 500 mg (fasted)</w:t>
            </w:r>
            <w:r>
              <w:t xml:space="preserve">MAD (multiple ascending dose) 2.5 to 100 mg (</w:t>
            </w:r>
            <w:r>
              <w:rPr>
                <w:bCs/>
                <w:b/>
              </w:rPr>
              <w:t xml:space="preserve">day 1 data only</w:t>
            </w:r>
            <w:r>
              <w:t xml:space="preserve">)</w:t>
            </w:r>
          </w:p>
        </w:tc>
      </w:tr>
      <w:tr>
        <w:tc>
          <w:tcPr/>
          <w:p>
            <w:pPr>
              <w:pStyle w:val="Compact"/>
              <w:jc w:val="left"/>
            </w:pPr>
            <w:hyperlink w:anchor="Xa559bd5247f9128e74e6edcc17de37648e8cde6">
              <w:r>
                <w:rPr>
                  <w:rStyle w:val="Hyperlink"/>
                </w:rPr>
                <w:t xml:space="preserve">Vakkalagadda 2016</w:t>
              </w:r>
            </w:hyperlink>
          </w:p>
        </w:tc>
        <w:tc>
          <w:tcPr/>
          <w:p>
            <w:pPr>
              <w:pStyle w:val="Compact"/>
              <w:jc w:val="left"/>
            </w:pPr>
            <w:r>
              <w:t xml:space="preserve">Dapagliflozin only (single oral dose 10 mg)</w:t>
            </w:r>
          </w:p>
        </w:tc>
      </w:tr>
    </w:tbl>
    <w:p>
      <w:pPr>
        <w:pStyle w:val="BodyText"/>
      </w:pPr>
      <w:r>
        <w:t xml:space="preserve">Kasichayanula</w:t>
      </w:r>
      <w:r>
        <w:t xml:space="preserve"> </w:t>
      </w:r>
      <w:r>
        <w:rPr>
          <w:iCs/>
          <w:i/>
        </w:rPr>
        <w:t xml:space="preserve">et al.</w:t>
      </w:r>
      <w:r>
        <w:t xml:space="preserve"> </w:t>
      </w:r>
      <w:r>
        <w:t xml:space="preserve">(</w:t>
      </w:r>
      <w:hyperlink w:anchor="Xa559bd5247f9128e74e6edcc17de37648e8cde6">
        <w:r>
          <w:rPr>
            <w:rStyle w:val="Hyperlink"/>
          </w:rPr>
          <w:t xml:space="preserve">Kasichayanula 2008</w:t>
        </w:r>
      </w:hyperlink>
      <w:r>
        <w:t xml:space="preserve">) investigated the mass balance of dapagliflozin in healthy subjects after a single oral dose of 50 mg. The following table gives an overview of the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reported</w:t>
            </w:r>
          </w:p>
        </w:tc>
        <w:tc>
          <w:tcPr/>
          <w:p>
            <w:pPr>
              <w:pStyle w:val="Compact"/>
              <w:jc w:val="left"/>
            </w:pPr>
            <w:r>
              <w:t xml:space="preserve">normalized**</w:t>
            </w:r>
          </w:p>
        </w:tc>
      </w:tr>
      <w:tr>
        <w:tc>
          <w:tcPr/>
          <w:p>
            <w:pPr>
              <w:pStyle w:val="Compact"/>
              <w:jc w:val="left"/>
            </w:pPr>
            <w:r>
              <w:t xml:space="preserve">Total recovery after 312 h</w:t>
            </w:r>
          </w:p>
        </w:tc>
        <w:tc>
          <w:tcPr/>
          <w:p>
            <w:pPr>
              <w:pStyle w:val="Compact"/>
              <w:jc w:val="left"/>
            </w:pPr>
            <w:r>
              <w:t xml:space="preserve">96.15%</w:t>
            </w:r>
          </w:p>
        </w:tc>
        <w:tc>
          <w:tcPr/>
          <w:p>
            <w:pPr>
              <w:pStyle w:val="Compact"/>
            </w:pPr>
          </w:p>
        </w:tc>
      </w:tr>
      <w:tr>
        <w:tc>
          <w:tcPr/>
          <w:p>
            <w:pPr>
              <w:pStyle w:val="Compact"/>
              <w:jc w:val="left"/>
            </w:pPr>
            <w:r>
              <w:t xml:space="preserve">Urine</w:t>
            </w:r>
          </w:p>
        </w:tc>
        <w:tc>
          <w:tcPr/>
          <w:p>
            <w:pPr>
              <w:pStyle w:val="Compact"/>
              <w:jc w:val="left"/>
            </w:pPr>
            <w:r>
              <w:t xml:space="preserve">75.16%</w:t>
            </w:r>
          </w:p>
        </w:tc>
        <w:tc>
          <w:tcPr/>
          <w:p>
            <w:pPr>
              <w:pStyle w:val="Compact"/>
            </w:pPr>
          </w:p>
        </w:tc>
      </w:tr>
      <w:tr>
        <w:tc>
          <w:tcPr/>
          <w:p>
            <w:pPr>
              <w:pStyle w:val="Compact"/>
              <w:jc w:val="left"/>
            </w:pPr>
            <w:r>
              <w:t xml:space="preserve">- unchanged</w:t>
            </w:r>
          </w:p>
        </w:tc>
        <w:tc>
          <w:tcPr/>
          <w:p>
            <w:pPr>
              <w:pStyle w:val="Compact"/>
              <w:jc w:val="left"/>
            </w:pPr>
            <w:r>
              <w:t xml:space="preserve">1.20%</w:t>
            </w:r>
          </w:p>
        </w:tc>
        <w:tc>
          <w:tcPr/>
          <w:p>
            <w:pPr>
              <w:pStyle w:val="Compact"/>
              <w:jc w:val="left"/>
            </w:pPr>
            <w:r>
              <w:t xml:space="preserve">1.23%</w:t>
            </w:r>
          </w:p>
        </w:tc>
      </w:tr>
      <w:tr>
        <w:tc>
          <w:tcPr/>
          <w:p>
            <w:pPr>
              <w:pStyle w:val="Compact"/>
              <w:jc w:val="left"/>
            </w:pPr>
            <w:r>
              <w:t xml:space="preserve">- as metabolites</w:t>
            </w:r>
          </w:p>
        </w:tc>
        <w:tc>
          <w:tcPr/>
          <w:p>
            <w:pPr>
              <w:pStyle w:val="Compact"/>
              <w:jc w:val="left"/>
            </w:pPr>
            <w:r>
              <w:t xml:space="preserve">72.00%</w:t>
            </w:r>
          </w:p>
        </w:tc>
        <w:tc>
          <w:tcPr/>
          <w:p>
            <w:pPr>
              <w:pStyle w:val="Compact"/>
              <w:jc w:val="left"/>
            </w:pPr>
            <w:r>
              <w:t xml:space="preserve">73.93%</w:t>
            </w:r>
          </w:p>
        </w:tc>
      </w:tr>
      <w:tr>
        <w:tc>
          <w:tcPr/>
          <w:p>
            <w:pPr>
              <w:pStyle w:val="Compact"/>
              <w:jc w:val="left"/>
            </w:pPr>
            <w:r>
              <w:t xml:space="preserve">Feces</w:t>
            </w:r>
          </w:p>
        </w:tc>
        <w:tc>
          <w:tcPr/>
          <w:p>
            <w:pPr>
              <w:pStyle w:val="Compact"/>
              <w:jc w:val="left"/>
            </w:pPr>
            <w:r>
              <w:t xml:space="preserve">20.99%</w:t>
            </w:r>
          </w:p>
        </w:tc>
        <w:tc>
          <w:tcPr/>
          <w:p>
            <w:pPr>
              <w:pStyle w:val="Compact"/>
            </w:pPr>
          </w:p>
        </w:tc>
      </w:tr>
      <w:tr>
        <w:tc>
          <w:tcPr/>
          <w:p>
            <w:pPr>
              <w:pStyle w:val="Compact"/>
              <w:jc w:val="left"/>
            </w:pPr>
            <w:r>
              <w:t xml:space="preserve">- unchanged</w:t>
            </w:r>
          </w:p>
        </w:tc>
        <w:tc>
          <w:tcPr/>
          <w:p>
            <w:pPr>
              <w:pStyle w:val="Compact"/>
              <w:jc w:val="left"/>
            </w:pPr>
            <w:r>
              <w:t xml:space="preserve">15.40%</w:t>
            </w:r>
          </w:p>
        </w:tc>
        <w:tc>
          <w:tcPr/>
          <w:p>
            <w:pPr>
              <w:pStyle w:val="Compact"/>
              <w:jc w:val="left"/>
            </w:pPr>
            <w:r>
              <w:t xml:space="preserve">18.90%</w:t>
            </w:r>
          </w:p>
        </w:tc>
      </w:tr>
      <w:tr>
        <w:tc>
          <w:tcPr/>
          <w:p>
            <w:pPr>
              <w:pStyle w:val="Compact"/>
              <w:jc w:val="left"/>
            </w:pPr>
            <w:r>
              <w:t xml:space="preserve">- as metabolites</w:t>
            </w:r>
          </w:p>
        </w:tc>
        <w:tc>
          <w:tcPr/>
          <w:p>
            <w:pPr>
              <w:pStyle w:val="Compact"/>
              <w:jc w:val="left"/>
            </w:pPr>
            <w:r>
              <w:t xml:space="preserve">1.70%</w:t>
            </w:r>
          </w:p>
        </w:tc>
        <w:tc>
          <w:tcPr/>
          <w:p>
            <w:pPr>
              <w:pStyle w:val="Compact"/>
              <w:jc w:val="left"/>
            </w:pPr>
            <w:r>
              <w:t xml:space="preserve">2.09%</w:t>
            </w:r>
          </w:p>
        </w:tc>
      </w:tr>
    </w:tbl>
    <w:p>
      <w:pPr>
        <w:pStyle w:val="BodyText"/>
      </w:pPr>
      <w:r>
        <w:t xml:space="preserve">** to sum up to total excretion of urine and feces, respectively.</w:t>
      </w:r>
    </w:p>
    <w:p>
      <w:pPr>
        <w:pStyle w:val="BodyText"/>
      </w:pPr>
      <w:r>
        <w:t xml:space="preserve">The metabolic pattern was determined as shown in the following table.</w:t>
      </w:r>
    </w:p>
    <w:tbl>
      <w:tblPr>
        <w:tblStyle w:val="Table"/>
        <w:tblW w:type="pct" w:w="5000"/>
        <w:tblLook w:firstRow="1" w:lastRow="0" w:firstColumn="0" w:lastColumn="0" w:noHBand="0" w:noVBand="0" w:val="0020"/>
        <w:jc w:val="start"/>
      </w:tblPr>
      <w:tblGrid>
        <w:gridCol w:w="2410"/>
        <w:gridCol w:w="550"/>
        <w:gridCol w:w="826"/>
        <w:gridCol w:w="4132"/>
      </w:tblGrid>
      <w:tr>
        <w:trPr>
          <w:tblHeader w:val="true"/>
        </w:trPr>
        <w:tc>
          <w:tcPr/>
          <w:p>
            <w:pPr>
              <w:pStyle w:val="Compact"/>
              <w:jc w:val="left"/>
            </w:pPr>
            <w:r>
              <w:t xml:space="preserve">Output</w:t>
            </w:r>
          </w:p>
        </w:tc>
        <w:tc>
          <w:tcPr/>
          <w:p>
            <w:pPr>
              <w:pStyle w:val="Compact"/>
              <w:jc w:val="left"/>
            </w:pPr>
            <w:r>
              <w:t xml:space="preserve">reported</w:t>
            </w:r>
          </w:p>
        </w:tc>
        <w:tc>
          <w:tcPr/>
          <w:p>
            <w:pPr>
              <w:pStyle w:val="Compact"/>
              <w:jc w:val="left"/>
            </w:pPr>
            <w:r>
              <w:t xml:space="preserve">normalized**</w:t>
            </w:r>
          </w:p>
        </w:tc>
        <w:tc>
          <w:tcPr/>
          <w:p>
            <w:pPr>
              <w:pStyle w:val="Compact"/>
              <w:jc w:val="left"/>
            </w:pPr>
            <w:r>
              <w:t xml:space="preserve">add fraction excretion to feces of unchanged dapagliflozin to glucuronides***</w:t>
            </w:r>
          </w:p>
        </w:tc>
      </w:tr>
      <w:tr>
        <w:tc>
          <w:tcPr/>
          <w:p>
            <w:pPr>
              <w:pStyle w:val="Compact"/>
              <w:jc w:val="left"/>
            </w:pPr>
            <w:r>
              <w:t xml:space="preserve">Dapagliflozin-3-O-glucuronide</w:t>
            </w:r>
          </w:p>
        </w:tc>
        <w:tc>
          <w:tcPr/>
          <w:p>
            <w:pPr>
              <w:pStyle w:val="Compact"/>
              <w:jc w:val="left"/>
            </w:pPr>
            <w:r>
              <w:t xml:space="preserve">60.70%</w:t>
            </w:r>
          </w:p>
        </w:tc>
        <w:tc>
          <w:tcPr/>
          <w:p>
            <w:pPr>
              <w:pStyle w:val="Compact"/>
              <w:jc w:val="left"/>
            </w:pPr>
            <w:r>
              <w:t xml:space="preserve">61.44%</w:t>
            </w:r>
          </w:p>
        </w:tc>
        <w:tc>
          <w:tcPr/>
          <w:p>
            <w:pPr>
              <w:pStyle w:val="Compact"/>
              <w:jc w:val="left"/>
            </w:pPr>
            <w:r>
              <w:t xml:space="preserve">78.80%</w:t>
            </w:r>
          </w:p>
        </w:tc>
      </w:tr>
      <w:tr>
        <w:tc>
          <w:tcPr/>
          <w:p>
            <w:pPr>
              <w:pStyle w:val="Compact"/>
              <w:jc w:val="left"/>
            </w:pPr>
            <w:r>
              <w:t xml:space="preserve">Dapagliflozin-2-O-glucuronide</w:t>
            </w:r>
          </w:p>
        </w:tc>
        <w:tc>
          <w:tcPr/>
          <w:p>
            <w:pPr>
              <w:pStyle w:val="Compact"/>
              <w:jc w:val="left"/>
            </w:pPr>
            <w:r>
              <w:t xml:space="preserve">5.40%</w:t>
            </w:r>
          </w:p>
        </w:tc>
        <w:tc>
          <w:tcPr/>
          <w:p>
            <w:pPr>
              <w:pStyle w:val="Compact"/>
              <w:jc w:val="left"/>
            </w:pPr>
            <w:r>
              <w:t xml:space="preserve">5.47%</w:t>
            </w:r>
          </w:p>
        </w:tc>
        <w:tc>
          <w:tcPr/>
          <w:p>
            <w:pPr>
              <w:pStyle w:val="Compact"/>
              <w:jc w:val="left"/>
            </w:pPr>
            <w:r>
              <w:t xml:space="preserve">7.01%</w:t>
            </w:r>
          </w:p>
        </w:tc>
      </w:tr>
      <w:tr>
        <w:tc>
          <w:tcPr/>
          <w:p>
            <w:pPr>
              <w:pStyle w:val="Compact"/>
              <w:jc w:val="left"/>
            </w:pPr>
            <w:r>
              <w:t xml:space="preserve">Dapagliflozin oxidative metabolites</w:t>
            </w:r>
          </w:p>
        </w:tc>
        <w:tc>
          <w:tcPr/>
          <w:p>
            <w:pPr>
              <w:pStyle w:val="Compact"/>
              <w:jc w:val="left"/>
            </w:pPr>
            <w:r>
              <w:t xml:space="preserve">9.00%</w:t>
            </w:r>
          </w:p>
        </w:tc>
        <w:tc>
          <w:tcPr/>
          <w:p>
            <w:pPr>
              <w:pStyle w:val="Compact"/>
              <w:jc w:val="left"/>
            </w:pPr>
            <w:r>
              <w:t xml:space="preserve">9.11%</w:t>
            </w:r>
          </w:p>
        </w:tc>
        <w:tc>
          <w:tcPr/>
          <w:p>
            <w:pPr>
              <w:pStyle w:val="Compact"/>
              <w:jc w:val="left"/>
            </w:pPr>
            <w:r>
              <w:t xml:space="preserve">9.11%</w:t>
            </w:r>
          </w:p>
        </w:tc>
      </w:tr>
      <w:tr>
        <w:tc>
          <w:tcPr/>
          <w:p>
            <w:pPr>
              <w:pStyle w:val="Compact"/>
              <w:jc w:val="left"/>
            </w:pPr>
            <w:r>
              <w:rPr>
                <w:bCs/>
                <w:b/>
              </w:rPr>
              <w:t xml:space="preserve">SUM</w:t>
            </w:r>
          </w:p>
        </w:tc>
        <w:tc>
          <w:tcPr/>
          <w:p>
            <w:pPr>
              <w:pStyle w:val="Compact"/>
            </w:pPr>
          </w:p>
        </w:tc>
        <w:tc>
          <w:tcPr/>
          <w:p>
            <w:pPr>
              <w:pStyle w:val="Compact"/>
              <w:jc w:val="left"/>
            </w:pPr>
            <w:r>
              <w:rPr>
                <w:bCs/>
                <w:b/>
              </w:rPr>
              <w:t xml:space="preserve">76.01%</w:t>
            </w:r>
          </w:p>
        </w:tc>
        <w:tc>
          <w:tcPr/>
          <w:p>
            <w:pPr>
              <w:pStyle w:val="Compact"/>
              <w:jc w:val="left"/>
            </w:pPr>
            <w:r>
              <w:rPr>
                <w:bCs/>
                <w:b/>
              </w:rPr>
              <w:t xml:space="preserve">94.92%</w:t>
            </w:r>
          </w:p>
        </w:tc>
      </w:tr>
    </w:tbl>
    <w:p>
      <w:pPr>
        <w:pStyle w:val="BodyText"/>
      </w:pPr>
      <w:r>
        <w:t xml:space="preserve">** to sum up to the values of metabolic quantifications from the table above (73.93% + 2.09%)</w:t>
      </w:r>
    </w:p>
    <w:p>
      <w:pPr>
        <w:pStyle w:val="BodyText"/>
      </w:pPr>
      <w:r>
        <w:t xml:space="preserve">*** The fraction excretion to feces of unchanged dapagliflozin of 18.90% (see above) was added and distributed proportionally to dapagliflozin-3-O-glucuronide and dapagliflozin-2-O-glucuronide under the assumption that the measured fraction of unchanged dapagliflozin resulted from originally glucuronidated metabolites that underwent biliary excretion and subsequent degradation to dapagliflozin by bacterial glucuronidases in feces.</w:t>
      </w:r>
    </w:p>
    <w:p>
      <w:pPr>
        <w:pStyle w:val="BodyText"/>
      </w:pPr>
      <w:r>
        <w:t xml:space="preserve">The following table shows the final mass balance data used for model building under the assumption of that unchanged dapagliflozin molecules in feces were originally glucuronides. Please refer to</w:t>
      </w:r>
      <w:r>
        <w:t xml:space="preserve"> </w:t>
      </w:r>
      <w:hyperlink w:anchor="X920e58f6eb345d17092abc826058b6950015cf7">
        <w:r>
          <w:rPr>
            <w:rStyle w:val="Hyperlink"/>
          </w:rPr>
          <w:t xml:space="preserve">Section 2.3</w:t>
        </w:r>
      </w:hyperlink>
      <w:r>
        <w:t xml:space="preserve"> </w:t>
      </w:r>
      <w:r>
        <w:t xml:space="preserve">for rationale.</w:t>
      </w:r>
    </w:p>
    <w:tbl>
      <w:tblPr>
        <w:tblStyle w:val="Table"/>
        <w:tblW w:type="pct" w:w="5000"/>
        <w:tblLook w:firstRow="1" w:lastRow="0" w:firstColumn="0" w:lastColumn="0" w:noHBand="0" w:noVBand="0" w:val="0020"/>
        <w:jc w:val="start"/>
      </w:tblPr>
      <w:tblGrid>
        <w:gridCol w:w="6788"/>
        <w:gridCol w:w="1131"/>
      </w:tblGrid>
      <w:tr>
        <w:trPr>
          <w:tblHeader w:val="true"/>
        </w:trPr>
        <w:tc>
          <w:tcPr/>
          <w:p>
            <w:pPr>
              <w:pStyle w:val="Compact"/>
              <w:jc w:val="left"/>
            </w:pPr>
            <w:r>
              <w:t xml:space="preserve">Observer</w:t>
            </w:r>
          </w:p>
        </w:tc>
        <w:tc>
          <w:tcPr/>
          <w:p>
            <w:pPr>
              <w:pStyle w:val="Compact"/>
              <w:jc w:val="left"/>
            </w:pPr>
            <w:r>
              <w:t xml:space="preserve">Value</w:t>
            </w:r>
          </w:p>
        </w:tc>
      </w:tr>
      <w:tr>
        <w:tc>
          <w:tcPr/>
          <w:p>
            <w:pPr>
              <w:pStyle w:val="Compact"/>
              <w:jc w:val="left"/>
            </w:pPr>
            <w:r>
              <w:t xml:space="preserve">Fraction excreted to urine of unchanged dapagliflozin</w:t>
            </w:r>
          </w:p>
        </w:tc>
        <w:tc>
          <w:tcPr/>
          <w:p>
            <w:pPr>
              <w:pStyle w:val="Compact"/>
              <w:jc w:val="left"/>
            </w:pPr>
            <w:r>
              <w:t xml:space="preserve">1.23%</w:t>
            </w:r>
          </w:p>
        </w:tc>
      </w:tr>
      <w:tr>
        <w:tc>
          <w:tcPr/>
          <w:p>
            <w:pPr>
              <w:pStyle w:val="Compact"/>
              <w:jc w:val="left"/>
            </w:pPr>
            <w:r>
              <w:t xml:space="preserve">Fraction metabolized UGT1A9 (to dapagliflozin-3-O-glucuronide)</w:t>
            </w:r>
          </w:p>
        </w:tc>
        <w:tc>
          <w:tcPr/>
          <w:p>
            <w:pPr>
              <w:pStyle w:val="Compact"/>
              <w:jc w:val="left"/>
            </w:pPr>
            <w:r>
              <w:t xml:space="preserve">78.80%</w:t>
            </w:r>
          </w:p>
        </w:tc>
      </w:tr>
      <w:tr>
        <w:tc>
          <w:tcPr/>
          <w:p>
            <w:pPr>
              <w:pStyle w:val="Compact"/>
              <w:jc w:val="left"/>
            </w:pPr>
            <w:r>
              <w:t xml:space="preserve">Fraction metabolized UGT2B7 (to dapagliflozin-2-O-glucuronide)</w:t>
            </w:r>
          </w:p>
        </w:tc>
        <w:tc>
          <w:tcPr/>
          <w:p>
            <w:pPr>
              <w:pStyle w:val="Compact"/>
              <w:jc w:val="left"/>
            </w:pPr>
            <w:r>
              <w:t xml:space="preserve">7.01%</w:t>
            </w:r>
          </w:p>
        </w:tc>
      </w:tr>
      <w:tr>
        <w:tc>
          <w:tcPr/>
          <w:p>
            <w:pPr>
              <w:pStyle w:val="Compact"/>
              <w:jc w:val="left"/>
            </w:pPr>
            <w:r>
              <w:t xml:space="preserve">Fraction metabolized to oxidative metabolites</w:t>
            </w:r>
          </w:p>
        </w:tc>
        <w:tc>
          <w:tcPr/>
          <w:p>
            <w:pPr>
              <w:pStyle w:val="Compact"/>
              <w:jc w:val="left"/>
            </w:pPr>
            <w:r>
              <w:t xml:space="preserve">9.11%</w:t>
            </w:r>
          </w:p>
        </w:tc>
      </w:tr>
      <w:tr>
        <w:tc>
          <w:tcPr/>
          <w:p>
            <w:pPr>
              <w:pStyle w:val="Compact"/>
              <w:jc w:val="left"/>
            </w:pPr>
            <w:r>
              <w:rPr>
                <w:bCs/>
                <w:b/>
              </w:rPr>
              <w:t xml:space="preserve">SUM</w:t>
            </w:r>
          </w:p>
        </w:tc>
        <w:tc>
          <w:tcPr/>
          <w:p>
            <w:pPr>
              <w:pStyle w:val="Compact"/>
              <w:jc w:val="left"/>
            </w:pPr>
            <w:r>
              <w:rPr>
                <w:bCs/>
                <w:b/>
              </w:rPr>
              <w:t xml:space="preserve">96.15%</w:t>
            </w:r>
          </w:p>
        </w:tc>
      </w:tr>
    </w:tbl>
    <w:bookmarkEnd w:id="23"/>
    <w:bookmarkStart w:id="24" w:name="model-verification"/>
    <w:p>
      <w:pPr>
        <w:pStyle w:val="Heading4"/>
      </w:pPr>
      <w:r>
        <w:t xml:space="preserve">2.2.2.2 Model Verification</w:t>
      </w:r>
    </w:p>
    <w:p>
      <w:pPr>
        <w:pStyle w:val="FirstParagraph"/>
      </w:pPr>
      <w:r>
        <w:t xml:space="preserve">The following studies were used for model verification: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Publication</w:t>
            </w:r>
          </w:p>
        </w:tc>
        <w:tc>
          <w:tcPr/>
          <w:p>
            <w:pPr>
              <w:pStyle w:val="Compact"/>
              <w:jc w:val="left"/>
            </w:pPr>
            <w:r>
              <w:t xml:space="preserve">Arm / Treatment / Information used for model verification</w:t>
            </w:r>
          </w:p>
        </w:tc>
      </w:tr>
      <w:tr>
        <w:tc>
          <w:tcPr/>
          <w:p>
            <w:pPr>
              <w:pStyle w:val="Compact"/>
              <w:jc w:val="left"/>
            </w:pPr>
            <w:hyperlink w:anchor="Xa559bd5247f9128e74e6edcc17de37648e8cde6">
              <w:r>
                <w:rPr>
                  <w:rStyle w:val="Hyperlink"/>
                </w:rPr>
                <w:t xml:space="preserve">Chang 2015</w:t>
              </w:r>
            </w:hyperlink>
          </w:p>
        </w:tc>
        <w:tc>
          <w:tcPr/>
          <w:p>
            <w:pPr>
              <w:pStyle w:val="Compact"/>
              <w:jc w:val="left"/>
            </w:pPr>
            <w:r>
              <w:t xml:space="preserve">Study 1 Treatment A (single oral dose of 5 mg as IC (individual component) tablet) and</w:t>
            </w:r>
            <w:r>
              <w:t xml:space="preserve"> </w:t>
            </w:r>
            <w:r>
              <w:t xml:space="preserve">Study 2 Treatment A (single oral dose of 10 mg as IC tablet)</w:t>
            </w:r>
          </w:p>
        </w:tc>
      </w:tr>
      <w:tr>
        <w:tc>
          <w:tcPr/>
          <w:p>
            <w:pPr>
              <w:pStyle w:val="Compact"/>
              <w:jc w:val="left"/>
            </w:pPr>
            <w:hyperlink w:anchor="Xa559bd5247f9128e74e6edcc17de37648e8cde6">
              <w:r>
                <w:rPr>
                  <w:rStyle w:val="Hyperlink"/>
                </w:rPr>
                <w:t xml:space="preserve">Komoroski 2009</w:t>
              </w:r>
            </w:hyperlink>
            <w:r>
              <w:t xml:space="preserve"> </w:t>
            </w:r>
            <w:r>
              <w:t xml:space="preserve">and</w:t>
            </w:r>
            <w:hyperlink w:anchor="Xa559bd5247f9128e74e6edcc17de37648e8cde6">
              <w:r>
                <w:rPr>
                  <w:rStyle w:val="Hyperlink"/>
                </w:rPr>
                <w:t xml:space="preserve">FDA Clinical Pharmacology Review for NDA 202293</w:t>
              </w:r>
            </w:hyperlink>
          </w:p>
        </w:tc>
        <w:tc>
          <w:tcPr/>
          <w:p>
            <w:pPr>
              <w:pStyle w:val="Compact"/>
              <w:jc w:val="left"/>
            </w:pPr>
            <w:r>
              <w:t xml:space="preserve">MAD (multiple ascending dose) 2.5 to 100 mg (day 7 and 14)</w:t>
            </w:r>
          </w:p>
        </w:tc>
      </w:tr>
      <w:tr>
        <w:tc>
          <w:tcPr/>
          <w:p>
            <w:pPr>
              <w:pStyle w:val="Compact"/>
              <w:jc w:val="left"/>
            </w:pPr>
            <w:hyperlink w:anchor="Xa559bd5247f9128e74e6edcc17de37648e8cde6">
              <w:r>
                <w:rPr>
                  <w:rStyle w:val="Hyperlink"/>
                </w:rPr>
                <w:t xml:space="preserve">Komoroski 2009</w:t>
              </w:r>
            </w:hyperlink>
          </w:p>
        </w:tc>
        <w:tc>
          <w:tcPr/>
          <w:p>
            <w:pPr>
              <w:pStyle w:val="Compact"/>
              <w:jc w:val="left"/>
            </w:pPr>
            <w:r>
              <w:t xml:space="preserve">Single oral dose 250 mg (fed)</w:t>
            </w:r>
          </w:p>
        </w:tc>
      </w:tr>
    </w:tbl>
    <w:bookmarkEnd w:id="24"/>
    <w:bookmarkEnd w:id="25"/>
    <w:bookmarkEnd w:id="26"/>
    <w:bookmarkStart w:id="31"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7" w:name="absorption"/>
    <w:p>
      <w:pPr>
        <w:pStyle w:val="Heading3"/>
      </w:pPr>
      <w:r>
        <w:t xml:space="preserve">2.3.1 Absorption</w:t>
      </w:r>
    </w:p>
    <w:p>
      <w:pPr>
        <w:pStyle w:val="FirstParagraph"/>
      </w:pPr>
      <w:r>
        <w:t xml:space="preserve">Studies including oral applications of dapagliflozin used for model building applied either a capsule or immediate release tablets. They all demonstrated rapid and extensive absorption. The availability of dense data during absorption, data covering a broad range of doses (from 2.5 up to 500 mg), and intravenous pharmacokinetic data (</w:t>
      </w:r>
      <w:hyperlink w:anchor="Xa559bd5247f9128e74e6edcc17de37648e8cde6">
        <w:r>
          <w:rPr>
            <w:rStyle w:val="Hyperlink"/>
          </w:rPr>
          <w:t xml:space="preserve">Boulton 2013</w:t>
        </w:r>
      </w:hyperlink>
      <w:r>
        <w:t xml:space="preserve">) allowed the identification of the</w:t>
      </w:r>
      <w:r>
        <w:t xml:space="preserve"> </w:t>
      </w:r>
      <w:r>
        <w:rPr>
          <w:iCs/>
          <w:i/>
        </w:rPr>
        <w:t xml:space="preserve">in vivo</w:t>
      </w:r>
      <w:r>
        <w:t xml:space="preserve"> </w:t>
      </w:r>
      <w:r>
        <w:t xml:space="preserve">intestinal permeability and an effective</w:t>
      </w:r>
      <w:r>
        <w:t xml:space="preserve"> </w:t>
      </w:r>
      <w:r>
        <w:rPr>
          <w:iCs/>
          <w:i/>
        </w:rPr>
        <w:t xml:space="preserve">in vivo</w:t>
      </w:r>
      <w:r>
        <w:t xml:space="preserve"> </w:t>
      </w:r>
      <w:r>
        <w:t xml:space="preserve">solubility in this PBPK model (see also</w:t>
      </w:r>
      <w:r>
        <w:t xml:space="preserve"> </w:t>
      </w:r>
      <w:hyperlink w:anchor="X2a13133295efba879d59b4ecc1b6a15b8871330">
        <w:r>
          <w:rPr>
            <w:rStyle w:val="Hyperlink"/>
          </w:rPr>
          <w:t xml:space="preserve">Section 2.3.4</w:t>
        </w:r>
      </w:hyperlink>
      <w:r>
        <w:t xml:space="preserve">).</w:t>
      </w:r>
    </w:p>
    <w:p>
      <w:pPr>
        <w:pStyle w:val="BodyText"/>
      </w:pPr>
      <w:r>
        <w:t xml:space="preserve">During model building, two different</w:t>
      </w:r>
      <w:r>
        <w:t xml:space="preserve"> </w:t>
      </w:r>
      <w:r>
        <w:t xml:space="preserve">“</w:t>
      </w:r>
      <w:r>
        <w:t xml:space="preserve">data scenarios</w:t>
      </w:r>
      <w:r>
        <w:t xml:space="preserve">”</w:t>
      </w:r>
      <w:r>
        <w:t xml:space="preserve"> </w:t>
      </w:r>
      <w:r>
        <w:t xml:space="preserve">regarding mass balance information were tested:</w:t>
      </w:r>
    </w:p>
    <w:p>
      <w:pPr>
        <w:pStyle w:val="BodyText"/>
      </w:pPr>
      <w:r>
        <w:rPr>
          <w:bCs/>
          <w:b/>
        </w:rPr>
        <w:t xml:space="preserve">Scenario 1</w:t>
      </w:r>
      <w:r>
        <w:t xml:space="preserve">: The measured fraction excreted to feces as unchanged drug of approx. 19% resulted from incomplete absorption (assuming f</w:t>
      </w:r>
      <w:r>
        <w:rPr>
          <w:vertAlign w:val="subscript"/>
        </w:rPr>
        <w:t xml:space="preserve">a</w:t>
      </w:r>
      <w:r>
        <w:t xml:space="preserve"> </w:t>
      </w:r>
      <w:r>
        <w:t xml:space="preserve">~ 0.81).</w:t>
      </w:r>
    </w:p>
    <w:p>
      <w:pPr>
        <w:pStyle w:val="BodyText"/>
      </w:pPr>
      <w:r>
        <w:rPr>
          <w:bCs/>
          <w:b/>
        </w:rPr>
        <w:t xml:space="preserve">Scenario 2</w:t>
      </w:r>
      <w:r>
        <w:t xml:space="preserve">: The measured fraction excretion to feces of unchanged dapagliflozin resulted from originally glucuronidated metabolites that underwent biliary excretion and subsequent degradation to dapagliflozin by bacterial glucuronidases in feces (assuming f</w:t>
      </w:r>
      <w:r>
        <w:rPr>
          <w:vertAlign w:val="subscript"/>
        </w:rPr>
        <w:t xml:space="preserve">a</w:t>
      </w:r>
      <w:r>
        <w:t xml:space="preserve"> </w:t>
      </w:r>
      <w:r>
        <w:t xml:space="preserve">~ 1). The cleavage of hepatobiliary secreted glucuronides to the aglycone (e.g. parent drug) by beta-glucuronidases in the colon was reported previously (</w:t>
      </w:r>
      <w:hyperlink w:anchor="Xa559bd5247f9128e74e6edcc17de37648e8cde6">
        <w:r>
          <w:rPr>
            <w:rStyle w:val="Hyperlink"/>
          </w:rPr>
          <w:t xml:space="preserve">Blaut 2013</w:t>
        </w:r>
      </w:hyperlink>
      <w:r>
        <w:t xml:space="preserve">,</w:t>
      </w:r>
      <w:r>
        <w:t xml:space="preserve"> </w:t>
      </w:r>
      <w:hyperlink w:anchor="Xa559bd5247f9128e74e6edcc17de37648e8cde6">
        <w:r>
          <w:rPr>
            <w:rStyle w:val="Hyperlink"/>
          </w:rPr>
          <w:t xml:space="preserve">Molly 1993</w:t>
        </w:r>
      </w:hyperlink>
      <w:r>
        <w:t xml:space="preserve">,</w:t>
      </w:r>
      <w:r>
        <w:t xml:space="preserve"> </w:t>
      </w:r>
      <w:hyperlink w:anchor="Xa559bd5247f9128e74e6edcc17de37648e8cde6">
        <w:r>
          <w:rPr>
            <w:rStyle w:val="Hyperlink"/>
          </w:rPr>
          <w:t xml:space="preserve">Possemiers 2004</w:t>
        </w:r>
      </w:hyperlink>
      <w:r>
        <w:t xml:space="preserve">,</w:t>
      </w:r>
      <w:r>
        <w:t xml:space="preserve"> </w:t>
      </w:r>
      <w:hyperlink w:anchor="Xa559bd5247f9128e74e6edcc17de37648e8cde6">
        <w:r>
          <w:rPr>
            <w:rStyle w:val="Hyperlink"/>
          </w:rPr>
          <w:t xml:space="preserve">Sakamoto 2002</w:t>
        </w:r>
      </w:hyperlink>
      <w:r>
        <w:t xml:space="preserve">).</w:t>
      </w:r>
    </w:p>
    <w:p>
      <w:pPr>
        <w:pStyle w:val="BodyText"/>
      </w:pPr>
      <w:r>
        <w:t xml:space="preserve">Scenario 1 did not allow to find a good description of the pharmacokinetic data. Thus, scenario 2 was used during further model building. Note that this increased the fraction metabolized via UGT1A9 and UGT2B7.</w:t>
      </w:r>
    </w:p>
    <w:p>
      <w:pPr>
        <w:pStyle w:val="BodyText"/>
      </w:pPr>
      <w:r>
        <w:t xml:space="preserve">The dissolution of the tablets from Chang</w:t>
      </w:r>
      <w:r>
        <w:t xml:space="preserve"> </w:t>
      </w:r>
      <w:r>
        <w:rPr>
          <w:iCs/>
          <w:i/>
        </w:rPr>
        <w:t xml:space="preserve">et al.</w:t>
      </w:r>
      <w:r>
        <w:t xml:space="preserve"> </w:t>
      </w:r>
      <w:r>
        <w:t xml:space="preserve">(</w:t>
      </w:r>
      <w:hyperlink w:anchor="Xa559bd5247f9128e74e6edcc17de37648e8cde6">
        <w:r>
          <w:rPr>
            <w:rStyle w:val="Hyperlink"/>
          </w:rPr>
          <w:t xml:space="preserve">Chang 2015</w:t>
        </w:r>
      </w:hyperlink>
      <w:r>
        <w:t xml:space="preserve">) - referenced as individual component (IC) tablets - were implemented via an empirical Weibull dissolution tablet. The respective parameters were identified via manual sensitivity analysis.</w:t>
      </w:r>
    </w:p>
    <w:bookmarkEnd w:id="27"/>
    <w:bookmarkStart w:id="28" w:name="distribution"/>
    <w:p>
      <w:pPr>
        <w:pStyle w:val="Heading3"/>
      </w:pPr>
      <w:r>
        <w:t xml:space="preserve">2.3.2 Distribution</w:t>
      </w:r>
    </w:p>
    <w:p>
      <w:pPr>
        <w:pStyle w:val="FirstParagraph"/>
      </w:pPr>
      <w:r>
        <w:t xml:space="preserve">Dapagliflozin is moderately protein bound (91 %) in plasma (</w:t>
      </w:r>
      <w:hyperlink w:anchor="Xa559bd5247f9128e74e6edcc17de37648e8cde6">
        <w:r>
          <w:rPr>
            <w:rStyle w:val="Hyperlink"/>
          </w:rPr>
          <w:t xml:space="preserve">Kasichayanula 2014</w:t>
        </w:r>
      </w:hyperlink>
      <w:r>
        <w:t xml:space="preserve">). This value was used in this PBPK model. It was assumed that the major binding partner is albumin.</w:t>
      </w:r>
    </w:p>
    <w:p>
      <w:pPr>
        <w:pStyle w:val="BodyText"/>
      </w:pPr>
      <w:r>
        <w:t xml:space="preserve">An important parameter influencing the resulting volume of distribution is lipophilicty. The reported experimental logP value of 2.7 (</w:t>
      </w:r>
      <w:hyperlink w:anchor="Xa559bd5247f9128e74e6edcc17de37648e8cde6">
        <w:r>
          <w:rPr>
            <w:rStyle w:val="Hyperlink"/>
          </w:rPr>
          <w:t xml:space="preserve">DrugBank DB06292</w:t>
        </w:r>
      </w:hyperlink>
      <w:r>
        <w:t xml:space="preserve">) served as a starting value. Finally, the model parameters</w:t>
      </w:r>
      <w:r>
        <w:t xml:space="preserve"> </w:t>
      </w:r>
      <w:r>
        <w:rPr>
          <w:rStyle w:val="VerbatimChar"/>
        </w:rPr>
        <w:t xml:space="preserve">Lipophilicity</w:t>
      </w:r>
      <w:r>
        <w:t xml:space="preserve"> </w:t>
      </w:r>
      <w:r>
        <w:t xml:space="preserve">and</w:t>
      </w:r>
      <w:r>
        <w:t xml:space="preserve"> </w:t>
      </w:r>
      <w:r>
        <w:rPr>
          <w:rStyle w:val="VerbatimChar"/>
        </w:rPr>
        <w:t xml:space="preserve">logP (veg.oil/water)</w:t>
      </w:r>
      <w:r>
        <w:t xml:space="preserve"> </w:t>
      </w:r>
      <w:r>
        <w:t xml:space="preserve">were optimized to match best clinical data (see also</w:t>
      </w:r>
      <w:r>
        <w:t xml:space="preserve"> </w:t>
      </w:r>
      <w:hyperlink w:anchor="X2a13133295efba879d59b4ecc1b6a15b8871330">
        <w:r>
          <w:rPr>
            <w:rStyle w:val="Hyperlink"/>
          </w:rPr>
          <w:t xml:space="preserve">Section 2.3.4</w:t>
        </w:r>
      </w:hyperlink>
      <w:r>
        <w:t xml:space="preserve">).</w:t>
      </w:r>
    </w:p>
    <w:p>
      <w:pPr>
        <w:pStyle w:val="BodyText"/>
      </w:pPr>
      <w:r>
        <w:t xml:space="preserve">After testing the available organ-plasma partition coefficient and cell permeability calculation methods built in PK-Sim, observed clinical data was best described by choosing the partition coefficient calculation by</w:t>
      </w:r>
      <w:r>
        <w:t xml:space="preserve"> </w:t>
      </w:r>
      <w:r>
        <w:rPr>
          <w:rStyle w:val="VerbatimChar"/>
        </w:rPr>
        <w:t xml:space="preserve">Rodgers and Rowland</w:t>
      </w:r>
      <w:r>
        <w:t xml:space="preserve"> </w:t>
      </w:r>
      <w:r>
        <w:t xml:space="preserve">and cellular permeability calculation by</w:t>
      </w:r>
      <w:r>
        <w:t xml:space="preserve"> </w:t>
      </w:r>
      <w:r>
        <w:rPr>
          <w:rStyle w:val="VerbatimChar"/>
        </w:rPr>
        <w:t xml:space="preserve">PK-Sim Standard</w:t>
      </w:r>
      <w:r>
        <w:t xml:space="preserve">. The specific organ permeability was also optimized to match best clinical data (see also</w:t>
      </w:r>
      <w:r>
        <w:t xml:space="preserve"> </w:t>
      </w:r>
      <w:hyperlink w:anchor="X2a13133295efba879d59b4ecc1b6a15b8871330">
        <w:r>
          <w:rPr>
            <w:rStyle w:val="Hyperlink"/>
          </w:rPr>
          <w:t xml:space="preserve">Section 2.3.4</w:t>
        </w:r>
      </w:hyperlink>
      <w:r>
        <w:t xml:space="preserve">).</w:t>
      </w:r>
    </w:p>
    <w:p>
      <w:pPr>
        <w:pStyle w:val="BodyText"/>
      </w:pPr>
      <w:r>
        <w:t xml:space="preserve">The reported blood to plasma ratio of 0.88 (</w:t>
      </w:r>
      <w:hyperlink w:anchor="Xa559bd5247f9128e74e6edcc17de37648e8cde6">
        <w:r>
          <w:rPr>
            <w:rStyle w:val="Hyperlink"/>
          </w:rPr>
          <w:t xml:space="preserve">Obermeier 2009</w:t>
        </w:r>
      </w:hyperlink>
      <w:r>
        <w:t xml:space="preserve">) was fixed in the model.</w:t>
      </w:r>
    </w:p>
    <w:bookmarkEnd w:id="28"/>
    <w:bookmarkStart w:id="29" w:name="metabolism-and-elimination"/>
    <w:p>
      <w:pPr>
        <w:pStyle w:val="Heading3"/>
      </w:pPr>
      <w:r>
        <w:t xml:space="preserve">2.3.3 Metabolism and Elimination</w:t>
      </w:r>
    </w:p>
    <w:p>
      <w:pPr>
        <w:pStyle w:val="FirstParagraph"/>
      </w:pPr>
      <w:r>
        <w:t xml:space="preserve">As previously described in</w:t>
      </w:r>
      <w:r>
        <w:t xml:space="preserve"> </w:t>
      </w:r>
      <w:hyperlink w:anchor="X7ecbd1fd734a207de60ff9705c88346a68b0398">
        <w:r>
          <w:rPr>
            <w:rStyle w:val="Hyperlink"/>
          </w:rPr>
          <w:t xml:space="preserve">Section 2.2.2</w:t>
        </w:r>
      </w:hyperlink>
      <w:r>
        <w:t xml:space="preserve">, mass balance data (</w:t>
      </w:r>
      <w:hyperlink w:anchor="Xa559bd5247f9128e74e6edcc17de37648e8cde6">
        <w:r>
          <w:rPr>
            <w:rStyle w:val="Hyperlink"/>
          </w:rPr>
          <w:t xml:space="preserve">Kasichayanula 2008</w:t>
        </w:r>
      </w:hyperlink>
      <w:r>
        <w:t xml:space="preserve">,</w:t>
      </w:r>
      <w:r>
        <w:t xml:space="preserve"> </w:t>
      </w:r>
      <w:hyperlink w:anchor="Xa559bd5247f9128e74e6edcc17de37648e8cde6">
        <w:r>
          <w:rPr>
            <w:rStyle w:val="Hyperlink"/>
          </w:rPr>
          <w:t xml:space="preserve">Obermeier 2009</w:t>
        </w:r>
      </w:hyperlink>
      <w:r>
        <w:t xml:space="preserve">,</w:t>
      </w:r>
      <w:r>
        <w:t xml:space="preserve"> </w:t>
      </w:r>
      <w:hyperlink w:anchor="Xa559bd5247f9128e74e6edcc17de37648e8cde6">
        <w:r>
          <w:rPr>
            <w:rStyle w:val="Hyperlink"/>
          </w:rPr>
          <w:t xml:space="preserve">Kasichayanula 2014</w:t>
        </w:r>
      </w:hyperlink>
      <w:r>
        <w:t xml:space="preserve">) indicated that UGT1A9 is predominatly responsible for the metabolism of dapagliflozin to dapagliflozin-3-O-glucuronide. A minor fraction is metabolized via UGT2B7 to dapagliflozin-2-O-glucuronide and via oxidative cytochrome-P450 enzymes.</w:t>
      </w:r>
    </w:p>
    <w:p>
      <w:pPr>
        <w:pStyle w:val="BodyText"/>
      </w:pPr>
      <w:r>
        <w:t xml:space="preserve">In summary, three metabolic first order routes were implement into the model:</w:t>
      </w:r>
    </w:p>
    <w:p>
      <w:pPr>
        <w:numPr>
          <w:ilvl w:val="0"/>
          <w:numId w:val="1002"/>
        </w:numPr>
        <w:pStyle w:val="Compact"/>
      </w:pPr>
      <w:r>
        <w:t xml:space="preserve">UGT1A9-specific clearance</w:t>
      </w:r>
    </w:p>
    <w:p>
      <w:pPr>
        <w:numPr>
          <w:ilvl w:val="0"/>
          <w:numId w:val="1002"/>
        </w:numPr>
        <w:pStyle w:val="Compact"/>
      </w:pPr>
      <w:r>
        <w:t xml:space="preserve">UGT2B7-specific clearance</w:t>
      </w:r>
    </w:p>
    <w:p>
      <w:pPr>
        <w:numPr>
          <w:ilvl w:val="0"/>
          <w:numId w:val="1002"/>
        </w:numPr>
        <w:pStyle w:val="Compact"/>
      </w:pPr>
      <w:r>
        <w:t xml:space="preserve">an unspecific hepatic oxidative clearance (</w:t>
      </w:r>
      <w:r>
        <w:t xml:space="preserve">“</w:t>
      </w:r>
      <w:r>
        <w:t xml:space="preserve">Hepatic-CYP</w:t>
      </w:r>
      <w:r>
        <w:t xml:space="preserve">”</w:t>
      </w:r>
      <w:r>
        <w:t xml:space="preserve">)</w:t>
      </w:r>
      <w:r>
        <w:t xml:space="preserve"> </w:t>
      </w:r>
      <w:r>
        <w:t xml:space="preserve">(The hypothetical lumped Hepatic-CYP enzyme was assumed to be expressed only in the liver with a reference concentration of 1 µmol/L.)</w:t>
      </w:r>
    </w:p>
    <w:p>
      <w:pPr>
        <w:pStyle w:val="FirstParagraph"/>
      </w:pPr>
      <w:r>
        <w:t xml:space="preserve">Additionally, a renal clearance (assumed to be mainly driven by glomerular filtration) was implemented.</w:t>
      </w:r>
    </w:p>
    <w:p>
      <w:pPr>
        <w:pStyle w:val="BodyText"/>
      </w:pPr>
      <w:r>
        <w:t xml:space="preserve">This clearance and excretion pathways were quantified during parameter optimization to best match clinical data (see also</w:t>
      </w:r>
      <w:r>
        <w:t xml:space="preserve"> </w:t>
      </w:r>
      <w:hyperlink w:anchor="X7ecbd1fd734a207de60ff9705c88346a68b0398">
        <w:r>
          <w:rPr>
            <w:rStyle w:val="Hyperlink"/>
          </w:rPr>
          <w:t xml:space="preserve">Section 2.2.2</w:t>
        </w:r>
      </w:hyperlink>
      <w:r>
        <w:t xml:space="preserve">,</w:t>
      </w:r>
      <w:r>
        <w:t xml:space="preserve"> </w:t>
      </w:r>
      <w:hyperlink w:anchor="X1116d5c38cb12a0af700a42c4f563f3424bdb78">
        <w:r>
          <w:rPr>
            <w:rStyle w:val="Hyperlink"/>
          </w:rPr>
          <w:t xml:space="preserve">Section 2.3.1</w:t>
        </w:r>
      </w:hyperlink>
      <w:r>
        <w:t xml:space="preserve">, and</w:t>
      </w:r>
      <w:r>
        <w:t xml:space="preserve"> </w:t>
      </w:r>
      <w:hyperlink w:anchor="X2a13133295efba879d59b4ecc1b6a15b8871330">
        <w:r>
          <w:rPr>
            <w:rStyle w:val="Hyperlink"/>
          </w:rPr>
          <w:t xml:space="preserve">Section 2.3.4</w:t>
        </w:r>
      </w:hyperlink>
      <w:r>
        <w:t xml:space="preserve">).</w:t>
      </w:r>
    </w:p>
    <w:bookmarkEnd w:id="29"/>
    <w:bookmarkStart w:id="30" w:name="automated-parameter-identification"/>
    <w:p>
      <w:pPr>
        <w:pStyle w:val="Heading3"/>
      </w:pPr>
      <w:r>
        <w:t xml:space="preserve">2.3.4 Automated Parameter Identification</w:t>
      </w:r>
    </w:p>
    <w:p>
      <w:pPr>
        <w:pStyle w:val="FirstParagraph"/>
      </w:pPr>
      <w:r>
        <w:t xml:space="preserve">This is the result of the final parameter identification.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Parameter</w:t>
            </w:r>
          </w:p>
        </w:tc>
        <w:tc>
          <w:tcPr/>
          <w:p>
            <w:pPr>
              <w:pStyle w:val="Compact"/>
              <w:jc w:val="left"/>
            </w:pPr>
            <w:r>
              <w:t xml:space="preserve">Optimized Value</w:t>
            </w:r>
          </w:p>
        </w:tc>
        <w:tc>
          <w:tcPr/>
          <w:p>
            <w:pPr>
              <w:pStyle w:val="Compact"/>
              <w:jc w:val="left"/>
            </w:pPr>
            <w:r>
              <w:t xml:space="preserve">Unit</w:t>
            </w:r>
          </w:p>
        </w:tc>
      </w:tr>
      <w:tr>
        <w:tc>
          <w:tcPr/>
          <w:p>
            <w:pPr>
              <w:pStyle w:val="Compact"/>
              <w:jc w:val="left"/>
            </w:pPr>
            <w:r>
              <w:rPr>
                <w:rStyle w:val="VerbatimChar"/>
              </w:rPr>
              <w:t xml:space="preserve">Lipophilicity</w:t>
            </w:r>
          </w:p>
        </w:tc>
        <w:tc>
          <w:tcPr/>
          <w:p>
            <w:pPr>
              <w:pStyle w:val="Compact"/>
              <w:jc w:val="left"/>
            </w:pPr>
            <w:r>
              <w:t xml:space="preserve">2.672</w:t>
            </w:r>
          </w:p>
        </w:tc>
        <w:tc>
          <w:tcPr/>
          <w:p>
            <w:pPr>
              <w:pStyle w:val="Compact"/>
              <w:jc w:val="left"/>
            </w:pPr>
            <w:r>
              <w:t xml:space="preserve">Log Units</w:t>
            </w:r>
          </w:p>
        </w:tc>
      </w:tr>
      <w:tr>
        <w:tc>
          <w:tcPr/>
          <w:p>
            <w:pPr>
              <w:pStyle w:val="Compact"/>
              <w:jc w:val="left"/>
            </w:pPr>
            <w:r>
              <w:rPr>
                <w:rStyle w:val="VerbatimChar"/>
              </w:rPr>
              <w:t xml:space="preserve">logP (veg.oil/water)</w:t>
            </w:r>
          </w:p>
        </w:tc>
        <w:tc>
          <w:tcPr/>
          <w:p>
            <w:pPr>
              <w:pStyle w:val="Compact"/>
              <w:jc w:val="left"/>
            </w:pPr>
            <w:r>
              <w:t xml:space="preserve">2.083</w:t>
            </w:r>
          </w:p>
        </w:tc>
        <w:tc>
          <w:tcPr/>
          <w:p>
            <w:pPr>
              <w:pStyle w:val="Compact"/>
              <w:jc w:val="left"/>
            </w:pPr>
            <w:r>
              <w:t xml:space="preserve">Log Units</w:t>
            </w:r>
          </w:p>
        </w:tc>
      </w:tr>
      <w:tr>
        <w:tc>
          <w:tcPr/>
          <w:p>
            <w:pPr>
              <w:pStyle w:val="Compact"/>
              <w:jc w:val="left"/>
            </w:pPr>
            <w:r>
              <w:rPr>
                <w:rStyle w:val="VerbatimChar"/>
              </w:rPr>
              <w:t xml:space="preserve">Permeability</w:t>
            </w:r>
          </w:p>
        </w:tc>
        <w:tc>
          <w:tcPr/>
          <w:p>
            <w:pPr>
              <w:pStyle w:val="Compact"/>
              <w:jc w:val="left"/>
            </w:pPr>
            <w:r>
              <w:t xml:space="preserve">3.75E-04</w:t>
            </w:r>
          </w:p>
        </w:tc>
        <w:tc>
          <w:tcPr/>
          <w:p>
            <w:pPr>
              <w:pStyle w:val="Compact"/>
              <w:jc w:val="left"/>
            </w:pPr>
            <w:r>
              <w:t xml:space="preserve">cm/min</w:t>
            </w:r>
          </w:p>
        </w:tc>
      </w:tr>
      <w:tr>
        <w:tc>
          <w:tcPr/>
          <w:p>
            <w:pPr>
              <w:pStyle w:val="Compact"/>
              <w:jc w:val="left"/>
            </w:pPr>
            <w:r>
              <w:rPr>
                <w:rStyle w:val="VerbatimChar"/>
              </w:rPr>
              <w:t xml:space="preserve">Specific intestinal permeability</w:t>
            </w:r>
          </w:p>
        </w:tc>
        <w:tc>
          <w:tcPr/>
          <w:p>
            <w:pPr>
              <w:pStyle w:val="Compact"/>
              <w:jc w:val="left"/>
            </w:pPr>
            <w:r>
              <w:t xml:space="preserve">3.97E-05</w:t>
            </w:r>
          </w:p>
        </w:tc>
        <w:tc>
          <w:tcPr/>
          <w:p>
            <w:pPr>
              <w:pStyle w:val="Compact"/>
              <w:jc w:val="left"/>
            </w:pPr>
            <w:r>
              <w:t xml:space="preserve">cm/min</w:t>
            </w:r>
          </w:p>
        </w:tc>
      </w:tr>
      <w:tr>
        <w:tc>
          <w:tcPr/>
          <w:p>
            <w:pPr>
              <w:pStyle w:val="Compact"/>
              <w:jc w:val="left"/>
            </w:pPr>
            <w:r>
              <w:rPr>
                <w:rStyle w:val="VerbatimChar"/>
              </w:rPr>
              <w:t xml:space="preserve">Solubility at reference pH</w:t>
            </w:r>
          </w:p>
        </w:tc>
        <w:tc>
          <w:tcPr/>
          <w:p>
            <w:pPr>
              <w:pStyle w:val="Compact"/>
              <w:jc w:val="left"/>
            </w:pPr>
            <w:r>
              <w:t xml:space="preserve">0.221</w:t>
            </w:r>
          </w:p>
        </w:tc>
        <w:tc>
          <w:tcPr/>
          <w:p>
            <w:pPr>
              <w:pStyle w:val="Compact"/>
              <w:jc w:val="left"/>
            </w:pPr>
            <w:r>
              <w:t xml:space="preserve">mg/ml</w:t>
            </w:r>
          </w:p>
        </w:tc>
      </w:tr>
      <w:tr>
        <w:tc>
          <w:tcPr/>
          <w:p>
            <w:pPr>
              <w:pStyle w:val="Compact"/>
              <w:jc w:val="left"/>
            </w:pPr>
            <w:r>
              <w:rPr>
                <w:rStyle w:val="VerbatimChar"/>
              </w:rPr>
              <w:t xml:space="preserve">CLspec/[Enzyme]</w:t>
            </w:r>
            <w:r>
              <w:t xml:space="preserve"> </w:t>
            </w:r>
            <w:r>
              <w:t xml:space="preserve">(UGT1A9)</w:t>
            </w:r>
          </w:p>
        </w:tc>
        <w:tc>
          <w:tcPr/>
          <w:p>
            <w:pPr>
              <w:pStyle w:val="Compact"/>
              <w:jc w:val="left"/>
            </w:pPr>
            <w:r>
              <w:t xml:space="preserve">0.399</w:t>
            </w:r>
          </w:p>
        </w:tc>
        <w:tc>
          <w:tcPr/>
          <w:p>
            <w:pPr>
              <w:pStyle w:val="Compact"/>
              <w:jc w:val="left"/>
            </w:pPr>
            <w:r>
              <w:t xml:space="preserve">l/µmol/min</w:t>
            </w:r>
          </w:p>
        </w:tc>
      </w:tr>
      <w:tr>
        <w:tc>
          <w:tcPr/>
          <w:p>
            <w:pPr>
              <w:pStyle w:val="Compact"/>
              <w:jc w:val="left"/>
            </w:pPr>
            <w:r>
              <w:rPr>
                <w:rStyle w:val="VerbatimChar"/>
              </w:rPr>
              <w:t xml:space="preserve">CLspec/[Enzyme]</w:t>
            </w:r>
            <w:r>
              <w:t xml:space="preserve"> </w:t>
            </w:r>
            <w:r>
              <w:t xml:space="preserve">(UGT2B7)</w:t>
            </w:r>
          </w:p>
        </w:tc>
        <w:tc>
          <w:tcPr/>
          <w:p>
            <w:pPr>
              <w:pStyle w:val="Compact"/>
              <w:jc w:val="left"/>
            </w:pPr>
            <w:r>
              <w:t xml:space="preserve">6.60E-03</w:t>
            </w:r>
          </w:p>
        </w:tc>
        <w:tc>
          <w:tcPr/>
          <w:p>
            <w:pPr>
              <w:pStyle w:val="Compact"/>
              <w:jc w:val="left"/>
            </w:pPr>
            <w:r>
              <w:t xml:space="preserve">l/µmol/min</w:t>
            </w:r>
          </w:p>
        </w:tc>
      </w:tr>
      <w:tr>
        <w:tc>
          <w:tcPr/>
          <w:p>
            <w:pPr>
              <w:pStyle w:val="Compact"/>
              <w:jc w:val="left"/>
            </w:pPr>
            <w:r>
              <w:rPr>
                <w:rStyle w:val="VerbatimChar"/>
              </w:rPr>
              <w:t xml:space="preserve">CLspec/[Enzyme]</w:t>
            </w:r>
            <w:r>
              <w:t xml:space="preserve"> </w:t>
            </w:r>
            <w:r>
              <w:t xml:space="preserve">(Hepatic-CYP)</w:t>
            </w:r>
          </w:p>
        </w:tc>
        <w:tc>
          <w:tcPr/>
          <w:p>
            <w:pPr>
              <w:pStyle w:val="Compact"/>
              <w:jc w:val="left"/>
            </w:pPr>
            <w:r>
              <w:t xml:space="preserve">0.143</w:t>
            </w:r>
          </w:p>
        </w:tc>
        <w:tc>
          <w:tcPr/>
          <w:p>
            <w:pPr>
              <w:pStyle w:val="Compact"/>
              <w:jc w:val="left"/>
            </w:pPr>
            <w:r>
              <w:t xml:space="preserve">l/µmol/min</w:t>
            </w:r>
          </w:p>
        </w:tc>
      </w:tr>
      <w:tr>
        <w:tc>
          <w:tcPr/>
          <w:p>
            <w:pPr>
              <w:pStyle w:val="Compact"/>
              <w:jc w:val="left"/>
            </w:pPr>
            <w:r>
              <w:rPr>
                <w:rStyle w:val="VerbatimChar"/>
              </w:rPr>
              <w:t xml:space="preserve">GFR fraction</w:t>
            </w:r>
          </w:p>
        </w:tc>
        <w:tc>
          <w:tcPr/>
          <w:p>
            <w:pPr>
              <w:pStyle w:val="Compact"/>
              <w:jc w:val="left"/>
            </w:pPr>
            <w:r>
              <w:t xml:space="preserve">0.79</w:t>
            </w:r>
          </w:p>
        </w:tc>
        <w:tc>
          <w:tcPr/>
          <w:p>
            <w:pPr>
              <w:pStyle w:val="Compact"/>
            </w:pPr>
          </w:p>
        </w:tc>
      </w:tr>
      <w:tr>
        <w:tc>
          <w:tcPr/>
          <w:p>
            <w:pPr>
              <w:pStyle w:val="Compact"/>
              <w:jc w:val="left"/>
            </w:pPr>
            <w:r>
              <w:rPr>
                <w:rStyle w:val="VerbatimChar"/>
              </w:rPr>
              <w:t xml:space="preserve">Blood/Plasma concentration ratio</w:t>
            </w:r>
          </w:p>
        </w:tc>
        <w:tc>
          <w:tcPr/>
          <w:p>
            <w:pPr>
              <w:pStyle w:val="Compact"/>
              <w:jc w:val="left"/>
            </w:pPr>
            <w:r>
              <w:t xml:space="preserve">0.88 FIXED</w:t>
            </w:r>
          </w:p>
        </w:tc>
        <w:tc>
          <w:tcPr/>
          <w:p>
            <w:pPr>
              <w:pStyle w:val="Compact"/>
            </w:pPr>
          </w:p>
        </w:tc>
      </w:tr>
    </w:tbl>
    <w:bookmarkEnd w:id="30"/>
    <w:bookmarkEnd w:id="31"/>
    <w:bookmarkEnd w:id="32"/>
    <w:bookmarkStart w:id="192"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dapagliflozin was developed and verified with clinical pharmacokinetic data.</w:t>
      </w:r>
    </w:p>
    <w:p>
      <w:pPr>
        <w:pStyle w:val="BodyText"/>
      </w:pPr>
      <w:r>
        <w:t xml:space="preserve">The model was evaluated covering data from studies including in particular</w:t>
      </w:r>
    </w:p>
    <w:p>
      <w:pPr>
        <w:numPr>
          <w:ilvl w:val="0"/>
          <w:numId w:val="1003"/>
        </w:numPr>
        <w:pStyle w:val="Compact"/>
      </w:pPr>
      <w:r>
        <w:t xml:space="preserve">intravenous and oral administrations.</w:t>
      </w:r>
    </w:p>
    <w:p>
      <w:pPr>
        <w:numPr>
          <w:ilvl w:val="0"/>
          <w:numId w:val="1003"/>
        </w:numPr>
        <w:pStyle w:val="Compact"/>
      </w:pPr>
      <w:r>
        <w:t xml:space="preserve">single and multiple doses.</w:t>
      </w:r>
    </w:p>
    <w:p>
      <w:pPr>
        <w:numPr>
          <w:ilvl w:val="0"/>
          <w:numId w:val="1003"/>
        </w:numPr>
        <w:pStyle w:val="Compact"/>
      </w:pPr>
      <w:r>
        <w:t xml:space="preserve">a dose range of 2.5 to 500 mg.</w:t>
      </w:r>
    </w:p>
    <w:p>
      <w:pPr>
        <w:numPr>
          <w:ilvl w:val="0"/>
          <w:numId w:val="1003"/>
        </w:numPr>
        <w:pStyle w:val="Compact"/>
      </w:pPr>
      <w:r>
        <w:t xml:space="preserve">fasted and fed state administrations.</w:t>
      </w:r>
    </w:p>
    <w:p>
      <w:pPr>
        <w:pStyle w:val="FirstParagraph"/>
      </w:pPr>
      <w:r>
        <w:t xml:space="preserve">The model quantifies metabolism via UGT1A9 and UGT2B7.</w:t>
      </w:r>
    </w:p>
    <w:p>
      <w:pPr>
        <w:pStyle w:val="BodyText"/>
      </w:pPr>
      <w:r>
        <w:t xml:space="preserve">The next sections show:</w:t>
      </w:r>
    </w:p>
    <w:p>
      <w:pPr>
        <w:numPr>
          <w:ilvl w:val="0"/>
          <w:numId w:val="1004"/>
        </w:numPr>
        <w:pStyle w:val="Compact"/>
      </w:pPr>
      <w:r>
        <w:t xml:space="preserve">the final model parameters for the building blocks:</w:t>
      </w:r>
      <w:r>
        <w:t xml:space="preserve"> </w:t>
      </w:r>
      <w:hyperlink w:anchor="Xc6cf42871317160fa8533d05504fe9284eb5963">
        <w:r>
          <w:rPr>
            <w:rStyle w:val="Hyperlink"/>
          </w:rPr>
          <w:t xml:space="preserve">Section 3.1</w:t>
        </w:r>
      </w:hyperlink>
      <w:r>
        <w:t xml:space="preserve">.</w:t>
      </w:r>
    </w:p>
    <w:p>
      <w:pPr>
        <w:numPr>
          <w:ilvl w:val="0"/>
          <w:numId w:val="1004"/>
        </w:numPr>
        <w:pStyle w:val="Compact"/>
      </w:pPr>
      <w:r>
        <w:t xml:space="preserve">the overall goodness of fit:</w:t>
      </w:r>
      <w:r>
        <w:t xml:space="preserve"> </w:t>
      </w:r>
      <w:hyperlink w:anchor="X8f3aeddcae968e1d328d29ba9adb7d6f485cab0">
        <w:r>
          <w:rPr>
            <w:rStyle w:val="Hyperlink"/>
          </w:rPr>
          <w:t xml:space="preserve">Section 3.2</w:t>
        </w:r>
      </w:hyperlink>
      <w:r>
        <w:t xml:space="preserve">.</w:t>
      </w:r>
    </w:p>
    <w:p>
      <w:pPr>
        <w:numPr>
          <w:ilvl w:val="0"/>
          <w:numId w:val="1004"/>
        </w:numPr>
        <w:pStyle w:val="Compact"/>
      </w:pPr>
      <w:r>
        <w:t xml:space="preserve">simulated vs. observed concentration-time profiles for the clinical studies used for model building and for model verification:</w:t>
      </w:r>
      <w:r>
        <w:t xml:space="preserve"> </w:t>
      </w:r>
      <w:hyperlink w:anchor="Xdc8b4cf40574b5c39801a4fb59aa003db333782">
        <w:r>
          <w:rPr>
            <w:rStyle w:val="Hyperlink"/>
          </w:rPr>
          <w:t xml:space="preserve">Section 3.3</w:t>
        </w:r>
      </w:hyperlink>
      <w:r>
        <w:t xml:space="preserve">.</w:t>
      </w:r>
    </w:p>
    <w:bookmarkStart w:id="48" w:name="final-input-parameters"/>
    <w:p>
      <w:pPr>
        <w:pStyle w:val="Heading2"/>
      </w:pPr>
      <w:r>
        <w:t xml:space="preserve">Final input parameters</w:t>
      </w:r>
      <w:bookmarkStart w:id="final-input-parameters" w:name="final-input-parameters"/>
      <w:bookmarkEnd w:id="final-input-parameters"/>
    </w:p>
    <w:p>
      <w:pPr>
        <w:pStyle w:val="FirstParagraph"/>
      </w:pPr>
      <w:r>
        <w:t xml:space="preserve">The compound parameter values of the final PBPK model are illustrated below.</w:t>
      </w:r>
    </w:p>
    <w:bookmarkStart w:id="44" w:name="compound-dapagliflozin"/>
    <w:p>
      <w:pPr>
        <w:pStyle w:val="Heading3"/>
      </w:pPr>
      <w:r>
        <w:t xml:space="preserve">Compound: Dapagliflozin</w:t>
      </w:r>
    </w:p>
    <w:bookmarkStart w:id="33" w:name="parameters"/>
    <w:p>
      <w:pPr>
        <w:pStyle w:val="Heading4"/>
      </w:pPr>
      <w:r>
        <w:t xml:space="preserve">Parameters</w:t>
      </w:r>
    </w:p>
    <w:tbl>
      <w:tblPr>
        <w:tblStyle w:val="Table"/>
        <w:tblW w:type="pct" w:w="5000"/>
        <w:tblLook w:firstRow="1" w:lastRow="0" w:firstColumn="0" w:lastColumn="0" w:noHBand="0" w:noVBand="0" w:val="0020"/>
        <w:jc w:val="start"/>
      </w:tblPr>
      <w:tblGrid>
        <w:gridCol w:w="1900"/>
        <w:gridCol w:w="910"/>
        <w:gridCol w:w="4197"/>
        <w:gridCol w:w="633"/>
        <w:gridCol w:w="27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0.2210041453 mg/ml</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c>
          <w:tcPr/>
          <w:p>
            <w:pPr>
              <w:pStyle w:val="Compact"/>
              <w:jc w:val="left"/>
            </w:pPr>
            <w:r>
              <w:t xml:space="preserve">Water solubility</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Database-DrugBank DB06292</w:t>
            </w:r>
          </w:p>
        </w:tc>
        <w:tc>
          <w:tcPr/>
          <w:p>
            <w:pPr>
              <w:pStyle w:val="Compact"/>
              <w:jc w:val="left"/>
            </w:pPr>
            <w:r>
              <w:t xml:space="preserve">Water solubility</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2.6719093089 Log Units</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0.09</w:t>
            </w:r>
          </w:p>
        </w:tc>
        <w:tc>
          <w:tcPr/>
          <w:p>
            <w:pPr>
              <w:pStyle w:val="Compact"/>
              <w:jc w:val="left"/>
            </w:pPr>
            <w:r>
              <w:t xml:space="preserve">Publication-Kasichayanula et al. 2014</w:t>
            </w:r>
          </w:p>
        </w:tc>
        <w:tc>
          <w:tcPr/>
          <w:p>
            <w:pPr>
              <w:pStyle w:val="Compact"/>
              <w:jc w:val="left"/>
            </w:pPr>
            <w:r>
              <w:t xml:space="preserve">Human</w:t>
            </w:r>
          </w:p>
        </w:tc>
        <w:tc>
          <w:tcPr/>
          <w:p>
            <w:pPr>
              <w:pStyle w:val="Compact"/>
              <w:jc w:val="left"/>
            </w:pPr>
            <w:r>
              <w:t xml:space="preserve">True</w:t>
            </w:r>
          </w:p>
        </w:tc>
      </w:tr>
      <w:tr>
        <w:tc>
          <w:tcPr/>
          <w:p>
            <w:pPr>
              <w:pStyle w:val="Compact"/>
              <w:jc w:val="left"/>
            </w:pPr>
            <w:r>
              <w:t xml:space="preserve">Permeability</w:t>
            </w:r>
          </w:p>
        </w:tc>
        <w:tc>
          <w:tcPr/>
          <w:p>
            <w:pPr>
              <w:pStyle w:val="Compact"/>
              <w:jc w:val="left"/>
            </w:pPr>
            <w:r>
              <w:t xml:space="preserve">0.00037527645658 cm/min</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3.9684694792E-05 cm/min</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c>
          <w:tcPr/>
          <w:p>
            <w:pPr>
              <w:pStyle w:val="Compact"/>
              <w:jc w:val="left"/>
            </w:pPr>
            <w:r>
              <w:t xml:space="preserve">Optimized</w:t>
            </w:r>
          </w:p>
        </w:tc>
        <w:tc>
          <w:tcPr/>
          <w:p>
            <w:pPr>
              <w:pStyle w:val="Compact"/>
              <w:jc w:val="left"/>
            </w:pPr>
            <w:r>
              <w:t xml:space="preserve">True</w:t>
            </w:r>
          </w:p>
        </w:tc>
      </w:tr>
      <w:tr>
        <w:tc>
          <w:tcPr/>
          <w:p>
            <w:pPr>
              <w:pStyle w:val="Compact"/>
              <w:jc w:val="left"/>
            </w:pPr>
            <w:r>
              <w:t xml:space="preserve">Cl</w:t>
            </w: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408.873 g/mol</w:t>
            </w:r>
          </w:p>
        </w:tc>
        <w:tc>
          <w:tcPr/>
          <w:p>
            <w:pPr>
              <w:pStyle w:val="Compact"/>
            </w:pP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3"/>
    <w:bookmarkStart w:id="34"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4"/>
    <w:bookmarkStart w:id="43" w:name="processes"/>
    <w:p>
      <w:pPr>
        <w:pStyle w:val="Heading4"/>
      </w:pPr>
      <w:r>
        <w:t xml:space="preserve">Processes</w:t>
      </w:r>
    </w:p>
    <w:bookmarkStart w:id="36" w:name="metabolizing-enzyme-ugt1a9-optimized"/>
    <w:p>
      <w:pPr>
        <w:pStyle w:val="Heading5"/>
      </w:pPr>
      <w:r>
        <w:t xml:space="preserve">Metabolizing Enzyme: UGT1A9-Optimized</w:t>
      </w:r>
    </w:p>
    <w:p>
      <w:pPr>
        <w:pStyle w:val="FirstParagraph"/>
      </w:pPr>
      <w:r>
        <w:t xml:space="preserve">Molecule: UGT1A9</w:t>
      </w:r>
    </w:p>
    <w:p>
      <w:pPr>
        <w:pStyle w:val="BodyText"/>
      </w:pPr>
      <w:r>
        <w:t xml:space="preserve">Metabolite: Dapagliflozin-3-O-glucuronide</w:t>
      </w:r>
    </w:p>
    <w:bookmarkStart w:id="35" w:name="parameters-1"/>
    <w:p>
      <w:pPr>
        <w:pStyle w:val="Heading6"/>
      </w:pPr>
      <w:r>
        <w:t xml:space="preserve">Parameters</w:t>
      </w:r>
    </w:p>
    <w:tbl>
      <w:tblPr>
        <w:tblStyle w:val="Table"/>
        <w:tblW w:type="pct" w:w="5000"/>
        <w:tblLook w:firstRow="1" w:lastRow="0" w:firstColumn="0" w:lastColumn="0" w:noHBand="0" w:noVBand="0" w:val="0020"/>
        <w:jc w:val="start"/>
      </w:tblPr>
      <w:tblGrid>
        <w:gridCol w:w="1070"/>
        <w:gridCol w:w="1177"/>
        <w:gridCol w:w="567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Enzyme concentration</w:t>
            </w:r>
          </w:p>
        </w:tc>
        <w:tc>
          <w:tcPr/>
          <w:p>
            <w:pPr>
              <w:pStyle w:val="Compact"/>
              <w:jc w:val="left"/>
            </w:pPr>
            <w:r>
              <w:t xml:space="preserve">1 µmol/l</w:t>
            </w:r>
          </w:p>
        </w:tc>
        <w:tc>
          <w:tcPr/>
          <w:p>
            <w:pPr>
              <w:pStyle w:val="Compact"/>
            </w:pPr>
          </w:p>
        </w:tc>
      </w:tr>
      <w:tr>
        <w:tc>
          <w:tcPr/>
          <w:p>
            <w:pPr>
              <w:pStyle w:val="Compact"/>
              <w:jc w:val="left"/>
            </w:pPr>
            <w:r>
              <w:t xml:space="preserve">Specific clearance</w:t>
            </w:r>
          </w:p>
        </w:tc>
        <w:tc>
          <w:tcPr/>
          <w:p>
            <w:pPr>
              <w:pStyle w:val="Compact"/>
              <w:jc w:val="left"/>
            </w:pPr>
            <w:r>
              <w:t xml:space="preserve">0 1/min</w:t>
            </w:r>
          </w:p>
        </w:tc>
        <w:tc>
          <w:tcPr/>
          <w:p>
            <w:pPr>
              <w:pStyle w:val="Compact"/>
            </w:pPr>
          </w:p>
        </w:tc>
      </w:tr>
      <w:tr>
        <w:tc>
          <w:tcPr/>
          <w:p>
            <w:pPr>
              <w:pStyle w:val="Compact"/>
              <w:jc w:val="left"/>
            </w:pPr>
            <w:r>
              <w:t xml:space="preserve">CLspec/[Enzyme]</w:t>
            </w:r>
          </w:p>
        </w:tc>
        <w:tc>
          <w:tcPr/>
          <w:p>
            <w:pPr>
              <w:pStyle w:val="Compact"/>
              <w:jc w:val="left"/>
            </w:pPr>
            <w:r>
              <w:t xml:space="preserve">0.399443557 l/µmol/min</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r>
    </w:tbl>
    <w:bookmarkEnd w:id="35"/>
    <w:bookmarkEnd w:id="36"/>
    <w:bookmarkStart w:id="38" w:name="metabolizing-enzyme-ugt2b7-optimized"/>
    <w:p>
      <w:pPr>
        <w:pStyle w:val="Heading5"/>
      </w:pPr>
      <w:r>
        <w:t xml:space="preserve">Metabolizing Enzyme: UGT2B7-Optimized</w:t>
      </w:r>
    </w:p>
    <w:p>
      <w:pPr>
        <w:pStyle w:val="FirstParagraph"/>
      </w:pPr>
      <w:r>
        <w:t xml:space="preserve">Molecule: UGT2B7</w:t>
      </w:r>
    </w:p>
    <w:p>
      <w:pPr>
        <w:pStyle w:val="BodyText"/>
      </w:pPr>
      <w:r>
        <w:t xml:space="preserve">Metabolite: Dapagliflozin-2-O-glucuronide</w:t>
      </w:r>
    </w:p>
    <w:bookmarkStart w:id="37" w:name="parameters-2"/>
    <w:p>
      <w:pPr>
        <w:pStyle w:val="Heading6"/>
      </w:pPr>
      <w:r>
        <w:t xml:space="preserve">Parameters</w:t>
      </w:r>
    </w:p>
    <w:tbl>
      <w:tblPr>
        <w:tblStyle w:val="Table"/>
        <w:tblW w:type="pct" w:w="5000"/>
        <w:tblLook w:firstRow="1" w:lastRow="0" w:firstColumn="0" w:lastColumn="0" w:noHBand="0" w:noVBand="0" w:val="0020"/>
        <w:jc w:val="start"/>
      </w:tblPr>
      <w:tblGrid>
        <w:gridCol w:w="1042"/>
        <w:gridCol w:w="1354"/>
        <w:gridCol w:w="5523"/>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Enzyme concentration</w:t>
            </w:r>
          </w:p>
        </w:tc>
        <w:tc>
          <w:tcPr/>
          <w:p>
            <w:pPr>
              <w:pStyle w:val="Compact"/>
              <w:jc w:val="left"/>
            </w:pPr>
            <w:r>
              <w:t xml:space="preserve">1 µmol/l</w:t>
            </w:r>
          </w:p>
        </w:tc>
        <w:tc>
          <w:tcPr/>
          <w:p>
            <w:pPr>
              <w:pStyle w:val="Compact"/>
            </w:pPr>
          </w:p>
        </w:tc>
      </w:tr>
      <w:tr>
        <w:tc>
          <w:tcPr/>
          <w:p>
            <w:pPr>
              <w:pStyle w:val="Compact"/>
              <w:jc w:val="left"/>
            </w:pPr>
            <w:r>
              <w:t xml:space="preserve">Specific clearance</w:t>
            </w:r>
          </w:p>
        </w:tc>
        <w:tc>
          <w:tcPr/>
          <w:p>
            <w:pPr>
              <w:pStyle w:val="Compact"/>
              <w:jc w:val="left"/>
            </w:pPr>
            <w:r>
              <w:t xml:space="preserve">0 1/min</w:t>
            </w:r>
          </w:p>
        </w:tc>
        <w:tc>
          <w:tcPr/>
          <w:p>
            <w:pPr>
              <w:pStyle w:val="Compact"/>
            </w:pPr>
          </w:p>
        </w:tc>
      </w:tr>
      <w:tr>
        <w:tc>
          <w:tcPr/>
          <w:p>
            <w:pPr>
              <w:pStyle w:val="Compact"/>
              <w:jc w:val="left"/>
            </w:pPr>
            <w:r>
              <w:t xml:space="preserve">CLspec/[Enzyme]</w:t>
            </w:r>
          </w:p>
        </w:tc>
        <w:tc>
          <w:tcPr/>
          <w:p>
            <w:pPr>
              <w:pStyle w:val="Compact"/>
              <w:jc w:val="left"/>
            </w:pPr>
            <w:r>
              <w:t xml:space="preserve">0.0066043366201 l/µmol/min</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r>
    </w:tbl>
    <w:bookmarkEnd w:id="37"/>
    <w:bookmarkEnd w:id="38"/>
    <w:bookmarkStart w:id="40" w:name="Xd60fdc8553567dd97a4367547930cb063a74dc7"/>
    <w:p>
      <w:pPr>
        <w:pStyle w:val="Heading5"/>
      </w:pPr>
      <w:r>
        <w:t xml:space="preserve">Systemic Process: Glomerular Filtration-assumed</w:t>
      </w:r>
    </w:p>
    <w:p>
      <w:pPr>
        <w:pStyle w:val="FirstParagraph"/>
      </w:pPr>
      <w:r>
        <w:t xml:space="preserve">Species: Human</w:t>
      </w:r>
    </w:p>
    <w:bookmarkStart w:id="39" w:name="parameters-3"/>
    <w:p>
      <w:pPr>
        <w:pStyle w:val="Heading6"/>
      </w:pPr>
      <w:r>
        <w:t xml:space="preserve">Parameters</w:t>
      </w:r>
    </w:p>
    <w:tbl>
      <w:tblPr>
        <w:tblStyle w:val="Table"/>
        <w:tblW w:type="pct" w:w="5000"/>
        <w:tblLook w:firstRow="1" w:lastRow="0" w:firstColumn="0" w:lastColumn="0" w:noHBand="0" w:noVBand="0" w:val="0020"/>
        <w:jc w:val="start"/>
      </w:tblPr>
      <w:tblGrid>
        <w:gridCol w:w="725"/>
        <w:gridCol w:w="785"/>
        <w:gridCol w:w="6408"/>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0.7899801465</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r>
    </w:tbl>
    <w:bookmarkEnd w:id="39"/>
    <w:bookmarkEnd w:id="40"/>
    <w:bookmarkStart w:id="42" w:name="X51d303405a27a53a38e6b4c5e5b974c93c1d805"/>
    <w:p>
      <w:pPr>
        <w:pStyle w:val="Heading5"/>
      </w:pPr>
      <w:r>
        <w:t xml:space="preserve">Metabolizing Enzyme: Hepatic-CYP-Optimized</w:t>
      </w:r>
    </w:p>
    <w:p>
      <w:pPr>
        <w:pStyle w:val="FirstParagraph"/>
      </w:pPr>
      <w:r>
        <w:t xml:space="preserve">Molecule: Hepatic-CYP</w:t>
      </w:r>
    </w:p>
    <w:bookmarkStart w:id="41" w:name="parameters-4"/>
    <w:p>
      <w:pPr>
        <w:pStyle w:val="Heading6"/>
      </w:pPr>
      <w:r>
        <w:t xml:space="preserve">Parameters</w:t>
      </w:r>
    </w:p>
    <w:tbl>
      <w:tblPr>
        <w:tblStyle w:val="Table"/>
        <w:tblW w:type="pct" w:w="5000"/>
        <w:tblLook w:firstRow="1" w:lastRow="0" w:firstColumn="0" w:lastColumn="0" w:noHBand="0" w:noVBand="0" w:val="0020"/>
        <w:jc w:val="start"/>
      </w:tblPr>
      <w:tblGrid>
        <w:gridCol w:w="1063"/>
        <w:gridCol w:w="1222"/>
        <w:gridCol w:w="5634"/>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Enzyme concentration</w:t>
            </w:r>
          </w:p>
        </w:tc>
        <w:tc>
          <w:tcPr/>
          <w:p>
            <w:pPr>
              <w:pStyle w:val="Compact"/>
              <w:jc w:val="left"/>
            </w:pPr>
            <w:r>
              <w:t xml:space="preserve">1 µmol/l</w:t>
            </w:r>
          </w:p>
        </w:tc>
        <w:tc>
          <w:tcPr/>
          <w:p>
            <w:pPr>
              <w:pStyle w:val="Compact"/>
            </w:pPr>
          </w:p>
        </w:tc>
      </w:tr>
      <w:tr>
        <w:tc>
          <w:tcPr/>
          <w:p>
            <w:pPr>
              <w:pStyle w:val="Compact"/>
              <w:jc w:val="left"/>
            </w:pPr>
            <w:r>
              <w:t xml:space="preserve">Specific clearance</w:t>
            </w:r>
          </w:p>
        </w:tc>
        <w:tc>
          <w:tcPr/>
          <w:p>
            <w:pPr>
              <w:pStyle w:val="Compact"/>
              <w:jc w:val="left"/>
            </w:pPr>
            <w:r>
              <w:t xml:space="preserve">0 1/min</w:t>
            </w:r>
          </w:p>
        </w:tc>
        <w:tc>
          <w:tcPr/>
          <w:p>
            <w:pPr>
              <w:pStyle w:val="Compact"/>
            </w:pPr>
          </w:p>
        </w:tc>
      </w:tr>
      <w:tr>
        <w:tc>
          <w:tcPr/>
          <w:p>
            <w:pPr>
              <w:pStyle w:val="Compact"/>
              <w:jc w:val="left"/>
            </w:pPr>
            <w:r>
              <w:t xml:space="preserve">CLspec/[Enzyme]</w:t>
            </w:r>
          </w:p>
        </w:tc>
        <w:tc>
          <w:tcPr/>
          <w:p>
            <w:pPr>
              <w:pStyle w:val="Compact"/>
              <w:jc w:val="left"/>
            </w:pPr>
            <w:r>
              <w:t xml:space="preserve">0.1432967727 l/µmol/min</w:t>
            </w:r>
          </w:p>
        </w:tc>
        <w:tc>
          <w:tcPr/>
          <w:p>
            <w:pPr>
              <w:pStyle w:val="Compact"/>
              <w:jc w:val="left"/>
            </w:pPr>
            <w:r>
              <w:t xml:space="preserve">Parameter Identification-Parameter Identification-Value updated from</w:t>
            </w:r>
            <w:r>
              <w:t xml:space="preserve"> </w:t>
            </w:r>
            <w:r>
              <w:t xml:space="preserve">‘</w:t>
            </w:r>
            <w:r>
              <w:t xml:space="preserve">PI full (perm)</w:t>
            </w:r>
            <w:r>
              <w:t xml:space="preserve">’</w:t>
            </w:r>
            <w:r>
              <w:t xml:space="preserve"> </w:t>
            </w:r>
            <w:r>
              <w:t xml:space="preserve">on 2019-08-23 15:34</w:t>
            </w:r>
          </w:p>
        </w:tc>
      </w:tr>
    </w:tbl>
    <w:bookmarkEnd w:id="41"/>
    <w:bookmarkEnd w:id="42"/>
    <w:bookmarkEnd w:id="43"/>
    <w:bookmarkEnd w:id="44"/>
    <w:bookmarkStart w:id="46" w:name="formulation-ic-tablet-chang-2015"/>
    <w:p>
      <w:pPr>
        <w:pStyle w:val="Heading3"/>
      </w:pPr>
      <w:r>
        <w:t xml:space="preserve">Formulation: IC tablet (Chang 2015)</w:t>
      </w:r>
    </w:p>
    <w:p>
      <w:pPr>
        <w:pStyle w:val="FirstParagraph"/>
      </w:pPr>
      <w:r>
        <w:t xml:space="preserve">Type: Weibull</w:t>
      </w:r>
    </w:p>
    <w:bookmarkStart w:id="45" w:name="parameters-5"/>
    <w:p>
      <w:pPr>
        <w:pStyle w:val="Heading4"/>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right"/>
            </w:pPr>
            <w:r>
              <w:t xml:space="preserve">Value Origin</w:t>
            </w:r>
          </w:p>
        </w:tc>
      </w:tr>
      <w:tr>
        <w:tc>
          <w:tcPr/>
          <w:p>
            <w:pPr>
              <w:pStyle w:val="Compact"/>
              <w:jc w:val="left"/>
            </w:pPr>
            <w:r>
              <w:t xml:space="preserve">Dissolution time (50% dissolved)</w:t>
            </w:r>
          </w:p>
        </w:tc>
        <w:tc>
          <w:tcPr/>
          <w:p>
            <w:pPr>
              <w:pStyle w:val="Compact"/>
              <w:jc w:val="left"/>
            </w:pPr>
            <w:r>
              <w:t xml:space="preserve">30 min</w:t>
            </w:r>
          </w:p>
        </w:tc>
        <w:tc>
          <w:tcPr/>
          <w:p>
            <w:pPr>
              <w:pStyle w:val="Compact"/>
            </w:pP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0.6</w:t>
            </w:r>
          </w:p>
        </w:tc>
        <w:tc>
          <w:tcPr/>
          <w:p>
            <w:pPr>
              <w:pStyle w:val="Compact"/>
            </w:pP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5"/>
    <w:bookmarkEnd w:id="46"/>
    <w:bookmarkStart w:id="47" w:name="formulation-dissolved"/>
    <w:p>
      <w:pPr>
        <w:pStyle w:val="Heading3"/>
      </w:pPr>
      <w:r>
        <w:t xml:space="preserve">Formulation: Dissolved</w:t>
      </w:r>
    </w:p>
    <w:p>
      <w:pPr>
        <w:pStyle w:val="FirstParagraph"/>
      </w:pPr>
      <w:r>
        <w:t xml:space="preserve">Type: Dissolved</w:t>
      </w:r>
    </w:p>
    <w:bookmarkEnd w:id="47"/>
    <w:bookmarkEnd w:id="48"/>
    <w:bookmarkStart w:id="55" w:name="diagnostics-plots"/>
    <w:p>
      <w:pPr>
        <w:pStyle w:val="Heading2"/>
      </w:pPr>
      <w:r>
        <w:t xml:space="preserve">Diagnostics Plots</w:t>
      </w:r>
      <w:bookmarkStart w:id="diagnostics-plots" w:name="diagnostics-plots"/>
      <w:bookmarkEnd w:id="diagnostics-plots"/>
    </w:p>
    <w:p>
      <w:pPr>
        <w:pStyle w:val="FirstParagraph"/>
      </w:pPr>
      <w:r>
        <w:t xml:space="preserve">Below you find the goodness-of-fit visual diagnostic plots for the PBPK model performance of all data used presented in</w:t>
      </w:r>
      <w:r>
        <w:t xml:space="preserve"> </w:t>
      </w:r>
      <w:hyperlink w:anchor="X7ecbd1fd734a207de60ff9705c88346a68b0398">
        <w:r>
          <w:rPr>
            <w:rStyle w:val="Hyperlink"/>
          </w:rPr>
          <w:t xml:space="preserve">Section 2.2.2</w:t>
        </w:r>
      </w:hyperlink>
      <w:r>
        <w:t xml:space="preserve">.</w:t>
      </w:r>
    </w:p>
    <w:p>
      <w:pPr>
        <w:pStyle w:val="BodyText"/>
      </w:pPr>
      <w:r>
        <w:t xml:space="preserve">The first plot shows simulated versus observed plasma concentrations, the second weighted residuals versus time.</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IV (model building)</w:t>
            </w:r>
          </w:p>
        </w:tc>
        <w:tc>
          <w:tcPr/>
          <w:p>
            <w:pPr>
              <w:pStyle w:val="Compact"/>
              <w:jc w:val="left"/>
            </w:pPr>
            <w:r>
              <w:t xml:space="preserve">1.38</w:t>
            </w:r>
          </w:p>
        </w:tc>
      </w:tr>
      <w:tr>
        <w:tc>
          <w:tcPr/>
          <w:p>
            <w:pPr>
              <w:pStyle w:val="Compact"/>
              <w:jc w:val="left"/>
            </w:pPr>
            <w:r>
              <w:t xml:space="preserve">PO MD</w:t>
            </w:r>
          </w:p>
        </w:tc>
        <w:tc>
          <w:tcPr/>
          <w:p>
            <w:pPr>
              <w:pStyle w:val="Compact"/>
              <w:jc w:val="left"/>
            </w:pPr>
            <w:r>
              <w:t xml:space="preserve">1.22</w:t>
            </w:r>
          </w:p>
        </w:tc>
      </w:tr>
      <w:tr>
        <w:tc>
          <w:tcPr/>
          <w:p>
            <w:pPr>
              <w:pStyle w:val="Compact"/>
              <w:jc w:val="left"/>
            </w:pPr>
            <w:r>
              <w:t xml:space="preserve">PO SD fasted (model building)</w:t>
            </w:r>
          </w:p>
        </w:tc>
        <w:tc>
          <w:tcPr/>
          <w:p>
            <w:pPr>
              <w:pStyle w:val="Compact"/>
              <w:jc w:val="left"/>
            </w:pPr>
            <w:r>
              <w:t xml:space="preserve">1.20</w:t>
            </w:r>
          </w:p>
        </w:tc>
      </w:tr>
      <w:tr>
        <w:tc>
          <w:tcPr/>
          <w:p>
            <w:pPr>
              <w:pStyle w:val="Compact"/>
              <w:jc w:val="left"/>
            </w:pPr>
            <w:r>
              <w:t xml:space="preserve">PO SD fed</w:t>
            </w:r>
          </w:p>
        </w:tc>
        <w:tc>
          <w:tcPr/>
          <w:p>
            <w:pPr>
              <w:pStyle w:val="Compact"/>
              <w:jc w:val="left"/>
            </w:pPr>
            <w:r>
              <w:t xml:space="preserve">1.43</w:t>
            </w:r>
          </w:p>
        </w:tc>
      </w:tr>
      <w:tr>
        <w:tc>
          <w:tcPr/>
          <w:p>
            <w:pPr>
              <w:pStyle w:val="Compact"/>
              <w:jc w:val="left"/>
            </w:pPr>
            <w:r>
              <w:t xml:space="preserve">PO SD IC tablets (Chang 2015)</w:t>
            </w:r>
          </w:p>
        </w:tc>
        <w:tc>
          <w:tcPr/>
          <w:p>
            <w:pPr>
              <w:pStyle w:val="Compact"/>
              <w:jc w:val="left"/>
            </w:pPr>
            <w:r>
              <w:t xml:space="preserve">1.27</w:t>
            </w:r>
          </w:p>
        </w:tc>
      </w:tr>
      <w:tr>
        <w:tc>
          <w:tcPr/>
          <w:p>
            <w:pPr>
              <w:pStyle w:val="Compact"/>
              <w:jc w:val="left"/>
            </w:pPr>
            <w:r>
              <w:t xml:space="preserve">All</w:t>
            </w:r>
          </w:p>
        </w:tc>
        <w:tc>
          <w:tcPr/>
          <w:p>
            <w:pPr>
              <w:pStyle w:val="Compact"/>
              <w:jc w:val="left"/>
            </w:pPr>
            <w:r>
              <w:t xml:space="preserve">1.22</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270208"/>
            <wp:effectExtent b="0" l="0" r="0" t="0"/>
            <wp:docPr descr="" title="" id="50" name="Picture"/>
            <a:graphic>
              <a:graphicData uri="http://schemas.openxmlformats.org/drawingml/2006/picture">
                <pic:pic>
                  <pic:nvPicPr>
                    <pic:cNvPr descr="images/006_section_results-and-discussion/008_section_diagnostics-plots/2_gof_plot_predictedVsObserved.png" id="51" name="Picture"/>
                    <pic:cNvPicPr>
                      <a:picLocks noChangeArrowheads="1" noChangeAspect="1"/>
                    </pic:cNvPicPr>
                  </pic:nvPicPr>
                  <pic:blipFill>
                    <a:blip r:embed="rId49"/>
                    <a:stretch>
                      <a:fillRect/>
                    </a:stretch>
                  </pic:blipFill>
                  <pic:spPr bwMode="auto">
                    <a:xfrm>
                      <a:off x="0" y="0"/>
                      <a:ext cx="5969000" cy="7270208"/>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989128"/>
            <wp:effectExtent b="0" l="0" r="0" t="0"/>
            <wp:docPr descr="" title="" id="53" name="Picture"/>
            <a:graphic>
              <a:graphicData uri="http://schemas.openxmlformats.org/drawingml/2006/picture">
                <pic:pic>
                  <pic:nvPicPr>
                    <pic:cNvPr descr="images/006_section_results-and-discussion/008_section_diagnostics-plots/3_gof_plot_residualsOverTime.png" id="54" name="Picture"/>
                    <pic:cNvPicPr>
                      <a:picLocks noChangeArrowheads="1" noChangeAspect="1"/>
                    </pic:cNvPicPr>
                  </pic:nvPicPr>
                  <pic:blipFill>
                    <a:blip r:embed="rId52"/>
                    <a:stretch>
                      <a:fillRect/>
                    </a:stretch>
                  </pic:blipFill>
                  <pic:spPr bwMode="auto">
                    <a:xfrm>
                      <a:off x="0" y="0"/>
                      <a:ext cx="5969000" cy="4989128"/>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5"/>
    <w:bookmarkStart w:id="191" w:name="concentration-time-profiles"/>
    <w:p>
      <w:pPr>
        <w:pStyle w:val="Heading2"/>
      </w:pPr>
      <w:r>
        <w:t xml:space="preserve">Concentration-Time Profiles</w:t>
      </w:r>
      <w:bookmarkStart w:id="ct-profiles" w:name="ct-profiles"/>
      <w:bookmarkEnd w:id="ct-profiles"/>
    </w:p>
    <w:p>
      <w:pPr>
        <w:pStyle w:val="FirstParagraph"/>
      </w:pPr>
      <w:r>
        <w:t xml:space="preserve">Simulated versus observed concentration-time profiles of all data listed in</w:t>
      </w:r>
      <w:r>
        <w:t xml:space="preserve"> </w:t>
      </w:r>
      <w:hyperlink w:anchor="X7ecbd1fd734a207de60ff9705c88346a68b0398">
        <w:r>
          <w:rPr>
            <w:rStyle w:val="Hyperlink"/>
          </w:rPr>
          <w:t xml:space="preserve">Section 2.2.2</w:t>
        </w:r>
      </w:hyperlink>
      <w:r>
        <w:t xml:space="preserve"> </w:t>
      </w:r>
      <w:r>
        <w:t xml:space="preserve">are presented below.</w:t>
      </w:r>
    </w:p>
    <w:bookmarkStart w:id="131" w:name="model-building-1"/>
    <w:p>
      <w:pPr>
        <w:pStyle w:val="Heading3"/>
      </w:pPr>
      <w:r>
        <w:t xml:space="preserve">Model Building</w:t>
      </w:r>
      <w:bookmarkStart w:id="model-building" w:name="model-building"/>
      <w:bookmarkEnd w:id="model-building"/>
    </w:p>
    <w:br w:type="page"/>
    <w:p>
      <w:pPr>
        <w:pStyle w:val="FirstParagraph"/>
      </w:pPr>
      <w:bookmarkStart w:id="figure-3-3" w:name="figure-3-3"/>
      <w:bookmarkEnd w:id="figure-3-3"/>
    </w:p>
    <w:p>
      <w:pPr>
        <w:pStyle w:val="BodyText"/>
      </w:pPr>
      <w:r>
        <w:drawing>
          <wp:inline>
            <wp:extent cx="5969000" cy="4853513"/>
            <wp:effectExtent b="0" l="0" r="0" t="0"/>
            <wp:docPr descr="" title="" id="57" name="Picture"/>
            <a:graphic>
              <a:graphicData uri="http://schemas.openxmlformats.org/drawingml/2006/picture">
                <pic:pic>
                  <pic:nvPicPr>
                    <pic:cNvPr descr="images/006_section_results-and-discussion/009_section_ct-profiles/010_section_model-building/1_time_profile_plot_Dapagliflozin_IV_0_08_mg__perm_.png" id="58" name="Picture"/>
                    <pic:cNvPicPr>
                      <a:picLocks noChangeArrowheads="1" noChangeAspect="1"/>
                    </pic:cNvPicPr>
                  </pic:nvPicPr>
                  <pic:blipFill>
                    <a:blip r:embed="rId5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 IV 0.08 mg (perm)</w:t>
      </w:r>
    </w:p>
    <w:p>
      <w:pPr>
        <w:pStyle w:val="BodyText"/>
      </w:pPr>
      <w:r>
        <w:t xml:space="preserve"> </w:t>
      </w:r>
    </w:p>
    <w:br w:type="page"/>
    <w:p>
      <w:pPr>
        <w:pStyle w:val="BodyText"/>
      </w:pPr>
      <w:bookmarkStart w:id="figure-3-4" w:name="figure-3-4"/>
      <w:bookmarkEnd w:id="figure-3-4"/>
    </w:p>
    <w:p>
      <w:pPr>
        <w:pStyle w:val="BodyText"/>
      </w:pPr>
      <w:r>
        <w:drawing>
          <wp:inline>
            <wp:extent cx="5969000" cy="5464738"/>
            <wp:effectExtent b="0" l="0" r="0" t="0"/>
            <wp:docPr descr="" title="" id="60" name="Picture"/>
            <a:graphic>
              <a:graphicData uri="http://schemas.openxmlformats.org/drawingml/2006/picture">
                <pic:pic>
                  <pic:nvPicPr>
                    <pic:cNvPr descr="images/006_section_results-and-discussion/009_section_ct-profiles/010_section_model-building/2_time_profile_plot_Dapagliflozin_PO_SD_2_5_mg__perm_.png" id="61" name="Picture"/>
                    <pic:cNvPicPr>
                      <a:picLocks noChangeArrowheads="1" noChangeAspect="1"/>
                    </pic:cNvPicPr>
                  </pic:nvPicPr>
                  <pic:blipFill>
                    <a:blip r:embed="rId5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 PO SD 2.5 mg (perm)</w:t>
      </w:r>
    </w:p>
    <w:p>
      <w:pPr>
        <w:pStyle w:val="BodyText"/>
      </w:pPr>
      <w:r>
        <w:t xml:space="preserve"> </w:t>
      </w:r>
    </w:p>
    <w:br w:type="page"/>
    <w:p>
      <w:pPr>
        <w:pStyle w:val="BodyText"/>
      </w:pPr>
      <w:bookmarkStart w:id="figure-3-5" w:name="figure-3-5"/>
      <w:bookmarkEnd w:id="figure-3-5"/>
    </w:p>
    <w:p>
      <w:pPr>
        <w:pStyle w:val="BodyText"/>
      </w:pPr>
      <w:r>
        <w:drawing>
          <wp:inline>
            <wp:extent cx="5969000" cy="5464738"/>
            <wp:effectExtent b="0" l="0" r="0" t="0"/>
            <wp:docPr descr="" title="" id="63" name="Picture"/>
            <a:graphic>
              <a:graphicData uri="http://schemas.openxmlformats.org/drawingml/2006/picture">
                <pic:pic>
                  <pic:nvPicPr>
                    <pic:cNvPr descr="images/006_section_results-and-discussion/009_section_ct-profiles/010_section_model-building/3_time_profile_plot_Dapagliflozin_PO_SD_2_5_mg__perm_.png" id="64" name="Picture"/>
                    <pic:cNvPicPr>
                      <a:picLocks noChangeArrowheads="1" noChangeAspect="1"/>
                    </pic:cNvPicPr>
                  </pic:nvPicPr>
                  <pic:blipFill>
                    <a:blip r:embed="rId6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3-5: PO SD 2.5 mg (perm)</w:t>
      </w:r>
    </w:p>
    <w:p>
      <w:pPr>
        <w:pStyle w:val="BodyText"/>
      </w:pPr>
      <w:r>
        <w:t xml:space="preserve"> </w:t>
      </w:r>
    </w:p>
    <w:br w:type="page"/>
    <w:p>
      <w:pPr>
        <w:pStyle w:val="BodyText"/>
      </w:pPr>
      <w:bookmarkStart w:id="figure-3-6" w:name="figure-3-6"/>
      <w:bookmarkEnd w:id="figure-3-6"/>
    </w:p>
    <w:p>
      <w:pPr>
        <w:pStyle w:val="BodyText"/>
      </w:pPr>
      <w:r>
        <w:drawing>
          <wp:inline>
            <wp:extent cx="5969000" cy="4853513"/>
            <wp:effectExtent b="0" l="0" r="0" t="0"/>
            <wp:docPr descr="" title="" id="66" name="Picture"/>
            <a:graphic>
              <a:graphicData uri="http://schemas.openxmlformats.org/drawingml/2006/picture">
                <pic:pic>
                  <pic:nvPicPr>
                    <pic:cNvPr descr="images/006_section_results-and-discussion/009_section_ct-profiles/010_section_model-building/4_time_profile_plot_Dapagliflozin_PO_SD_2_5_mg__perm_.png" id="67" name="Picture"/>
                    <pic:cNvPicPr>
                      <a:picLocks noChangeArrowheads="1" noChangeAspect="1"/>
                    </pic:cNvPicPr>
                  </pic:nvPicPr>
                  <pic:blipFill>
                    <a:blip r:embed="rId6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3-6: PO SD 2.5 mg (perm) (urinary excretion)</w:t>
      </w:r>
    </w:p>
    <w:p>
      <w:pPr>
        <w:pStyle w:val="BodyText"/>
      </w:pPr>
      <w:r>
        <w:t xml:space="preserve"> </w:t>
      </w:r>
    </w:p>
    <w:br w:type="page"/>
    <w:p>
      <w:pPr>
        <w:pStyle w:val="BodyText"/>
      </w:pPr>
      <w:bookmarkStart w:id="figure-3-7" w:name="figure-3-7"/>
      <w:bookmarkEnd w:id="figure-3-7"/>
    </w:p>
    <w:p>
      <w:pPr>
        <w:pStyle w:val="BodyText"/>
      </w:pPr>
      <w:r>
        <w:drawing>
          <wp:inline>
            <wp:extent cx="5969000" cy="4853513"/>
            <wp:effectExtent b="0" l="0" r="0" t="0"/>
            <wp:docPr descr="" title="" id="69" name="Picture"/>
            <a:graphic>
              <a:graphicData uri="http://schemas.openxmlformats.org/drawingml/2006/picture">
                <pic:pic>
                  <pic:nvPicPr>
                    <pic:cNvPr descr="images/006_section_results-and-discussion/009_section_ct-profiles/010_section_model-building/5_time_profile_plot_Dapagliflozin_PO_SD_5_mg__perm_.png" id="70" name="Picture"/>
                    <pic:cNvPicPr>
                      <a:picLocks noChangeArrowheads="1" noChangeAspect="1"/>
                    </pic:cNvPicPr>
                  </pic:nvPicPr>
                  <pic:blipFill>
                    <a:blip r:embed="rId6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3-7: PO SD 5 mg (perm)</w:t>
      </w:r>
    </w:p>
    <w:p>
      <w:pPr>
        <w:pStyle w:val="BodyText"/>
      </w:pPr>
      <w:r>
        <w:t xml:space="preserve"> </w:t>
      </w:r>
    </w:p>
    <w:br w:type="page"/>
    <w:p>
      <w:pPr>
        <w:pStyle w:val="BodyText"/>
      </w:pPr>
      <w:bookmarkStart w:id="figure-3-8" w:name="figure-3-8"/>
      <w:bookmarkEnd w:id="figure-3-8"/>
    </w:p>
    <w:p>
      <w:pPr>
        <w:pStyle w:val="BodyText"/>
      </w:pPr>
      <w:r>
        <w:drawing>
          <wp:inline>
            <wp:extent cx="5969000" cy="4853513"/>
            <wp:effectExtent b="0" l="0" r="0" t="0"/>
            <wp:docPr descr="" title="" id="72" name="Picture"/>
            <a:graphic>
              <a:graphicData uri="http://schemas.openxmlformats.org/drawingml/2006/picture">
                <pic:pic>
                  <pic:nvPicPr>
                    <pic:cNvPr descr="images/006_section_results-and-discussion/009_section_ct-profiles/010_section_model-building/6_time_profile_plot_Dapagliflozin_PO_SD_5_mg__perm_.png" id="73" name="Picture"/>
                    <pic:cNvPicPr>
                      <a:picLocks noChangeArrowheads="1" noChangeAspect="1"/>
                    </pic:cNvPicPr>
                  </pic:nvPicPr>
                  <pic:blipFill>
                    <a:blip r:embed="rId71"/>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3-8: PO SD 5 mg (perm)</w:t>
      </w:r>
    </w:p>
    <w:p>
      <w:pPr>
        <w:pStyle w:val="BodyText"/>
      </w:pPr>
      <w:r>
        <w:t xml:space="preserve"> </w:t>
      </w:r>
    </w:p>
    <w:br w:type="page"/>
    <w:p>
      <w:pPr>
        <w:pStyle w:val="BodyText"/>
      </w:pPr>
      <w:bookmarkStart w:id="figure-3-9" w:name="figure-3-9"/>
      <w:bookmarkEnd w:id="figure-3-9"/>
    </w:p>
    <w:p>
      <w:pPr>
        <w:pStyle w:val="BodyText"/>
      </w:pPr>
      <w:r>
        <w:drawing>
          <wp:inline>
            <wp:extent cx="5969000" cy="4853513"/>
            <wp:effectExtent b="0" l="0" r="0" t="0"/>
            <wp:docPr descr="" title="" id="75" name="Picture"/>
            <a:graphic>
              <a:graphicData uri="http://schemas.openxmlformats.org/drawingml/2006/picture">
                <pic:pic>
                  <pic:nvPicPr>
                    <pic:cNvPr descr="images/006_section_results-and-discussion/009_section_ct-profiles/010_section_model-building/7_time_profile_plot_Dapagliflozin_PO_SD_5_mg__perm_.png" id="76" name="Picture"/>
                    <pic:cNvPicPr>
                      <a:picLocks noChangeArrowheads="1" noChangeAspect="1"/>
                    </pic:cNvPicPr>
                  </pic:nvPicPr>
                  <pic:blipFill>
                    <a:blip r:embed="rId7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3-9: PO SD 5 mg (perm) (urinary excretion)</w:t>
      </w:r>
    </w:p>
    <w:p>
      <w:pPr>
        <w:pStyle w:val="BodyText"/>
      </w:pPr>
      <w:r>
        <w:t xml:space="preserve"> </w:t>
      </w:r>
    </w:p>
    <w:br w:type="page"/>
    <w:p>
      <w:pPr>
        <w:pStyle w:val="BodyText"/>
      </w:pPr>
      <w:bookmarkStart w:id="figure-3-10" w:name="figure-3-10"/>
      <w:bookmarkEnd w:id="figure-3-10"/>
    </w:p>
    <w:p>
      <w:pPr>
        <w:pStyle w:val="BodyText"/>
      </w:pPr>
      <w:r>
        <w:drawing>
          <wp:inline>
            <wp:extent cx="5969000" cy="9743318"/>
            <wp:effectExtent b="0" l="0" r="0" t="0"/>
            <wp:docPr descr="" title="" id="78" name="Picture"/>
            <a:graphic>
              <a:graphicData uri="http://schemas.openxmlformats.org/drawingml/2006/picture">
                <pic:pic>
                  <pic:nvPicPr>
                    <pic:cNvPr descr="images/006_section_results-and-discussion/009_section_ct-profiles/010_section_model-building/8_time_profile_plot_Dapagliflozin_PO_SD_10_mg__perm_.png" id="79" name="Picture"/>
                    <pic:cNvPicPr>
                      <a:picLocks noChangeArrowheads="1" noChangeAspect="1"/>
                    </pic:cNvPicPr>
                  </pic:nvPicPr>
                  <pic:blipFill>
                    <a:blip r:embed="rId77"/>
                    <a:stretch>
                      <a:fillRect/>
                    </a:stretch>
                  </pic:blipFill>
                  <pic:spPr bwMode="auto">
                    <a:xfrm>
                      <a:off x="0" y="0"/>
                      <a:ext cx="5969000" cy="9743318"/>
                    </a:xfrm>
                    <a:prstGeom prst="rect">
                      <a:avLst/>
                    </a:prstGeom>
                    <a:noFill/>
                    <a:ln w="9525">
                      <a:noFill/>
                      <a:headEnd/>
                      <a:tailEnd/>
                    </a:ln>
                  </pic:spPr>
                </pic:pic>
              </a:graphicData>
            </a:graphic>
          </wp:inline>
        </w:drawing>
      </w:r>
    </w:p>
    <w:p>
      <w:pPr>
        <w:pStyle w:val="BodyText"/>
      </w:pPr>
      <w:r>
        <w:rPr>
          <w:bCs/>
          <w:b/>
        </w:rPr>
        <w:t xml:space="preserve">Figure 3-10: PO SD 10 mg (perm)</w:t>
      </w:r>
    </w:p>
    <w:p>
      <w:pPr>
        <w:pStyle w:val="BodyText"/>
      </w:pPr>
      <w:r>
        <w:t xml:space="preserve"> </w:t>
      </w:r>
    </w:p>
    <w:br w:type="page"/>
    <w:p>
      <w:pPr>
        <w:pStyle w:val="BodyText"/>
      </w:pPr>
      <w:bookmarkStart w:id="figure-3-11" w:name="figure-3-11"/>
      <w:bookmarkEnd w:id="figure-3-11"/>
    </w:p>
    <w:p>
      <w:pPr>
        <w:pStyle w:val="BodyText"/>
      </w:pPr>
      <w:r>
        <w:drawing>
          <wp:inline>
            <wp:extent cx="5969000" cy="9743318"/>
            <wp:effectExtent b="0" l="0" r="0" t="0"/>
            <wp:docPr descr="" title="" id="81" name="Picture"/>
            <a:graphic>
              <a:graphicData uri="http://schemas.openxmlformats.org/drawingml/2006/picture">
                <pic:pic>
                  <pic:nvPicPr>
                    <pic:cNvPr descr="images/006_section_results-and-discussion/009_section_ct-profiles/010_section_model-building/9_time_profile_plot_Dapagliflozin_PO_SD_10_mg__perm_.png" id="82" name="Picture"/>
                    <pic:cNvPicPr>
                      <a:picLocks noChangeArrowheads="1" noChangeAspect="1"/>
                    </pic:cNvPicPr>
                  </pic:nvPicPr>
                  <pic:blipFill>
                    <a:blip r:embed="rId80"/>
                    <a:stretch>
                      <a:fillRect/>
                    </a:stretch>
                  </pic:blipFill>
                  <pic:spPr bwMode="auto">
                    <a:xfrm>
                      <a:off x="0" y="0"/>
                      <a:ext cx="5969000" cy="9743318"/>
                    </a:xfrm>
                    <a:prstGeom prst="rect">
                      <a:avLst/>
                    </a:prstGeom>
                    <a:noFill/>
                    <a:ln w="9525">
                      <a:noFill/>
                      <a:headEnd/>
                      <a:tailEnd/>
                    </a:ln>
                  </pic:spPr>
                </pic:pic>
              </a:graphicData>
            </a:graphic>
          </wp:inline>
        </w:drawing>
      </w:r>
    </w:p>
    <w:p>
      <w:pPr>
        <w:pStyle w:val="BodyText"/>
      </w:pPr>
      <w:r>
        <w:rPr>
          <w:bCs/>
          <w:b/>
        </w:rPr>
        <w:t xml:space="preserve">Figure 3-11: PO SD 10 mg (perm)</w:t>
      </w:r>
    </w:p>
    <w:p>
      <w:pPr>
        <w:pStyle w:val="BodyText"/>
      </w:pPr>
      <w:r>
        <w:t xml:space="preserve"> </w:t>
      </w:r>
    </w:p>
    <w:br w:type="page"/>
    <w:p>
      <w:pPr>
        <w:pStyle w:val="BodyText"/>
      </w:pPr>
      <w:bookmarkStart w:id="figure-3-12" w:name="figure-3-12"/>
      <w:bookmarkEnd w:id="figure-3-12"/>
    </w:p>
    <w:p>
      <w:pPr>
        <w:pStyle w:val="BodyText"/>
      </w:pPr>
      <w:r>
        <w:drawing>
          <wp:inline>
            <wp:extent cx="5969000" cy="4853513"/>
            <wp:effectExtent b="0" l="0" r="0" t="0"/>
            <wp:docPr descr="" title="" id="84" name="Picture"/>
            <a:graphic>
              <a:graphicData uri="http://schemas.openxmlformats.org/drawingml/2006/picture">
                <pic:pic>
                  <pic:nvPicPr>
                    <pic:cNvPr descr="images/006_section_results-and-discussion/009_section_ct-profiles/010_section_model-building/10_time_profile_plot_Dapagliflozin_PO_SD_10_mg__perm_.png" id="85" name="Picture"/>
                    <pic:cNvPicPr>
                      <a:picLocks noChangeArrowheads="1" noChangeAspect="1"/>
                    </pic:cNvPicPr>
                  </pic:nvPicPr>
                  <pic:blipFill>
                    <a:blip r:embed="rId8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3-12: PO SD 10 mg (perm) (urinary excretion)</w:t>
      </w:r>
    </w:p>
    <w:p>
      <w:pPr>
        <w:pStyle w:val="BodyText"/>
      </w:pPr>
      <w:r>
        <w:t xml:space="preserve"> </w:t>
      </w:r>
    </w:p>
    <w:br w:type="page"/>
    <w:p>
      <w:pPr>
        <w:pStyle w:val="BodyText"/>
      </w:pPr>
      <w:bookmarkStart w:id="figure-3-13" w:name="figure-3-13"/>
      <w:bookmarkEnd w:id="figure-3-13"/>
    </w:p>
    <w:p>
      <w:pPr>
        <w:pStyle w:val="BodyText"/>
      </w:pPr>
      <w:r>
        <w:drawing>
          <wp:inline>
            <wp:extent cx="5969000" cy="7298415"/>
            <wp:effectExtent b="0" l="0" r="0" t="0"/>
            <wp:docPr descr="" title="" id="87" name="Picture"/>
            <a:graphic>
              <a:graphicData uri="http://schemas.openxmlformats.org/drawingml/2006/picture">
                <pic:pic>
                  <pic:nvPicPr>
                    <pic:cNvPr descr="images/006_section_results-and-discussion/009_section_ct-profiles/010_section_model-building/11_time_profile_plot_Dapagliflozin_PO_SD_20_mg__perm_.png" id="88" name="Picture"/>
                    <pic:cNvPicPr>
                      <a:picLocks noChangeArrowheads="1" noChangeAspect="1"/>
                    </pic:cNvPicPr>
                  </pic:nvPicPr>
                  <pic:blipFill>
                    <a:blip r:embed="rId86"/>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3-13: PO SD 20 mg (perm)</w:t>
      </w:r>
    </w:p>
    <w:p>
      <w:pPr>
        <w:pStyle w:val="BodyText"/>
      </w:pPr>
      <w:r>
        <w:t xml:space="preserve"> </w:t>
      </w:r>
    </w:p>
    <w:br w:type="page"/>
    <w:p>
      <w:pPr>
        <w:pStyle w:val="BodyText"/>
      </w:pPr>
      <w:bookmarkStart w:id="figure-3-14" w:name="figure-3-14"/>
      <w:bookmarkEnd w:id="figure-3-14"/>
    </w:p>
    <w:p>
      <w:pPr>
        <w:pStyle w:val="BodyText"/>
      </w:pPr>
      <w:r>
        <w:drawing>
          <wp:inline>
            <wp:extent cx="5969000" cy="7298415"/>
            <wp:effectExtent b="0" l="0" r="0" t="0"/>
            <wp:docPr descr="" title="" id="90" name="Picture"/>
            <a:graphic>
              <a:graphicData uri="http://schemas.openxmlformats.org/drawingml/2006/picture">
                <pic:pic>
                  <pic:nvPicPr>
                    <pic:cNvPr descr="images/006_section_results-and-discussion/009_section_ct-profiles/010_section_model-building/12_time_profile_plot_Dapagliflozin_PO_SD_20_mg__perm_.png" id="91" name="Picture"/>
                    <pic:cNvPicPr>
                      <a:picLocks noChangeArrowheads="1" noChangeAspect="1"/>
                    </pic:cNvPicPr>
                  </pic:nvPicPr>
                  <pic:blipFill>
                    <a:blip r:embed="rId89"/>
                    <a:stretch>
                      <a:fillRect/>
                    </a:stretch>
                  </pic:blipFill>
                  <pic:spPr bwMode="auto">
                    <a:xfrm>
                      <a:off x="0" y="0"/>
                      <a:ext cx="5969000" cy="7298415"/>
                    </a:xfrm>
                    <a:prstGeom prst="rect">
                      <a:avLst/>
                    </a:prstGeom>
                    <a:noFill/>
                    <a:ln w="9525">
                      <a:noFill/>
                      <a:headEnd/>
                      <a:tailEnd/>
                    </a:ln>
                  </pic:spPr>
                </pic:pic>
              </a:graphicData>
            </a:graphic>
          </wp:inline>
        </w:drawing>
      </w:r>
    </w:p>
    <w:p>
      <w:pPr>
        <w:pStyle w:val="BodyText"/>
      </w:pPr>
      <w:r>
        <w:rPr>
          <w:bCs/>
          <w:b/>
        </w:rPr>
        <w:t xml:space="preserve">Figure 3-14: PO SD 20 mg (perm)</w:t>
      </w:r>
    </w:p>
    <w:p>
      <w:pPr>
        <w:pStyle w:val="BodyText"/>
      </w:pPr>
      <w:r>
        <w:t xml:space="preserve"> </w:t>
      </w:r>
    </w:p>
    <w:br w:type="page"/>
    <w:p>
      <w:pPr>
        <w:pStyle w:val="BodyText"/>
      </w:pPr>
      <w:bookmarkStart w:id="figure-3-15" w:name="figure-3-15"/>
      <w:bookmarkEnd w:id="figure-3-15"/>
    </w:p>
    <w:p>
      <w:pPr>
        <w:pStyle w:val="BodyText"/>
      </w:pPr>
      <w:r>
        <w:drawing>
          <wp:inline>
            <wp:extent cx="5969000" cy="4853513"/>
            <wp:effectExtent b="0" l="0" r="0" t="0"/>
            <wp:docPr descr="" title="" id="93" name="Picture"/>
            <a:graphic>
              <a:graphicData uri="http://schemas.openxmlformats.org/drawingml/2006/picture">
                <pic:pic>
                  <pic:nvPicPr>
                    <pic:cNvPr descr="images/006_section_results-and-discussion/009_section_ct-profiles/010_section_model-building/13_time_profile_plot_Dapagliflozin_PO_SD_20_mg__perm_.png" id="94" name="Picture"/>
                    <pic:cNvPicPr>
                      <a:picLocks noChangeArrowheads="1" noChangeAspect="1"/>
                    </pic:cNvPicPr>
                  </pic:nvPicPr>
                  <pic:blipFill>
                    <a:blip r:embed="rId9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3-15: PO SD 2.5 mg (perm) (urinary excretion)</w:t>
      </w:r>
    </w:p>
    <w:p>
      <w:pPr>
        <w:pStyle w:val="BodyText"/>
      </w:pPr>
      <w:r>
        <w:t xml:space="preserve"> </w:t>
      </w:r>
    </w:p>
    <w:br w:type="page"/>
    <w:p>
      <w:pPr>
        <w:pStyle w:val="BodyText"/>
      </w:pPr>
      <w:bookmarkStart w:id="figure-3-16" w:name="figure-3-16"/>
      <w:bookmarkEnd w:id="figure-3-16"/>
    </w:p>
    <w:p>
      <w:pPr>
        <w:pStyle w:val="BodyText"/>
      </w:pPr>
      <w:r>
        <w:drawing>
          <wp:inline>
            <wp:extent cx="5969000" cy="6687190"/>
            <wp:effectExtent b="0" l="0" r="0" t="0"/>
            <wp:docPr descr="" title="" id="96" name="Picture"/>
            <a:graphic>
              <a:graphicData uri="http://schemas.openxmlformats.org/drawingml/2006/picture">
                <pic:pic>
                  <pic:nvPicPr>
                    <pic:cNvPr descr="images/006_section_results-and-discussion/009_section_ct-profiles/010_section_model-building/14_time_profile_plot_Dapagliflozin_PO_SD_50_mg__perm_.png" id="97" name="Picture"/>
                    <pic:cNvPicPr>
                      <a:picLocks noChangeArrowheads="1" noChangeAspect="1"/>
                    </pic:cNvPicPr>
                  </pic:nvPicPr>
                  <pic:blipFill>
                    <a:blip r:embed="rId95"/>
                    <a:stretch>
                      <a:fillRect/>
                    </a:stretch>
                  </pic:blipFill>
                  <pic:spPr bwMode="auto">
                    <a:xfrm>
                      <a:off x="0" y="0"/>
                      <a:ext cx="5969000" cy="6687190"/>
                    </a:xfrm>
                    <a:prstGeom prst="rect">
                      <a:avLst/>
                    </a:prstGeom>
                    <a:noFill/>
                    <a:ln w="9525">
                      <a:noFill/>
                      <a:headEnd/>
                      <a:tailEnd/>
                    </a:ln>
                  </pic:spPr>
                </pic:pic>
              </a:graphicData>
            </a:graphic>
          </wp:inline>
        </w:drawing>
      </w:r>
    </w:p>
    <w:p>
      <w:pPr>
        <w:pStyle w:val="BodyText"/>
      </w:pPr>
      <w:r>
        <w:rPr>
          <w:bCs/>
          <w:b/>
        </w:rPr>
        <w:t xml:space="preserve">Figure 3-16: PO SD 50 mg (perm)</w:t>
      </w:r>
    </w:p>
    <w:p>
      <w:pPr>
        <w:pStyle w:val="BodyText"/>
      </w:pPr>
      <w:r>
        <w:t xml:space="preserve"> </w:t>
      </w:r>
    </w:p>
    <w:br w:type="page"/>
    <w:p>
      <w:pPr>
        <w:pStyle w:val="BodyText"/>
      </w:pPr>
      <w:bookmarkStart w:id="figure-3-17" w:name="figure-3-17"/>
      <w:bookmarkEnd w:id="figure-3-17"/>
    </w:p>
    <w:p>
      <w:pPr>
        <w:pStyle w:val="BodyText"/>
      </w:pPr>
      <w:r>
        <w:drawing>
          <wp:inline>
            <wp:extent cx="5969000" cy="6687190"/>
            <wp:effectExtent b="0" l="0" r="0" t="0"/>
            <wp:docPr descr="" title="" id="99" name="Picture"/>
            <a:graphic>
              <a:graphicData uri="http://schemas.openxmlformats.org/drawingml/2006/picture">
                <pic:pic>
                  <pic:nvPicPr>
                    <pic:cNvPr descr="images/006_section_results-and-discussion/009_section_ct-profiles/010_section_model-building/15_time_profile_plot_Dapagliflozin_PO_SD_50_mg__perm_.png" id="100" name="Picture"/>
                    <pic:cNvPicPr>
                      <a:picLocks noChangeArrowheads="1" noChangeAspect="1"/>
                    </pic:cNvPicPr>
                  </pic:nvPicPr>
                  <pic:blipFill>
                    <a:blip r:embed="rId98"/>
                    <a:stretch>
                      <a:fillRect/>
                    </a:stretch>
                  </pic:blipFill>
                  <pic:spPr bwMode="auto">
                    <a:xfrm>
                      <a:off x="0" y="0"/>
                      <a:ext cx="5969000" cy="6687190"/>
                    </a:xfrm>
                    <a:prstGeom prst="rect">
                      <a:avLst/>
                    </a:prstGeom>
                    <a:noFill/>
                    <a:ln w="9525">
                      <a:noFill/>
                      <a:headEnd/>
                      <a:tailEnd/>
                    </a:ln>
                  </pic:spPr>
                </pic:pic>
              </a:graphicData>
            </a:graphic>
          </wp:inline>
        </w:drawing>
      </w:r>
    </w:p>
    <w:p>
      <w:pPr>
        <w:pStyle w:val="BodyText"/>
      </w:pPr>
      <w:r>
        <w:rPr>
          <w:bCs/>
          <w:b/>
        </w:rPr>
        <w:t xml:space="preserve">Figure 3-17: PO SD 50 mg (perm)</w:t>
      </w:r>
    </w:p>
    <w:p>
      <w:pPr>
        <w:pStyle w:val="BodyText"/>
      </w:pPr>
      <w:r>
        <w:t xml:space="preserve"> </w:t>
      </w:r>
    </w:p>
    <w:br w:type="page"/>
    <w:p>
      <w:pPr>
        <w:pStyle w:val="BodyText"/>
      </w:pPr>
      <w:bookmarkStart w:id="figure-3-18" w:name="figure-3-18"/>
      <w:bookmarkEnd w:id="figure-3-18"/>
    </w:p>
    <w:p>
      <w:pPr>
        <w:pStyle w:val="BodyText"/>
      </w:pPr>
      <w:r>
        <w:drawing>
          <wp:inline>
            <wp:extent cx="5969000" cy="9070969"/>
            <wp:effectExtent b="0" l="0" r="0" t="0"/>
            <wp:docPr descr="" title="" id="102" name="Picture"/>
            <a:graphic>
              <a:graphicData uri="http://schemas.openxmlformats.org/drawingml/2006/picture">
                <pic:pic>
                  <pic:nvPicPr>
                    <pic:cNvPr descr="images/006_section_results-and-discussion/009_section_ct-profiles/010_section_model-building/16_time_profile_plot_Dapagliflozin_PO_SD_50_mg__perm_.png" id="103" name="Picture"/>
                    <pic:cNvPicPr>
                      <a:picLocks noChangeArrowheads="1" noChangeAspect="1"/>
                    </pic:cNvPicPr>
                  </pic:nvPicPr>
                  <pic:blipFill>
                    <a:blip r:embed="rId101"/>
                    <a:stretch>
                      <a:fillRect/>
                    </a:stretch>
                  </pic:blipFill>
                  <pic:spPr bwMode="auto">
                    <a:xfrm>
                      <a:off x="0" y="0"/>
                      <a:ext cx="5969000" cy="9070969"/>
                    </a:xfrm>
                    <a:prstGeom prst="rect">
                      <a:avLst/>
                    </a:prstGeom>
                    <a:noFill/>
                    <a:ln w="9525">
                      <a:noFill/>
                      <a:headEnd/>
                      <a:tailEnd/>
                    </a:ln>
                  </pic:spPr>
                </pic:pic>
              </a:graphicData>
            </a:graphic>
          </wp:inline>
        </w:drawing>
      </w:r>
    </w:p>
    <w:p>
      <w:pPr>
        <w:pStyle w:val="BodyText"/>
      </w:pPr>
      <w:r>
        <w:rPr>
          <w:bCs/>
          <w:b/>
        </w:rPr>
        <w:t xml:space="preserve">Figure 3-18: PO SD 50 mg (perm) (fraction excreted/metabolized)</w:t>
      </w:r>
    </w:p>
    <w:p>
      <w:pPr>
        <w:pStyle w:val="BodyText"/>
      </w:pPr>
      <w:r>
        <w:t xml:space="preserve"> </w:t>
      </w:r>
    </w:p>
    <w:br w:type="page"/>
    <w:p>
      <w:pPr>
        <w:pStyle w:val="BodyText"/>
      </w:pPr>
      <w:bookmarkStart w:id="figure-3-19" w:name="figure-3-19"/>
      <w:bookmarkEnd w:id="figure-3-19"/>
    </w:p>
    <w:p>
      <w:pPr>
        <w:pStyle w:val="BodyText"/>
      </w:pPr>
      <w:r>
        <w:drawing>
          <wp:inline>
            <wp:extent cx="5969000" cy="5464738"/>
            <wp:effectExtent b="0" l="0" r="0" t="0"/>
            <wp:docPr descr="" title="" id="105" name="Picture"/>
            <a:graphic>
              <a:graphicData uri="http://schemas.openxmlformats.org/drawingml/2006/picture">
                <pic:pic>
                  <pic:nvPicPr>
                    <pic:cNvPr descr="images/006_section_results-and-discussion/009_section_ct-profiles/010_section_model-building/17_time_profile_plot_Dapagliflozin_PO_SD_100_mg__perm_.png" id="106" name="Picture"/>
                    <pic:cNvPicPr>
                      <a:picLocks noChangeArrowheads="1" noChangeAspect="1"/>
                    </pic:cNvPicPr>
                  </pic:nvPicPr>
                  <pic:blipFill>
                    <a:blip r:embed="rId104"/>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3-19: PO SD 100 mg (perm)</w:t>
      </w:r>
    </w:p>
    <w:p>
      <w:pPr>
        <w:pStyle w:val="BodyText"/>
      </w:pPr>
      <w:r>
        <w:t xml:space="preserve"> </w:t>
      </w:r>
    </w:p>
    <w:br w:type="page"/>
    <w:p>
      <w:pPr>
        <w:pStyle w:val="BodyText"/>
      </w:pPr>
      <w:bookmarkStart w:id="figure-3-20" w:name="figure-3-20"/>
      <w:bookmarkEnd w:id="figure-3-20"/>
    </w:p>
    <w:p>
      <w:pPr>
        <w:pStyle w:val="BodyText"/>
      </w:pPr>
      <w:r>
        <w:drawing>
          <wp:inline>
            <wp:extent cx="5969000" cy="5464738"/>
            <wp:effectExtent b="0" l="0" r="0" t="0"/>
            <wp:docPr descr="" title="" id="108" name="Picture"/>
            <a:graphic>
              <a:graphicData uri="http://schemas.openxmlformats.org/drawingml/2006/picture">
                <pic:pic>
                  <pic:nvPicPr>
                    <pic:cNvPr descr="images/006_section_results-and-discussion/009_section_ct-profiles/010_section_model-building/18_time_profile_plot_Dapagliflozin_PO_SD_100_mg__perm_.png" id="109" name="Picture"/>
                    <pic:cNvPicPr>
                      <a:picLocks noChangeArrowheads="1" noChangeAspect="1"/>
                    </pic:cNvPicPr>
                  </pic:nvPicPr>
                  <pic:blipFill>
                    <a:blip r:embed="rId107"/>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3-20: PO SD 100 mg (perm)</w:t>
      </w:r>
    </w:p>
    <w:p>
      <w:pPr>
        <w:pStyle w:val="BodyText"/>
      </w:pPr>
      <w:r>
        <w:t xml:space="preserve"> </w:t>
      </w:r>
    </w:p>
    <w:br w:type="page"/>
    <w:p>
      <w:pPr>
        <w:pStyle w:val="BodyText"/>
      </w:pPr>
      <w:bookmarkStart w:id="figure-3-21" w:name="figure-3-21"/>
      <w:bookmarkEnd w:id="figure-3-21"/>
    </w:p>
    <w:p>
      <w:pPr>
        <w:pStyle w:val="BodyText"/>
      </w:pPr>
      <w:r>
        <w:drawing>
          <wp:inline>
            <wp:extent cx="5969000" cy="4853513"/>
            <wp:effectExtent b="0" l="0" r="0" t="0"/>
            <wp:docPr descr="" title="" id="111" name="Picture"/>
            <a:graphic>
              <a:graphicData uri="http://schemas.openxmlformats.org/drawingml/2006/picture">
                <pic:pic>
                  <pic:nvPicPr>
                    <pic:cNvPr descr="images/006_section_results-and-discussion/009_section_ct-profiles/010_section_model-building/19_time_profile_plot_Dapagliflozin_PO_SD_100_mg__perm_.png" id="112" name="Picture"/>
                    <pic:cNvPicPr>
                      <a:picLocks noChangeArrowheads="1" noChangeAspect="1"/>
                    </pic:cNvPicPr>
                  </pic:nvPicPr>
                  <pic:blipFill>
                    <a:blip r:embed="rId110"/>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3-21: PO SD 100 mg (perm) (urinary excretion)</w:t>
      </w:r>
    </w:p>
    <w:p>
      <w:pPr>
        <w:pStyle w:val="BodyText"/>
      </w:pPr>
      <w:r>
        <w:t xml:space="preserve"> </w:t>
      </w:r>
    </w:p>
    <w:br w:type="page"/>
    <w:p>
      <w:pPr>
        <w:pStyle w:val="BodyText"/>
      </w:pPr>
      <w:bookmarkStart w:id="figure-3-22" w:name="figure-3-22"/>
      <w:bookmarkEnd w:id="figure-3-22"/>
    </w:p>
    <w:p>
      <w:pPr>
        <w:pStyle w:val="BodyText"/>
      </w:pPr>
      <w:r>
        <w:drawing>
          <wp:inline>
            <wp:extent cx="5969000" cy="4853513"/>
            <wp:effectExtent b="0" l="0" r="0" t="0"/>
            <wp:docPr descr="" title="" id="114" name="Picture"/>
            <a:graphic>
              <a:graphicData uri="http://schemas.openxmlformats.org/drawingml/2006/picture">
                <pic:pic>
                  <pic:nvPicPr>
                    <pic:cNvPr descr="images/006_section_results-and-discussion/009_section_ct-profiles/010_section_model-building/20_time_profile_plot_Dapagliflozin_PO_SD_250_mg__perm_.png" id="115" name="Picture"/>
                    <pic:cNvPicPr>
                      <a:picLocks noChangeArrowheads="1" noChangeAspect="1"/>
                    </pic:cNvPicPr>
                  </pic:nvPicPr>
                  <pic:blipFill>
                    <a:blip r:embed="rId113"/>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3-22: PO SD 250 mg (perm)</w:t>
      </w:r>
    </w:p>
    <w:p>
      <w:pPr>
        <w:pStyle w:val="BodyText"/>
      </w:pPr>
      <w:r>
        <w:t xml:space="preserve"> </w:t>
      </w:r>
    </w:p>
    <w:br w:type="page"/>
    <w:p>
      <w:pPr>
        <w:pStyle w:val="BodyText"/>
      </w:pPr>
      <w:bookmarkStart w:id="figure-3-23" w:name="figure-3-23"/>
      <w:bookmarkEnd w:id="figure-3-23"/>
    </w:p>
    <w:p>
      <w:pPr>
        <w:pStyle w:val="BodyText"/>
      </w:pPr>
      <w:r>
        <w:drawing>
          <wp:inline>
            <wp:extent cx="5969000" cy="4853513"/>
            <wp:effectExtent b="0" l="0" r="0" t="0"/>
            <wp:docPr descr="" title="" id="117" name="Picture"/>
            <a:graphic>
              <a:graphicData uri="http://schemas.openxmlformats.org/drawingml/2006/picture">
                <pic:pic>
                  <pic:nvPicPr>
                    <pic:cNvPr descr="images/006_section_results-and-discussion/009_section_ct-profiles/010_section_model-building/21_time_profile_plot_Dapagliflozin_PO_SD_250_mg__perm_.png" id="118" name="Picture"/>
                    <pic:cNvPicPr>
                      <a:picLocks noChangeArrowheads="1" noChangeAspect="1"/>
                    </pic:cNvPicPr>
                  </pic:nvPicPr>
                  <pic:blipFill>
                    <a:blip r:embed="rId116"/>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3-23: PO SD 250 mg (perm)</w:t>
      </w:r>
    </w:p>
    <w:p>
      <w:pPr>
        <w:pStyle w:val="BodyText"/>
      </w:pPr>
      <w:r>
        <w:t xml:space="preserve"> </w:t>
      </w:r>
    </w:p>
    <w:br w:type="page"/>
    <w:p>
      <w:pPr>
        <w:pStyle w:val="BodyText"/>
      </w:pPr>
      <w:bookmarkStart w:id="figure-3-24" w:name="figure-3-24"/>
      <w:bookmarkEnd w:id="figure-3-24"/>
    </w:p>
    <w:p>
      <w:pPr>
        <w:pStyle w:val="BodyText"/>
      </w:pPr>
      <w:r>
        <w:drawing>
          <wp:inline>
            <wp:extent cx="5969000" cy="4853513"/>
            <wp:effectExtent b="0" l="0" r="0" t="0"/>
            <wp:docPr descr="" title="" id="120" name="Picture"/>
            <a:graphic>
              <a:graphicData uri="http://schemas.openxmlformats.org/drawingml/2006/picture">
                <pic:pic>
                  <pic:nvPicPr>
                    <pic:cNvPr descr="images/006_section_results-and-discussion/009_section_ct-profiles/010_section_model-building/22_time_profile_plot_Dapagliflozin_PO_SD_250_mg__perm_.png" id="121" name="Picture"/>
                    <pic:cNvPicPr>
                      <a:picLocks noChangeArrowheads="1" noChangeAspect="1"/>
                    </pic:cNvPicPr>
                  </pic:nvPicPr>
                  <pic:blipFill>
                    <a:blip r:embed="rId119"/>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3-24: PO SD 250 mg (perm) (urinary excretion)</w:t>
      </w:r>
    </w:p>
    <w:p>
      <w:pPr>
        <w:pStyle w:val="BodyText"/>
      </w:pPr>
      <w:r>
        <w:t xml:space="preserve"> </w:t>
      </w:r>
    </w:p>
    <w:br w:type="page"/>
    <w:p>
      <w:pPr>
        <w:pStyle w:val="BodyText"/>
      </w:pPr>
      <w:bookmarkStart w:id="figure-3-25" w:name="figure-3-25"/>
      <w:bookmarkEnd w:id="figure-3-25"/>
    </w:p>
    <w:p>
      <w:pPr>
        <w:pStyle w:val="BodyText"/>
      </w:pPr>
      <w:r>
        <w:drawing>
          <wp:inline>
            <wp:extent cx="5969000" cy="4853513"/>
            <wp:effectExtent b="0" l="0" r="0" t="0"/>
            <wp:docPr descr="" title="" id="123" name="Picture"/>
            <a:graphic>
              <a:graphicData uri="http://schemas.openxmlformats.org/drawingml/2006/picture">
                <pic:pic>
                  <pic:nvPicPr>
                    <pic:cNvPr descr="images/006_section_results-and-discussion/009_section_ct-profiles/010_section_model-building/23_time_profile_plot_Dapagliflozin_PO_SD_500_mg__perm_.png" id="124" name="Picture"/>
                    <pic:cNvPicPr>
                      <a:picLocks noChangeArrowheads="1" noChangeAspect="1"/>
                    </pic:cNvPicPr>
                  </pic:nvPicPr>
                  <pic:blipFill>
                    <a:blip r:embed="rId122"/>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3-25: PO SD 500 mg (perm)</w:t>
      </w:r>
    </w:p>
    <w:p>
      <w:pPr>
        <w:pStyle w:val="BodyText"/>
      </w:pPr>
      <w:r>
        <w:t xml:space="preserve"> </w:t>
      </w:r>
    </w:p>
    <w:br w:type="page"/>
    <w:p>
      <w:pPr>
        <w:pStyle w:val="BodyText"/>
      </w:pPr>
      <w:bookmarkStart w:id="figure-3-26" w:name="figure-3-26"/>
      <w:bookmarkEnd w:id="figure-3-26"/>
    </w:p>
    <w:p>
      <w:pPr>
        <w:pStyle w:val="BodyText"/>
      </w:pPr>
      <w:r>
        <w:drawing>
          <wp:inline>
            <wp:extent cx="5969000" cy="4853513"/>
            <wp:effectExtent b="0" l="0" r="0" t="0"/>
            <wp:docPr descr="" title="" id="126" name="Picture"/>
            <a:graphic>
              <a:graphicData uri="http://schemas.openxmlformats.org/drawingml/2006/picture">
                <pic:pic>
                  <pic:nvPicPr>
                    <pic:cNvPr descr="images/006_section_results-and-discussion/009_section_ct-profiles/010_section_model-building/24_time_profile_plot_Dapagliflozin_PO_SD_500_mg__perm_.png" id="127" name="Picture"/>
                    <pic:cNvPicPr>
                      <a:picLocks noChangeArrowheads="1" noChangeAspect="1"/>
                    </pic:cNvPicPr>
                  </pic:nvPicPr>
                  <pic:blipFill>
                    <a:blip r:embed="rId125"/>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3-26: PO SD 500 mg (perm)</w:t>
      </w:r>
    </w:p>
    <w:p>
      <w:pPr>
        <w:pStyle w:val="BodyText"/>
      </w:pPr>
      <w:r>
        <w:t xml:space="preserve"> </w:t>
      </w:r>
    </w:p>
    <w:br w:type="page"/>
    <w:p>
      <w:pPr>
        <w:pStyle w:val="BodyText"/>
      </w:pPr>
      <w:bookmarkStart w:id="figure-3-27" w:name="figure-3-27"/>
      <w:bookmarkEnd w:id="figure-3-27"/>
    </w:p>
    <w:p>
      <w:pPr>
        <w:pStyle w:val="BodyText"/>
      </w:pPr>
      <w:r>
        <w:drawing>
          <wp:inline>
            <wp:extent cx="5969000" cy="4853513"/>
            <wp:effectExtent b="0" l="0" r="0" t="0"/>
            <wp:docPr descr="" title="" id="129" name="Picture"/>
            <a:graphic>
              <a:graphicData uri="http://schemas.openxmlformats.org/drawingml/2006/picture">
                <pic:pic>
                  <pic:nvPicPr>
                    <pic:cNvPr descr="images/006_section_results-and-discussion/009_section_ct-profiles/010_section_model-building/25_time_profile_plot_Dapagliflozin_PO_SD_500_mg__perm_.png" id="130" name="Picture"/>
                    <pic:cNvPicPr>
                      <a:picLocks noChangeArrowheads="1" noChangeAspect="1"/>
                    </pic:cNvPicPr>
                  </pic:nvPicPr>
                  <pic:blipFill>
                    <a:blip r:embed="rId128"/>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3-27: PO SD 500 mg (perm) (urinary excretion)</w:t>
      </w:r>
    </w:p>
    <w:p>
      <w:pPr>
        <w:pStyle w:val="BodyText"/>
      </w:pPr>
      <w:r>
        <w:t xml:space="preserve"> </w:t>
      </w:r>
    </w:p>
    <w:bookmarkEnd w:id="131"/>
    <w:bookmarkStart w:id="180" w:name="model-verification-1"/>
    <w:p>
      <w:pPr>
        <w:pStyle w:val="Heading3"/>
      </w:pPr>
      <w:r>
        <w:t xml:space="preserve">Model Verification</w:t>
      </w:r>
      <w:bookmarkStart w:id="model-verification" w:name="model-verification"/>
      <w:bookmarkEnd w:id="model-verification"/>
    </w:p>
    <w:br w:type="page"/>
    <w:p>
      <w:pPr>
        <w:pStyle w:val="FirstParagraph"/>
      </w:pPr>
      <w:bookmarkStart w:id="figure-3-28" w:name="figure-3-28"/>
      <w:bookmarkEnd w:id="figure-3-28"/>
    </w:p>
    <w:p>
      <w:pPr>
        <w:pStyle w:val="BodyText"/>
      </w:pPr>
      <w:r>
        <w:drawing>
          <wp:inline>
            <wp:extent cx="5969000" cy="4991039"/>
            <wp:effectExtent b="0" l="0" r="0" t="0"/>
            <wp:docPr descr="" title="" id="133" name="Picture"/>
            <a:graphic>
              <a:graphicData uri="http://schemas.openxmlformats.org/drawingml/2006/picture">
                <pic:pic>
                  <pic:nvPicPr>
                    <pic:cNvPr descr="images/006_section_results-and-discussion/009_section_ct-profiles/011_section_model-verification/26_time_profile_plot_Dapagliflozin_PO_SD_5_mg_IC_tablet__Chang_2015___perm_.png" id="134" name="Picture"/>
                    <pic:cNvPicPr>
                      <a:picLocks noChangeArrowheads="1" noChangeAspect="1"/>
                    </pic:cNvPicPr>
                  </pic:nvPicPr>
                  <pic:blipFill>
                    <a:blip r:embed="rId132"/>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3-28: PO SD 5 mg IR tablet (perm)</w:t>
      </w:r>
    </w:p>
    <w:p>
      <w:pPr>
        <w:pStyle w:val="BodyText"/>
      </w:pPr>
      <w:r>
        <w:t xml:space="preserve"> </w:t>
      </w:r>
    </w:p>
    <w:br w:type="page"/>
    <w:p>
      <w:pPr>
        <w:pStyle w:val="BodyText"/>
      </w:pPr>
      <w:bookmarkStart w:id="figure-3-29" w:name="figure-3-29"/>
      <w:bookmarkEnd w:id="figure-3-29"/>
    </w:p>
    <w:p>
      <w:pPr>
        <w:pStyle w:val="BodyText"/>
      </w:pPr>
      <w:r>
        <w:drawing>
          <wp:inline>
            <wp:extent cx="5969000" cy="4991039"/>
            <wp:effectExtent b="0" l="0" r="0" t="0"/>
            <wp:docPr descr="" title="" id="136" name="Picture"/>
            <a:graphic>
              <a:graphicData uri="http://schemas.openxmlformats.org/drawingml/2006/picture">
                <pic:pic>
                  <pic:nvPicPr>
                    <pic:cNvPr descr="images/006_section_results-and-discussion/009_section_ct-profiles/011_section_model-verification/27_time_profile_plot_Dapagliflozin_PO_SD_5_mg_IC_tablet__Chang_2015___perm_.png" id="137" name="Picture"/>
                    <pic:cNvPicPr>
                      <a:picLocks noChangeArrowheads="1" noChangeAspect="1"/>
                    </pic:cNvPicPr>
                  </pic:nvPicPr>
                  <pic:blipFill>
                    <a:blip r:embed="rId135"/>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3-29: PO SD 5 mg IR tablet (perm)</w:t>
      </w:r>
    </w:p>
    <w:p>
      <w:pPr>
        <w:pStyle w:val="BodyText"/>
      </w:pPr>
      <w:r>
        <w:t xml:space="preserve"> </w:t>
      </w:r>
    </w:p>
    <w:br w:type="page"/>
    <w:p>
      <w:pPr>
        <w:pStyle w:val="BodyText"/>
      </w:pPr>
      <w:bookmarkStart w:id="figure-3-30" w:name="figure-3-30"/>
      <w:bookmarkEnd w:id="figure-3-30"/>
    </w:p>
    <w:p>
      <w:pPr>
        <w:pStyle w:val="BodyText"/>
      </w:pPr>
      <w:r>
        <w:drawing>
          <wp:inline>
            <wp:extent cx="5969000" cy="4991039"/>
            <wp:effectExtent b="0" l="0" r="0" t="0"/>
            <wp:docPr descr="" title="" id="139" name="Picture"/>
            <a:graphic>
              <a:graphicData uri="http://schemas.openxmlformats.org/drawingml/2006/picture">
                <pic:pic>
                  <pic:nvPicPr>
                    <pic:cNvPr descr="images/006_section_results-and-discussion/009_section_ct-profiles/011_section_model-verification/28_time_profile_plot_Dapagliflozin_PO_SD_10_mg_IC_tablet__Chang_2015___perm_.png" id="140" name="Picture"/>
                    <pic:cNvPicPr>
                      <a:picLocks noChangeArrowheads="1" noChangeAspect="1"/>
                    </pic:cNvPicPr>
                  </pic:nvPicPr>
                  <pic:blipFill>
                    <a:blip r:embed="rId138"/>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3-30: PO SD 10 mg IR tablet (perm)</w:t>
      </w:r>
    </w:p>
    <w:p>
      <w:pPr>
        <w:pStyle w:val="BodyText"/>
      </w:pPr>
      <w:r>
        <w:t xml:space="preserve"> </w:t>
      </w:r>
    </w:p>
    <w:br w:type="page"/>
    <w:p>
      <w:pPr>
        <w:pStyle w:val="BodyText"/>
      </w:pPr>
      <w:bookmarkStart w:id="figure-3-31" w:name="figure-3-31"/>
      <w:bookmarkEnd w:id="figure-3-31"/>
    </w:p>
    <w:p>
      <w:pPr>
        <w:pStyle w:val="BodyText"/>
      </w:pPr>
      <w:r>
        <w:drawing>
          <wp:inline>
            <wp:extent cx="5969000" cy="4991039"/>
            <wp:effectExtent b="0" l="0" r="0" t="0"/>
            <wp:docPr descr="" title="" id="142" name="Picture"/>
            <a:graphic>
              <a:graphicData uri="http://schemas.openxmlformats.org/drawingml/2006/picture">
                <pic:pic>
                  <pic:nvPicPr>
                    <pic:cNvPr descr="images/006_section_results-and-discussion/009_section_ct-profiles/011_section_model-verification/29_time_profile_plot_Dapagliflozin_PO_SD_10_mg_IC_tablet__Chang_2015___perm_.png" id="143" name="Picture"/>
                    <pic:cNvPicPr>
                      <a:picLocks noChangeArrowheads="1" noChangeAspect="1"/>
                    </pic:cNvPicPr>
                  </pic:nvPicPr>
                  <pic:blipFill>
                    <a:blip r:embed="rId141"/>
                    <a:stretch>
                      <a:fillRect/>
                    </a:stretch>
                  </pic:blipFill>
                  <pic:spPr bwMode="auto">
                    <a:xfrm>
                      <a:off x="0" y="0"/>
                      <a:ext cx="5969000" cy="4991039"/>
                    </a:xfrm>
                    <a:prstGeom prst="rect">
                      <a:avLst/>
                    </a:prstGeom>
                    <a:noFill/>
                    <a:ln w="9525">
                      <a:noFill/>
                      <a:headEnd/>
                      <a:tailEnd/>
                    </a:ln>
                  </pic:spPr>
                </pic:pic>
              </a:graphicData>
            </a:graphic>
          </wp:inline>
        </w:drawing>
      </w:r>
    </w:p>
    <w:p>
      <w:pPr>
        <w:pStyle w:val="BodyText"/>
      </w:pPr>
      <w:r>
        <w:rPr>
          <w:bCs/>
          <w:b/>
        </w:rPr>
        <w:t xml:space="preserve">Figure 3-31: PO SD 10 mg IR tablet (perm)</w:t>
      </w:r>
    </w:p>
    <w:p>
      <w:pPr>
        <w:pStyle w:val="BodyText"/>
      </w:pPr>
      <w:r>
        <w:t xml:space="preserve"> </w:t>
      </w:r>
    </w:p>
    <w:br w:type="page"/>
    <w:p>
      <w:pPr>
        <w:pStyle w:val="BodyText"/>
      </w:pPr>
      <w:bookmarkStart w:id="figure-3-32" w:name="figure-3-32"/>
      <w:bookmarkEnd w:id="figure-3-32"/>
    </w:p>
    <w:p>
      <w:pPr>
        <w:pStyle w:val="BodyText"/>
      </w:pPr>
      <w:r>
        <w:drawing>
          <wp:inline>
            <wp:extent cx="5969000" cy="4853513"/>
            <wp:effectExtent b="0" l="0" r="0" t="0"/>
            <wp:docPr descr="" title="" id="145" name="Picture"/>
            <a:graphic>
              <a:graphicData uri="http://schemas.openxmlformats.org/drawingml/2006/picture">
                <pic:pic>
                  <pic:nvPicPr>
                    <pic:cNvPr descr="images/006_section_results-and-discussion/009_section_ct-profiles/011_section_model-verification/30_time_profile_plot_Dapagliflozin_PO_SD_250_mg_fed__perm_.png" id="146" name="Picture"/>
                    <pic:cNvPicPr>
                      <a:picLocks noChangeArrowheads="1" noChangeAspect="1"/>
                    </pic:cNvPicPr>
                  </pic:nvPicPr>
                  <pic:blipFill>
                    <a:blip r:embed="rId144"/>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3-32: PO SD 250 mg fed (perm) (log)</w:t>
      </w:r>
    </w:p>
    <w:p>
      <w:pPr>
        <w:pStyle w:val="BodyText"/>
      </w:pPr>
      <w:r>
        <w:t xml:space="preserve"> </w:t>
      </w:r>
    </w:p>
    <w:br w:type="page"/>
    <w:p>
      <w:pPr>
        <w:pStyle w:val="BodyText"/>
      </w:pPr>
      <w:bookmarkStart w:id="figure-3-33" w:name="figure-3-33"/>
      <w:bookmarkEnd w:id="figure-3-33"/>
    </w:p>
    <w:p>
      <w:pPr>
        <w:pStyle w:val="BodyText"/>
      </w:pPr>
      <w:r>
        <w:drawing>
          <wp:inline>
            <wp:extent cx="5969000" cy="4853513"/>
            <wp:effectExtent b="0" l="0" r="0" t="0"/>
            <wp:docPr descr="" title="" id="148" name="Picture"/>
            <a:graphic>
              <a:graphicData uri="http://schemas.openxmlformats.org/drawingml/2006/picture">
                <pic:pic>
                  <pic:nvPicPr>
                    <pic:cNvPr descr="images/006_section_results-and-discussion/009_section_ct-profiles/011_section_model-verification/31_time_profile_plot_Dapagliflozin_PO_SD_250_mg_fed__perm_.png" id="149" name="Picture"/>
                    <pic:cNvPicPr>
                      <a:picLocks noChangeArrowheads="1" noChangeAspect="1"/>
                    </pic:cNvPicPr>
                  </pic:nvPicPr>
                  <pic:blipFill>
                    <a:blip r:embed="rId147"/>
                    <a:stretch>
                      <a:fillRect/>
                    </a:stretch>
                  </pic:blipFill>
                  <pic:spPr bwMode="auto">
                    <a:xfrm>
                      <a:off x="0" y="0"/>
                      <a:ext cx="5969000" cy="4853513"/>
                    </a:xfrm>
                    <a:prstGeom prst="rect">
                      <a:avLst/>
                    </a:prstGeom>
                    <a:noFill/>
                    <a:ln w="9525">
                      <a:noFill/>
                      <a:headEnd/>
                      <a:tailEnd/>
                    </a:ln>
                  </pic:spPr>
                </pic:pic>
              </a:graphicData>
            </a:graphic>
          </wp:inline>
        </w:drawing>
      </w:r>
    </w:p>
    <w:p>
      <w:pPr>
        <w:pStyle w:val="BodyText"/>
      </w:pPr>
      <w:r>
        <w:rPr>
          <w:bCs/>
          <w:b/>
        </w:rPr>
        <w:t xml:space="preserve">Figure 3-33: PO SD 250 mg fed (perm)</w:t>
      </w:r>
    </w:p>
    <w:p>
      <w:pPr>
        <w:pStyle w:val="BodyText"/>
      </w:pPr>
      <w:r>
        <w:t xml:space="preserve"> </w:t>
      </w:r>
    </w:p>
    <w:br w:type="page"/>
    <w:p>
      <w:pPr>
        <w:pStyle w:val="BodyText"/>
      </w:pPr>
      <w:bookmarkStart w:id="figure-3-34" w:name="figure-3-34"/>
      <w:bookmarkEnd w:id="figure-3-34"/>
    </w:p>
    <w:p>
      <w:pPr>
        <w:pStyle w:val="BodyText"/>
      </w:pPr>
      <w:r>
        <w:drawing>
          <wp:inline>
            <wp:extent cx="5969000" cy="5464738"/>
            <wp:effectExtent b="0" l="0" r="0" t="0"/>
            <wp:docPr descr="" title="" id="151" name="Picture"/>
            <a:graphic>
              <a:graphicData uri="http://schemas.openxmlformats.org/drawingml/2006/picture">
                <pic:pic>
                  <pic:nvPicPr>
                    <pic:cNvPr descr="images/006_section_results-and-discussion/009_section_ct-profiles/011_section_model-verification/32_time_profile_plot_Dapagliflozin_PO_MD_2_5_mg__perm_.png" id="152" name="Picture"/>
                    <pic:cNvPicPr>
                      <a:picLocks noChangeArrowheads="1" noChangeAspect="1"/>
                    </pic:cNvPicPr>
                  </pic:nvPicPr>
                  <pic:blipFill>
                    <a:blip r:embed="rId150"/>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3-34: PO MD 2.5 mg (perm)</w:t>
      </w:r>
    </w:p>
    <w:p>
      <w:pPr>
        <w:pStyle w:val="BodyText"/>
      </w:pPr>
      <w:r>
        <w:t xml:space="preserve"> </w:t>
      </w:r>
    </w:p>
    <w:br w:type="page"/>
    <w:p>
      <w:pPr>
        <w:pStyle w:val="BodyText"/>
      </w:pPr>
      <w:bookmarkStart w:id="figure-3-35" w:name="figure-3-35"/>
      <w:bookmarkEnd w:id="figure-3-35"/>
    </w:p>
    <w:p>
      <w:pPr>
        <w:pStyle w:val="BodyText"/>
      </w:pPr>
      <w:r>
        <w:drawing>
          <wp:inline>
            <wp:extent cx="5969000" cy="5464738"/>
            <wp:effectExtent b="0" l="0" r="0" t="0"/>
            <wp:docPr descr="" title="" id="154" name="Picture"/>
            <a:graphic>
              <a:graphicData uri="http://schemas.openxmlformats.org/drawingml/2006/picture">
                <pic:pic>
                  <pic:nvPicPr>
                    <pic:cNvPr descr="images/006_section_results-and-discussion/009_section_ct-profiles/011_section_model-verification/33_time_profile_plot_Dapagliflozin_PO_MD_2_5_mg__perm_.png" id="155" name="Picture"/>
                    <pic:cNvPicPr>
                      <a:picLocks noChangeArrowheads="1" noChangeAspect="1"/>
                    </pic:cNvPicPr>
                  </pic:nvPicPr>
                  <pic:blipFill>
                    <a:blip r:embed="rId153"/>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3-35: PO MD 2.5 mg (perm)</w:t>
      </w:r>
    </w:p>
    <w:p>
      <w:pPr>
        <w:pStyle w:val="BodyText"/>
      </w:pPr>
      <w:r>
        <w:t xml:space="preserve"> </w:t>
      </w:r>
    </w:p>
    <w:br w:type="page"/>
    <w:p>
      <w:pPr>
        <w:pStyle w:val="BodyText"/>
      </w:pPr>
      <w:bookmarkStart w:id="figure-3-36" w:name="figure-3-36"/>
      <w:bookmarkEnd w:id="figure-3-36"/>
    </w:p>
    <w:p>
      <w:pPr>
        <w:pStyle w:val="BodyText"/>
      </w:pPr>
      <w:r>
        <w:drawing>
          <wp:inline>
            <wp:extent cx="5969000" cy="5464738"/>
            <wp:effectExtent b="0" l="0" r="0" t="0"/>
            <wp:docPr descr="" title="" id="157" name="Picture"/>
            <a:graphic>
              <a:graphicData uri="http://schemas.openxmlformats.org/drawingml/2006/picture">
                <pic:pic>
                  <pic:nvPicPr>
                    <pic:cNvPr descr="images/006_section_results-and-discussion/009_section_ct-profiles/011_section_model-verification/34_time_profile_plot_Dapagliflozin_PO_MD_10_mg__perm_.png" id="158" name="Picture"/>
                    <pic:cNvPicPr>
                      <a:picLocks noChangeArrowheads="1" noChangeAspect="1"/>
                    </pic:cNvPicPr>
                  </pic:nvPicPr>
                  <pic:blipFill>
                    <a:blip r:embed="rId156"/>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3-36: PO MD 10 mg (perm)</w:t>
      </w:r>
    </w:p>
    <w:p>
      <w:pPr>
        <w:pStyle w:val="BodyText"/>
      </w:pPr>
      <w:r>
        <w:t xml:space="preserve"> </w:t>
      </w:r>
    </w:p>
    <w:br w:type="page"/>
    <w:p>
      <w:pPr>
        <w:pStyle w:val="BodyText"/>
      </w:pPr>
      <w:bookmarkStart w:id="figure-3-37" w:name="figure-3-37"/>
      <w:bookmarkEnd w:id="figure-3-37"/>
    </w:p>
    <w:p>
      <w:pPr>
        <w:pStyle w:val="BodyText"/>
      </w:pPr>
      <w:r>
        <w:drawing>
          <wp:inline>
            <wp:extent cx="5969000" cy="5464738"/>
            <wp:effectExtent b="0" l="0" r="0" t="0"/>
            <wp:docPr descr="" title="" id="160" name="Picture"/>
            <a:graphic>
              <a:graphicData uri="http://schemas.openxmlformats.org/drawingml/2006/picture">
                <pic:pic>
                  <pic:nvPicPr>
                    <pic:cNvPr descr="images/006_section_results-and-discussion/009_section_ct-profiles/011_section_model-verification/35_time_profile_plot_Dapagliflozin_PO_MD_10_mg__perm_.png" id="161" name="Picture"/>
                    <pic:cNvPicPr>
                      <a:picLocks noChangeArrowheads="1" noChangeAspect="1"/>
                    </pic:cNvPicPr>
                  </pic:nvPicPr>
                  <pic:blipFill>
                    <a:blip r:embed="rId159"/>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3-37: PO MD 10 mg (perm)</w:t>
      </w:r>
    </w:p>
    <w:p>
      <w:pPr>
        <w:pStyle w:val="BodyText"/>
      </w:pPr>
      <w:r>
        <w:t xml:space="preserve"> </w:t>
      </w:r>
    </w:p>
    <w:br w:type="page"/>
    <w:p>
      <w:pPr>
        <w:pStyle w:val="BodyText"/>
      </w:pPr>
      <w:bookmarkStart w:id="figure-3-38" w:name="figure-3-38"/>
      <w:bookmarkEnd w:id="figure-3-38"/>
    </w:p>
    <w:p>
      <w:pPr>
        <w:pStyle w:val="BodyText"/>
      </w:pPr>
      <w:r>
        <w:drawing>
          <wp:inline>
            <wp:extent cx="5969000" cy="5464738"/>
            <wp:effectExtent b="0" l="0" r="0" t="0"/>
            <wp:docPr descr="" title="" id="163" name="Picture"/>
            <a:graphic>
              <a:graphicData uri="http://schemas.openxmlformats.org/drawingml/2006/picture">
                <pic:pic>
                  <pic:nvPicPr>
                    <pic:cNvPr descr="images/006_section_results-and-discussion/009_section_ct-profiles/011_section_model-verification/36_time_profile_plot_Dapagliflozin_PO_MD_20_mg__perm_.png" id="164" name="Picture"/>
                    <pic:cNvPicPr>
                      <a:picLocks noChangeArrowheads="1" noChangeAspect="1"/>
                    </pic:cNvPicPr>
                  </pic:nvPicPr>
                  <pic:blipFill>
                    <a:blip r:embed="rId162"/>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3-38: PO MD 20 mg (perm)</w:t>
      </w:r>
    </w:p>
    <w:p>
      <w:pPr>
        <w:pStyle w:val="BodyText"/>
      </w:pPr>
      <w:r>
        <w:t xml:space="preserve"> </w:t>
      </w:r>
    </w:p>
    <w:br w:type="page"/>
    <w:p>
      <w:pPr>
        <w:pStyle w:val="BodyText"/>
      </w:pPr>
      <w:bookmarkStart w:id="figure-3-39" w:name="figure-3-39"/>
      <w:bookmarkEnd w:id="figure-3-39"/>
    </w:p>
    <w:p>
      <w:pPr>
        <w:pStyle w:val="BodyText"/>
      </w:pPr>
      <w:r>
        <w:drawing>
          <wp:inline>
            <wp:extent cx="5969000" cy="5464738"/>
            <wp:effectExtent b="0" l="0" r="0" t="0"/>
            <wp:docPr descr="" title="" id="166" name="Picture"/>
            <a:graphic>
              <a:graphicData uri="http://schemas.openxmlformats.org/drawingml/2006/picture">
                <pic:pic>
                  <pic:nvPicPr>
                    <pic:cNvPr descr="images/006_section_results-and-discussion/009_section_ct-profiles/011_section_model-verification/37_time_profile_plot_Dapagliflozin_PO_MD_20_mg__perm_.png" id="167" name="Picture"/>
                    <pic:cNvPicPr>
                      <a:picLocks noChangeArrowheads="1" noChangeAspect="1"/>
                    </pic:cNvPicPr>
                  </pic:nvPicPr>
                  <pic:blipFill>
                    <a:blip r:embed="rId165"/>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3-39: PO MD 20 mg (perm)</w:t>
      </w:r>
    </w:p>
    <w:p>
      <w:pPr>
        <w:pStyle w:val="BodyText"/>
      </w:pPr>
      <w:r>
        <w:t xml:space="preserve"> </w:t>
      </w:r>
    </w:p>
    <w:br w:type="page"/>
    <w:p>
      <w:pPr>
        <w:pStyle w:val="BodyText"/>
      </w:pPr>
      <w:bookmarkStart w:id="figure-3-40" w:name="figure-3-40"/>
      <w:bookmarkEnd w:id="figure-3-40"/>
    </w:p>
    <w:p>
      <w:pPr>
        <w:pStyle w:val="BodyText"/>
      </w:pPr>
      <w:r>
        <w:drawing>
          <wp:inline>
            <wp:extent cx="5969000" cy="5464738"/>
            <wp:effectExtent b="0" l="0" r="0" t="0"/>
            <wp:docPr descr="" title="" id="169" name="Picture"/>
            <a:graphic>
              <a:graphicData uri="http://schemas.openxmlformats.org/drawingml/2006/picture">
                <pic:pic>
                  <pic:nvPicPr>
                    <pic:cNvPr descr="images/006_section_results-and-discussion/009_section_ct-profiles/011_section_model-verification/38_time_profile_plot_Dapagliflozin_PO_MD_50_mg__perm_.png" id="170" name="Picture"/>
                    <pic:cNvPicPr>
                      <a:picLocks noChangeArrowheads="1" noChangeAspect="1"/>
                    </pic:cNvPicPr>
                  </pic:nvPicPr>
                  <pic:blipFill>
                    <a:blip r:embed="rId168"/>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3-40: PO MD 20 mg (perm)</w:t>
      </w:r>
    </w:p>
    <w:p>
      <w:pPr>
        <w:pStyle w:val="BodyText"/>
      </w:pPr>
      <w:r>
        <w:t xml:space="preserve"> </w:t>
      </w:r>
    </w:p>
    <w:br w:type="page"/>
    <w:p>
      <w:pPr>
        <w:pStyle w:val="BodyText"/>
      </w:pPr>
      <w:bookmarkStart w:id="figure-3-41" w:name="figure-3-41"/>
      <w:bookmarkEnd w:id="figure-3-41"/>
    </w:p>
    <w:p>
      <w:pPr>
        <w:pStyle w:val="BodyText"/>
      </w:pPr>
      <w:r>
        <w:drawing>
          <wp:inline>
            <wp:extent cx="5969000" cy="5464738"/>
            <wp:effectExtent b="0" l="0" r="0" t="0"/>
            <wp:docPr descr="" title="" id="172" name="Picture"/>
            <a:graphic>
              <a:graphicData uri="http://schemas.openxmlformats.org/drawingml/2006/picture">
                <pic:pic>
                  <pic:nvPicPr>
                    <pic:cNvPr descr="images/006_section_results-and-discussion/009_section_ct-profiles/011_section_model-verification/39_time_profile_plot_Dapagliflozin_PO_MD_50_mg__perm_.png" id="173" name="Picture"/>
                    <pic:cNvPicPr>
                      <a:picLocks noChangeArrowheads="1" noChangeAspect="1"/>
                    </pic:cNvPicPr>
                  </pic:nvPicPr>
                  <pic:blipFill>
                    <a:blip r:embed="rId171"/>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3-41: PO MD 50 mg (perm)</w:t>
      </w:r>
    </w:p>
    <w:p>
      <w:pPr>
        <w:pStyle w:val="BodyText"/>
      </w:pPr>
      <w:r>
        <w:t xml:space="preserve"> </w:t>
      </w:r>
    </w:p>
    <w:br w:type="page"/>
    <w:p>
      <w:pPr>
        <w:pStyle w:val="BodyText"/>
      </w:pPr>
      <w:bookmarkStart w:id="figure-3-42" w:name="figure-3-42"/>
      <w:bookmarkEnd w:id="figure-3-42"/>
    </w:p>
    <w:p>
      <w:pPr>
        <w:pStyle w:val="BodyText"/>
      </w:pPr>
      <w:r>
        <w:drawing>
          <wp:inline>
            <wp:extent cx="5969000" cy="5464738"/>
            <wp:effectExtent b="0" l="0" r="0" t="0"/>
            <wp:docPr descr="" title="" id="175" name="Picture"/>
            <a:graphic>
              <a:graphicData uri="http://schemas.openxmlformats.org/drawingml/2006/picture">
                <pic:pic>
                  <pic:nvPicPr>
                    <pic:cNvPr descr="images/006_section_results-and-discussion/009_section_ct-profiles/011_section_model-verification/40_time_profile_plot_Dapagliflozin_PO_MD_100_mg__perm_.png" id="176" name="Picture"/>
                    <pic:cNvPicPr>
                      <a:picLocks noChangeArrowheads="1" noChangeAspect="1"/>
                    </pic:cNvPicPr>
                  </pic:nvPicPr>
                  <pic:blipFill>
                    <a:blip r:embed="rId174"/>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3-42: PO MD 100 mg (perm)</w:t>
      </w:r>
    </w:p>
    <w:p>
      <w:pPr>
        <w:pStyle w:val="BodyText"/>
      </w:pPr>
      <w:r>
        <w:t xml:space="preserve"> </w:t>
      </w:r>
    </w:p>
    <w:br w:type="page"/>
    <w:p>
      <w:pPr>
        <w:pStyle w:val="BodyText"/>
      </w:pPr>
      <w:bookmarkStart w:id="figure-3-43" w:name="figure-3-43"/>
      <w:bookmarkEnd w:id="figure-3-43"/>
    </w:p>
    <w:p>
      <w:pPr>
        <w:pStyle w:val="BodyText"/>
      </w:pPr>
      <w:r>
        <w:drawing>
          <wp:inline>
            <wp:extent cx="5969000" cy="5464738"/>
            <wp:effectExtent b="0" l="0" r="0" t="0"/>
            <wp:docPr descr="" title="" id="178" name="Picture"/>
            <a:graphic>
              <a:graphicData uri="http://schemas.openxmlformats.org/drawingml/2006/picture">
                <pic:pic>
                  <pic:nvPicPr>
                    <pic:cNvPr descr="images/006_section_results-and-discussion/009_section_ct-profiles/011_section_model-verification/41_time_profile_plot_Dapagliflozin_PO_MD_100_mg__perm_.png" id="179" name="Picture"/>
                    <pic:cNvPicPr>
                      <a:picLocks noChangeArrowheads="1" noChangeAspect="1"/>
                    </pic:cNvPicPr>
                  </pic:nvPicPr>
                  <pic:blipFill>
                    <a:blip r:embed="rId177"/>
                    <a:stretch>
                      <a:fillRect/>
                    </a:stretch>
                  </pic:blipFill>
                  <pic:spPr bwMode="auto">
                    <a:xfrm>
                      <a:off x="0" y="0"/>
                      <a:ext cx="5969000" cy="5464738"/>
                    </a:xfrm>
                    <a:prstGeom prst="rect">
                      <a:avLst/>
                    </a:prstGeom>
                    <a:noFill/>
                    <a:ln w="9525">
                      <a:noFill/>
                      <a:headEnd/>
                      <a:tailEnd/>
                    </a:ln>
                  </pic:spPr>
                </pic:pic>
              </a:graphicData>
            </a:graphic>
          </wp:inline>
        </w:drawing>
      </w:r>
    </w:p>
    <w:p>
      <w:pPr>
        <w:pStyle w:val="BodyText"/>
      </w:pPr>
      <w:r>
        <w:rPr>
          <w:bCs/>
          <w:b/>
        </w:rPr>
        <w:t xml:space="preserve">Figure 3-43: PO MD 100 mg (perm)</w:t>
      </w:r>
    </w:p>
    <w:p>
      <w:pPr>
        <w:pStyle w:val="BodyText"/>
      </w:pPr>
      <w:r>
        <w:t xml:space="preserve"> </w:t>
      </w:r>
    </w:p>
    <w:bookmarkEnd w:id="180"/>
    <w:bookmarkStart w:id="190" w:name="overview"/>
    <w:p>
      <w:pPr>
        <w:pStyle w:val="Heading3"/>
      </w:pPr>
      <w:r>
        <w:t xml:space="preserve">Overview</w:t>
      </w:r>
      <w:bookmarkStart w:id="ct-profiles-overview" w:name="ct-profiles-overview"/>
      <w:bookmarkEnd w:id="ct-profiles-overview"/>
    </w:p>
    <w:p>
      <w:pPr>
        <w:pStyle w:val="FirstParagraph"/>
      </w:pPr>
      <w:r>
        <w:t xml:space="preserve">Overview of the multiple ascending dose study stratified by dose and day (</w:t>
      </w:r>
      <w:hyperlink w:anchor="Xa559bd5247f9128e74e6edcc17de37648e8cde6">
        <w:r>
          <w:rPr>
            <w:rStyle w:val="Hyperlink"/>
          </w:rPr>
          <w:t xml:space="preserve">Komoroski 2009</w:t>
        </w:r>
      </w:hyperlink>
      <w:r>
        <w:t xml:space="preserve">,</w:t>
      </w:r>
      <w:r>
        <w:t xml:space="preserve"> </w:t>
      </w:r>
      <w:hyperlink w:anchor="Xa559bd5247f9128e74e6edcc17de37648e8cde6">
        <w:r>
          <w:rPr>
            <w:rStyle w:val="Hyperlink"/>
          </w:rPr>
          <w:t xml:space="preserve">FDA Clinical Pharmacology Review for NDA 202293</w:t>
        </w:r>
      </w:hyperlink>
      <w:r>
        <w:t xml:space="preserve">).</w:t>
      </w:r>
    </w:p>
    <w:br w:type="page"/>
    <w:p>
      <w:pPr>
        <w:pStyle w:val="BodyText"/>
      </w:pPr>
      <w:bookmarkStart w:id="figure-3-44" w:name="figure-3-44"/>
      <w:bookmarkEnd w:id="figure-3-44"/>
    </w:p>
    <w:p>
      <w:pPr>
        <w:pStyle w:val="BodyText"/>
      </w:pPr>
      <w:r>
        <w:drawing>
          <wp:inline>
            <wp:extent cx="5969000" cy="6072144"/>
            <wp:effectExtent b="0" l="0" r="0" t="0"/>
            <wp:docPr descr="" title="" id="182" name="Picture"/>
            <a:graphic>
              <a:graphicData uri="http://schemas.openxmlformats.org/drawingml/2006/picture">
                <pic:pic>
                  <pic:nvPicPr>
                    <pic:cNvPr descr="images/006_section_results-and-discussion/009_section_ct-profiles/012_section_ct-profiles-overview/comparison_time_profile_Multiple_Dose_Escalation_Study__day_1__1.png" id="183" name="Picture"/>
                    <pic:cNvPicPr>
                      <a:picLocks noChangeArrowheads="1" noChangeAspect="1"/>
                    </pic:cNvPicPr>
                  </pic:nvPicPr>
                  <pic:blipFill>
                    <a:blip r:embed="rId181"/>
                    <a:stretch>
                      <a:fillRect/>
                    </a:stretch>
                  </pic:blipFill>
                  <pic:spPr bwMode="auto">
                    <a:xfrm>
                      <a:off x="0" y="0"/>
                      <a:ext cx="5969000" cy="6072144"/>
                    </a:xfrm>
                    <a:prstGeom prst="rect">
                      <a:avLst/>
                    </a:prstGeom>
                    <a:noFill/>
                    <a:ln w="9525">
                      <a:noFill/>
                      <a:headEnd/>
                      <a:tailEnd/>
                    </a:ln>
                  </pic:spPr>
                </pic:pic>
              </a:graphicData>
            </a:graphic>
          </wp:inline>
        </w:drawing>
      </w:r>
    </w:p>
    <w:p>
      <w:pPr>
        <w:pStyle w:val="BodyText"/>
      </w:pPr>
      <w:r>
        <w:rPr>
          <w:bCs/>
          <w:b/>
        </w:rPr>
        <w:t xml:space="preserve">Figure 3-44: Multiple Dose Escalation Study (day 1)</w:t>
      </w:r>
    </w:p>
    <w:p>
      <w:pPr>
        <w:pStyle w:val="BodyText"/>
      </w:pPr>
      <w:r>
        <w:t xml:space="preserve"> </w:t>
      </w:r>
    </w:p>
    <w:br w:type="page"/>
    <w:p>
      <w:pPr>
        <w:pStyle w:val="BodyText"/>
      </w:pPr>
      <w:bookmarkStart w:id="figure-3-45" w:name="figure-3-45"/>
      <w:bookmarkEnd w:id="figure-3-45"/>
    </w:p>
    <w:p>
      <w:pPr>
        <w:pStyle w:val="BodyText"/>
      </w:pPr>
      <w:r>
        <w:drawing>
          <wp:inline>
            <wp:extent cx="5969000" cy="6072144"/>
            <wp:effectExtent b="0" l="0" r="0" t="0"/>
            <wp:docPr descr="" title="" id="185" name="Picture"/>
            <a:graphic>
              <a:graphicData uri="http://schemas.openxmlformats.org/drawingml/2006/picture">
                <pic:pic>
                  <pic:nvPicPr>
                    <pic:cNvPr descr="images/006_section_results-and-discussion/009_section_ct-profiles/012_section_ct-profiles-overview/comparison_time_profile_Multiple_Dose_Escalation_Study__day_7__2.png" id="186" name="Picture"/>
                    <pic:cNvPicPr>
                      <a:picLocks noChangeArrowheads="1" noChangeAspect="1"/>
                    </pic:cNvPicPr>
                  </pic:nvPicPr>
                  <pic:blipFill>
                    <a:blip r:embed="rId184"/>
                    <a:stretch>
                      <a:fillRect/>
                    </a:stretch>
                  </pic:blipFill>
                  <pic:spPr bwMode="auto">
                    <a:xfrm>
                      <a:off x="0" y="0"/>
                      <a:ext cx="5969000" cy="6072144"/>
                    </a:xfrm>
                    <a:prstGeom prst="rect">
                      <a:avLst/>
                    </a:prstGeom>
                    <a:noFill/>
                    <a:ln w="9525">
                      <a:noFill/>
                      <a:headEnd/>
                      <a:tailEnd/>
                    </a:ln>
                  </pic:spPr>
                </pic:pic>
              </a:graphicData>
            </a:graphic>
          </wp:inline>
        </w:drawing>
      </w:r>
    </w:p>
    <w:p>
      <w:pPr>
        <w:pStyle w:val="BodyText"/>
      </w:pPr>
      <w:r>
        <w:rPr>
          <w:bCs/>
          <w:b/>
        </w:rPr>
        <w:t xml:space="preserve">Figure 3-45: Multiple Dose Escalation Study (day 7)</w:t>
      </w:r>
    </w:p>
    <w:p>
      <w:pPr>
        <w:pStyle w:val="BodyText"/>
      </w:pPr>
      <w:r>
        <w:t xml:space="preserve"> </w:t>
      </w:r>
    </w:p>
    <w:br w:type="page"/>
    <w:p>
      <w:pPr>
        <w:pStyle w:val="BodyText"/>
      </w:pPr>
      <w:bookmarkStart w:id="figure-3-46" w:name="figure-3-46"/>
      <w:bookmarkEnd w:id="figure-3-46"/>
    </w:p>
    <w:p>
      <w:pPr>
        <w:pStyle w:val="BodyText"/>
      </w:pPr>
      <w:r>
        <w:drawing>
          <wp:inline>
            <wp:extent cx="5969000" cy="6072144"/>
            <wp:effectExtent b="0" l="0" r="0" t="0"/>
            <wp:docPr descr="" title="" id="188" name="Picture"/>
            <a:graphic>
              <a:graphicData uri="http://schemas.openxmlformats.org/drawingml/2006/picture">
                <pic:pic>
                  <pic:nvPicPr>
                    <pic:cNvPr descr="images/006_section_results-and-discussion/009_section_ct-profiles/012_section_ct-profiles-overview/comparison_time_profile_Multiple_Dose_Escalation_Study__day_14__3.png" id="189" name="Picture"/>
                    <pic:cNvPicPr>
                      <a:picLocks noChangeArrowheads="1" noChangeAspect="1"/>
                    </pic:cNvPicPr>
                  </pic:nvPicPr>
                  <pic:blipFill>
                    <a:blip r:embed="rId187"/>
                    <a:stretch>
                      <a:fillRect/>
                    </a:stretch>
                  </pic:blipFill>
                  <pic:spPr bwMode="auto">
                    <a:xfrm>
                      <a:off x="0" y="0"/>
                      <a:ext cx="5969000" cy="6072144"/>
                    </a:xfrm>
                    <a:prstGeom prst="rect">
                      <a:avLst/>
                    </a:prstGeom>
                    <a:noFill/>
                    <a:ln w="9525">
                      <a:noFill/>
                      <a:headEnd/>
                      <a:tailEnd/>
                    </a:ln>
                  </pic:spPr>
                </pic:pic>
              </a:graphicData>
            </a:graphic>
          </wp:inline>
        </w:drawing>
      </w:r>
    </w:p>
    <w:p>
      <w:pPr>
        <w:pStyle w:val="BodyText"/>
      </w:pPr>
      <w:r>
        <w:rPr>
          <w:bCs/>
          <w:b/>
        </w:rPr>
        <w:t xml:space="preserve">Figure 3-46: Multiple Dose Escalation Study (day 14)</w:t>
      </w:r>
    </w:p>
    <w:p>
      <w:pPr>
        <w:pStyle w:val="BodyText"/>
      </w:pPr>
      <w:r>
        <w:t xml:space="preserve"> </w:t>
      </w:r>
    </w:p>
    <w:bookmarkEnd w:id="190"/>
    <w:bookmarkEnd w:id="191"/>
    <w:bookmarkEnd w:id="192"/>
    <w:bookmarkStart w:id="193" w:name="conclusion"/>
    <w:p>
      <w:pPr>
        <w:pStyle w:val="Heading1"/>
      </w:pPr>
      <w:r>
        <w:t xml:space="preserve">Conclusion</w:t>
      </w:r>
      <w:bookmarkStart w:id="conclusion" w:name="conclusion"/>
      <w:bookmarkEnd w:id="conclusion"/>
    </w:p>
    <w:p>
      <w:pPr>
        <w:pStyle w:val="FirstParagraph"/>
      </w:pPr>
      <w:r>
        <w:t xml:space="preserve">The herein presented PBPK model adequately describes the pharmacokinetics of dapagliflozin in adults.</w:t>
      </w:r>
    </w:p>
    <w:p>
      <w:pPr>
        <w:pStyle w:val="BodyText"/>
      </w:pPr>
      <w:r>
        <w:t xml:space="preserve">In particular, it applies quantitative metabolism by UGT1A9 and UGT2B7. Thus, the model is fit for purpose to be applied for the investigation of drug-drug interactions with regard to its UGT metabolism.</w:t>
      </w:r>
    </w:p>
    <w:bookmarkEnd w:id="193"/>
    <w:bookmarkStart w:id="194" w:name="references"/>
    <w:p>
      <w:pPr>
        <w:pStyle w:val="Heading1"/>
      </w:pPr>
      <w:r>
        <w:t xml:space="preserve">References</w:t>
      </w:r>
      <w:bookmarkStart w:id="main-references" w:name="main-references"/>
      <w:bookmarkEnd w:id="main-references"/>
    </w:p>
    <w:p>
      <w:pPr>
        <w:pStyle w:val="FirstParagraph"/>
      </w:pPr>
      <w:r>
        <w:rPr>
          <w:bCs/>
          <w:b/>
        </w:rPr>
        <w:t xml:space="preserve">Blaut 2013</w:t>
      </w:r>
      <w:r>
        <w:t xml:space="preserve"> </w:t>
      </w:r>
      <w:r>
        <w:t xml:space="preserve">Blaut, M., Ecology and physiology of the intestinal tract. Curr Top Microbiol Immunol, 2013. 358: p. 247-72.</w:t>
      </w:r>
    </w:p>
    <w:p>
      <w:pPr>
        <w:pStyle w:val="BodyText"/>
      </w:pPr>
      <w:r>
        <w:rPr>
          <w:bCs/>
          <w:b/>
        </w:rPr>
        <w:t xml:space="preserve">Boulton 2013</w:t>
      </w:r>
      <w:r>
        <w:t xml:space="preserve"> </w:t>
      </w:r>
      <w:r>
        <w:t xml:space="preserve">Boulton DW, Kasichayanula S, Keung CF, Arnold ME, Christopher LJ, Xu XS, Lacreta F. Simultaneous oral therapeutic and intravenous 14C-microdoses to determine the absolute oral bioavailability of saxagliptin and dapagliflozin. Br J Clin Pharmacol. 2013 Mar;75(3):763-8. doi: 10.1111/j.1365-2125.2012.04391.x.</w:t>
      </w:r>
    </w:p>
    <w:p>
      <w:pPr>
        <w:pStyle w:val="BodyText"/>
      </w:pPr>
      <w:r>
        <w:rPr>
          <w:bCs/>
          <w:b/>
        </w:rPr>
        <w:t xml:space="preserve">Chang 2015</w:t>
      </w:r>
      <w:r>
        <w:t xml:space="preserve"> </w:t>
      </w:r>
      <w:r>
        <w:t xml:space="preserve">Chang M, Liu X, Cui D, Liang D, LaCreta F, Griffen SC, Lubin S, Quamina-Edghill D, Boulton DW. Bioequivalence, Food Effect, and Steady-State Assessment of Dapagliflozin/Metformin Extended-release Fixed-dose Combination Tablets Relative to Single-component Dapagliflozin and Metformin Extended-release Tablets in Healthy Subjects. Clin Ther. 2015 Jul 1;37(7):1517-28. doi: 10.1016/j.clinthera.2015.05.004.</w:t>
      </w:r>
    </w:p>
    <w:p>
      <w:pPr>
        <w:pStyle w:val="BodyText"/>
      </w:pPr>
      <w:r>
        <w:rPr>
          <w:bCs/>
          <w:b/>
        </w:rPr>
        <w:t xml:space="preserve">DeFronzo 2013</w:t>
      </w:r>
      <w:r>
        <w:t xml:space="preserve"> </w:t>
      </w:r>
      <w:r>
        <w:t xml:space="preserve">DeFronzo RA, Hompesch M, Kasichayanula S, Liu X, Hong Y, Pfister M, Morrow LA, Leslie BR, Boulton DW, Ching A, LaCreta FP, Griffen SC. Characterization of renal glucose reabsorption in response to dapagliflozin in healthy subjects and subjects with type 2 diabetes. Diabetes Care. 2013 Oct;36(10):3169-76. doi: 10.2337/dc13-0387.</w:t>
      </w:r>
    </w:p>
    <w:p>
      <w:pPr>
        <w:pStyle w:val="BodyText"/>
      </w:pPr>
      <w:r>
        <w:rPr>
          <w:bCs/>
          <w:b/>
        </w:rPr>
        <w:t xml:space="preserve">DrugBank DB06292</w:t>
      </w:r>
      <w:r>
        <w:t xml:space="preserve"> </w:t>
      </w:r>
      <w:r>
        <w:t xml:space="preserve">(https://www.drugbank.ca/drugs/DB06292)</w:t>
      </w:r>
    </w:p>
    <w:p>
      <w:pPr>
        <w:pStyle w:val="BodyText"/>
      </w:pPr>
      <w:r>
        <w:rPr>
          <w:bCs/>
          <w:b/>
        </w:rPr>
        <w:t xml:space="preserve">FDA Clinical Pharmacology Review for NDA 202293</w:t>
      </w:r>
      <w:r>
        <w:t xml:space="preserve"> </w:t>
      </w:r>
      <w:r>
        <w:t xml:space="preserve">(https://www.accessdata.fda.gov/drugsatfda_docs/nda/2014/202293Orig1s000ClinPharmR.pdf)</w:t>
      </w:r>
    </w:p>
    <w:p>
      <w:pPr>
        <w:pStyle w:val="BodyText"/>
      </w:pPr>
      <w:r>
        <w:rPr>
          <w:bCs/>
          <w:b/>
        </w:rPr>
        <w:t xml:space="preserve">Imamura 2013</w:t>
      </w:r>
      <w:r>
        <w:t xml:space="preserve"> </w:t>
      </w:r>
      <w:r>
        <w:t xml:space="preserve">Imamura A, Kusunoki M, Ueda S, Hayashi N, Imai Y. Impact of voglibose on the pharmacokinetics of dapagliflozin in Japanese patients with type 2 diabetes. Diabetes Ther. 2013 Jun;4(1):41-9. doi: 10.1007/s13300-012-0016-5.</w:t>
      </w:r>
    </w:p>
    <w:p>
      <w:pPr>
        <w:pStyle w:val="BodyText"/>
      </w:pPr>
      <w:r>
        <w:rPr>
          <w:bCs/>
          <w:b/>
        </w:rPr>
        <w:t xml:space="preserve">Kasichayanula 2008</w:t>
      </w:r>
      <w:r>
        <w:t xml:space="preserve"> </w:t>
      </w:r>
      <w:r>
        <w:t xml:space="preserve">Kasichayanula S, Yao M, Vachharajani M, et al. Disposition and Mass Balance of [14C]-dapagliflozin after single oral dose in healthy male volunteers. AAPS J. 2008;10(S2).</w:t>
      </w:r>
    </w:p>
    <w:p>
      <w:pPr>
        <w:pStyle w:val="BodyText"/>
      </w:pPr>
      <w:r>
        <w:rPr>
          <w:bCs/>
          <w:b/>
        </w:rPr>
        <w:t xml:space="preserve">Kasichayanula 2011a</w:t>
      </w:r>
      <w:r>
        <w:t xml:space="preserve"> </w:t>
      </w:r>
      <w:r>
        <w:t xml:space="preserve">Kasichayanula S, Liu X, Zhang W, Pfister M, Reele SB, Aubry AF, LaCreta FP, Boulton DW. Effect of a high-fat meal on the pharmacokinetics of dapagliflozin, a selective SGLT2 inhibitor, in healthy subjects. Diabetes Obes Metab. 2011 Aug;13(8):770-3. doi: 10.1111/j.1463-1326.2011.01397.x.</w:t>
      </w:r>
    </w:p>
    <w:p>
      <w:pPr>
        <w:pStyle w:val="BodyText"/>
      </w:pPr>
      <w:r>
        <w:rPr>
          <w:bCs/>
          <w:b/>
        </w:rPr>
        <w:t xml:space="preserve">Kasichayanula 2011b</w:t>
      </w:r>
      <w:r>
        <w:t xml:space="preserve"> </w:t>
      </w:r>
      <w:r>
        <w:t xml:space="preserve">Kasichayanula S, Liu X, Shyu WC, Zhang W, Pfister M, Griffen SC, Li T, LaCreta FP, Boulton DW. Lack of pharmacokinetic interaction between dapagliflozin, a novel sodium-glucose transporter 2 inhibitor, and metformin, pioglitazone, glimepiride or sitagliptin in healthy subjects. Diabetes Obes Metab. 2011 Jan;13(1):47-54. doi: 10.1111/j.1463-1326.2010.01314.x.</w:t>
      </w:r>
    </w:p>
    <w:p>
      <w:pPr>
        <w:pStyle w:val="BodyText"/>
      </w:pPr>
      <w:r>
        <w:rPr>
          <w:bCs/>
          <w:b/>
        </w:rPr>
        <w:t xml:space="preserve">Kasichayanula 2011c</w:t>
      </w:r>
      <w:r>
        <w:t xml:space="preserve"> </w:t>
      </w:r>
      <w:r>
        <w:t xml:space="preserve">Kasichayanula S, Liu X, Zhang W, Pfister M, LaCreta FP, Boulton DW. Influence of hepatic impairment on the pharmacokinetics and safety profile of dapagliflozin: an open-label, parallel-group, single-dose study. Clin Ther. 2011 Nov;33(11):1798-808. doi: 10.1016/j.clinthera.2011.09.011.</w:t>
      </w:r>
    </w:p>
    <w:p>
      <w:pPr>
        <w:pStyle w:val="BodyText"/>
      </w:pPr>
      <w:r>
        <w:rPr>
          <w:bCs/>
          <w:b/>
        </w:rPr>
        <w:t xml:space="preserve">Kasichayanula 2012</w:t>
      </w:r>
      <w:r>
        <w:t xml:space="preserve"> </w:t>
      </w:r>
      <w:r>
        <w:t xml:space="preserve">Kasichayanula S, Chang M, Liu X, Shyu WC, Griffen SC, LaCreta FP, Boulton DW. Lack of pharmacokinetic interactions between dapagliflozin and simvastatin, valsartan, warfarin, or digoxin. Adv Ther. 2012 Feb;29(2):163-77. doi: 10.1007/s12325-011-0098-x.</w:t>
      </w:r>
    </w:p>
    <w:p>
      <w:pPr>
        <w:pStyle w:val="BodyText"/>
      </w:pPr>
      <w:r>
        <w:rPr>
          <w:bCs/>
          <w:b/>
        </w:rPr>
        <w:t xml:space="preserve">Kasichayanula 2013a</w:t>
      </w:r>
      <w:r>
        <w:t xml:space="preserve"> </w:t>
      </w:r>
      <w:r>
        <w:t xml:space="preserve">Kasichayanula S, Liu X, Griffen SC, Lacreta FP, Boulton DW. Effects of rifampin and mefenamic acid on the pharmacokinetics and pharmacodynamics of dapagliflozin. Diabetes Obes Metab. 2013 Mar;15(3):280-3. doi: 10.1111/dom.12024.</w:t>
      </w:r>
    </w:p>
    <w:p>
      <w:pPr>
        <w:pStyle w:val="BodyText"/>
      </w:pPr>
      <w:r>
        <w:rPr>
          <w:bCs/>
          <w:b/>
        </w:rPr>
        <w:t xml:space="preserve">Kasichayanula 2013b</w:t>
      </w:r>
      <w:r>
        <w:t xml:space="preserve"> </w:t>
      </w:r>
      <w:r>
        <w:t xml:space="preserve">Kasichayanula S, Liu X, Pe Benito M, Yao M, Pfister M, LaCreta FP, Humphreys WG, Boulton DW. The influence of kidney function on dapagliflozin exposure, metabolism and pharmacodynamics in healthy subjects and in patients with type 2 diabetes mellitus. Br J Clin Pharmacol. 2013 Sep;76(3):432-44. doi: 10.1111/bcp.12056.</w:t>
      </w:r>
    </w:p>
    <w:p>
      <w:pPr>
        <w:pStyle w:val="BodyText"/>
      </w:pPr>
      <w:r>
        <w:rPr>
          <w:bCs/>
          <w:b/>
        </w:rPr>
        <w:t xml:space="preserve">Kasichayanula 2014</w:t>
      </w:r>
      <w:r>
        <w:t xml:space="preserve"> </w:t>
      </w:r>
      <w:r>
        <w:t xml:space="preserve">Kasichayanula S, Liu X, Lacreta F, Griffen SC, Boulton DW. Clinical pharmacokinetics and pharmacodynamics of dapagliflozin, a selective inhibitor of sodium-glucose co-transporter type 2. Clin Pharmacokinet. 2014 Jan;53(1):17-27. doi: 10.1007/s40262-013-0104-3.</w:t>
      </w:r>
    </w:p>
    <w:p>
      <w:pPr>
        <w:pStyle w:val="BodyText"/>
      </w:pPr>
      <w:r>
        <w:rPr>
          <w:bCs/>
          <w:b/>
        </w:rPr>
        <w:t xml:space="preserve">Komoroski 2009</w:t>
      </w:r>
      <w:r>
        <w:t xml:space="preserve"> </w:t>
      </w:r>
      <w:r>
        <w:t xml:space="preserve">Komoroski B, Vachharajani N, Boulton D, Kornhauser D, Geraldes M, Li L, Pfister M. Dapagliflozin, a novel SGLT2 inhibitor, induces dose-dependent glucosuria in healthy subjects. Clin Pharmacol Ther. 2009 May;85(5):520-6. doi: 10.1038/clpt.2008.251.</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Molly 1993</w:t>
      </w:r>
      <w:r>
        <w:t xml:space="preserve"> </w:t>
      </w:r>
      <w:r>
        <w:t xml:space="preserve">Molly, K., M. Vande Woestyne, and W. Verstraete, Development of a 5-step multi-chamber reactor as a simulation of the human intestinal microbial ecosystem. Appl Microbiol Biotechnol, 1993. 39(2): p. 254-8.</w:t>
      </w:r>
    </w:p>
    <w:p>
      <w:pPr>
        <w:pStyle w:val="BodyText"/>
      </w:pPr>
      <w:r>
        <w:rPr>
          <w:bCs/>
          <w:b/>
        </w:rPr>
        <w:t xml:space="preserve">Nishimura 2013</w:t>
      </w:r>
      <w:r>
        <w:t xml:space="preserve"> </w:t>
      </w:r>
      <w:r>
        <w:t xml:space="preserve">Nishimura M, Yaguti H, Yoshitsugu H, Naito S, Satoh T. Tissue distribution of mRNA expression of human cytochrome P450 isoforms assessed by high-sensitivity real-time reverse transcription PCR. Yakugaku Zasshi. 2003 May;123(5):369-75.</w:t>
      </w:r>
    </w:p>
    <w:p>
      <w:pPr>
        <w:pStyle w:val="BodyText"/>
      </w:pPr>
      <w:r>
        <w:rPr>
          <w:bCs/>
          <w:b/>
        </w:rPr>
        <w:t xml:space="preserve">Obermeier 2009</w:t>
      </w:r>
      <w:r>
        <w:t xml:space="preserve"> </w:t>
      </w:r>
      <w:r>
        <w:t xml:space="preserve">Obermeier M, Yao M, Khanna A, Koplowitz B, Zhu M, Li W, Komoroski B, Kasichayanula S, Discenza L, Washburn W, Meng W, Ellsworth BA, Whaley JM, Humphreys WG. In vitro characterization and pharmacokinetics of dapagliflozin (BMS-512148), a potent sodium-glucose cotransporter type II inhibitor, in animals and humans. Drug Metab Dispos. 2010 Mar;38(3):405-14. doi: 10.1124/dmd.109.029165.</w:t>
      </w:r>
    </w:p>
    <w:p>
      <w:pPr>
        <w:pStyle w:val="BodyText"/>
      </w:pPr>
      <w:r>
        <w:rPr>
          <w:bCs/>
          <w:b/>
        </w:rPr>
        <w:t xml:space="preserve">Ohtsuki 2012</w:t>
      </w:r>
      <w:r>
        <w:t xml:space="preserve"> </w:t>
      </w:r>
      <w:r>
        <w:t xml:space="preserve">Ohtsuki S, Schaefer O, Kawakami H, Inoue T, Liehner S, Saito A, Ishiguro N, Kishimoto W, Ludwig-Schwellinger E, Ebner T, Terasaki T. Simultaneous absolute protein quantification of transporters, cytochromes P450, and UDP-glucuronosyltransferases as a novel approach for the characterization of individual human liver: comparison with mRNA levels and activities. Drug Metab Dispos. 2012 Jan;40(1):83-92. doi: 10.1124/dmd.111.042259.</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Possemiers 2004</w:t>
      </w:r>
      <w:r>
        <w:t xml:space="preserve"> </w:t>
      </w:r>
      <w:r>
        <w:t xml:space="preserve">Possemiers, S., et al., PCR-DGGE-based quantification of stability of the microbial community in a simulator of the human intestinal microbial ecosystem. FEMS Microbiol Ecol, 2004. 49(3): p. 495-507.</w:t>
      </w:r>
    </w:p>
    <w:p>
      <w:pPr>
        <w:pStyle w:val="BodyText"/>
      </w:pPr>
      <w:r>
        <w:rPr>
          <w:bCs/>
          <w:b/>
        </w:rPr>
        <w:t xml:space="preserve">Sakamoto 2002</w:t>
      </w:r>
      <w:r>
        <w:t xml:space="preserve"> </w:t>
      </w:r>
      <w:r>
        <w:t xml:space="preserve">Sakamoto, H., et al., Excretion of bisphenol A-glucuronide into the small intestine and deconjugation in the cecum of the rat. Biochim Biophys Acta, 2002. 1573(2): p. 171-6.</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Vakkalagadda 2016</w:t>
      </w:r>
      <w:r>
        <w:t xml:space="preserve"> </w:t>
      </w:r>
      <w:r>
        <w:t xml:space="preserve">Vakkalagadda B, Lubin S, Reynolds L, Liang D, Marion AS, LaCreta F, Boulton DW. Lack of a Pharmacokinetic Interaction Between Saxagliptin and Dapagliflozin in Healthy Subjects: A Randomized Crossover Study. Clin Ther. 2016 Aug;38(8):1890-9. doi: 10.1016/j.clinthera.2016.07.005.</w:t>
      </w:r>
    </w:p>
    <w:bookmarkEnd w:id="194"/>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56" Target="media/rId56.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7" Target="media/rId187.png" /><Relationship Type="http://schemas.openxmlformats.org/officeDocument/2006/relationships/image" Id="rId181" Target="media/rId181.png" /><Relationship Type="http://schemas.openxmlformats.org/officeDocument/2006/relationships/image" Id="rId184" Target="media/rId1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Dapagliflozin in Adults</dc:title>
  <dc:creator/>
  <cp:keywords/>
  <dcterms:created xsi:type="dcterms:W3CDTF">2025-03-14T13:53:29Z</dcterms:created>
  <dcterms:modified xsi:type="dcterms:W3CDTF">2025-03-14T13:53:29Z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Planhttps://github.com/Open-Systems-Pharmacology/Dapagliflozin-Model/releases/tag/v1.0OSP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