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61.png" ContentType="image/png"/>
  <Override PartName="/word/media/rId64.png" ContentType="image/png"/>
  <Override PartName="/word/media/rId95.png" ContentType="image/png"/>
  <Override PartName="/word/media/rId98.png" ContentType="image/png"/>
  <Override PartName="/word/media/rId101.png" ContentType="image/png"/>
  <Override PartName="/word/media/rId104.png" ContentType="image/png"/>
  <Override PartName="/word/media/rId107.png" ContentType="image/png"/>
  <Override PartName="/word/media/rId110.png" ContentType="image/png"/>
  <Override PartName="/word/media/rId113.png" ContentType="image/png"/>
  <Override PartName="/word/media/rId68.png" ContentType="image/png"/>
  <Override PartName="/word/media/rId71.png" ContentType="image/png"/>
  <Override PartName="/word/media/rId74.png" ContentType="image/png"/>
  <Override PartName="/word/media/rId77.png" ContentType="image/png"/>
  <Override PartName="/word/media/rId80.png" ContentType="image/png"/>
  <Override PartName="/word/media/rId83.png" ContentType="image/png"/>
  <Override PartName="/word/media/rId86.png" ContentType="image/png"/>
  <Override PartName="/word/media/rId89.png" ContentType="image/png"/>
  <Override PartName="/word/media/rId92.png" ContentType="image/png"/>
  <Override PartName="/word/media/rId117.png" ContentType="image/png"/>
  <Override PartName="/word/media/rId120.png" ContentType="image/png"/>
  <Override PartName="/word/media/rId123.png" ContentType="image/png"/>
  <Override PartName="/word/media/rId1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Building</w:t>
      </w:r>
      <w:r>
        <w:t xml:space="preserve"> </w:t>
      </w:r>
      <w:r>
        <w:t xml:space="preserve">and</w:t>
      </w:r>
      <w:r>
        <w:t xml:space="preserve"> </w:t>
      </w:r>
      <w:r>
        <w:t xml:space="preserve">evaluation</w:t>
      </w:r>
      <w:r>
        <w:t xml:space="preserve"> </w:t>
      </w:r>
      <w:r>
        <w:t xml:space="preserve">of</w:t>
      </w:r>
      <w:r>
        <w:t xml:space="preserve"> </w:t>
      </w:r>
      <w:r>
        <w:t xml:space="preserve">a</w:t>
      </w:r>
      <w:r>
        <w:t xml:space="preserve"> </w:t>
      </w:r>
      <w:r>
        <w:t xml:space="preserve">PBPK</w:t>
      </w:r>
      <w:r>
        <w:t xml:space="preserve"> </w:t>
      </w:r>
      <w:r>
        <w:t xml:space="preserve">model</w:t>
      </w:r>
      <w:r>
        <w:t xml:space="preserve"> </w:t>
      </w:r>
      <w:r>
        <w:t xml:space="preserve">for</w:t>
      </w:r>
      <w:r>
        <w:t xml:space="preserve"> </w:t>
      </w:r>
      <w:r>
        <w:t xml:space="preserve">efavirenz</w:t>
      </w:r>
      <w:r>
        <w:t xml:space="preserve"> </w:t>
      </w:r>
      <w:r>
        <w:t xml:space="preserve">in</w:t>
      </w:r>
      <w:r>
        <w:t xml:space="preserve"> </w:t>
      </w:r>
      <w:r>
        <w:t xml:space="preserve">healthy</w:t>
      </w:r>
      <w:r>
        <w:t xml:space="preserve"> </w:t>
      </w:r>
      <w:r>
        <w:t xml:space="preserve">adults</w:t>
      </w:r>
    </w:p>
    <w:p>
      <w:pPr>
        <w:pStyle w:val="AbstractTitle"/>
      </w:pPr>
      <w:r>
        <w:t xml:space="preserve">Abstract</w:t>
      </w:r>
    </w:p>
    <w:tbl>
      <w:tblPr>
        <w:tblStyle w:val="Table"/>
        <w:tblW w:type="pct" w:w="5000"/>
        <w:tblLook w:firstRow="1" w:lastRow="0" w:firstColumn="0" w:lastColumn="0" w:noHBand="0" w:noVBand="0" w:val="0020"/>
        <w:jc w:val="start"/>
      </w:tblPr>
      <w:tblGrid>
        <w:gridCol w:w="2722"/>
        <w:gridCol w:w="5197"/>
      </w:tblGrid>
      <w:tr>
        <w:trPr>
          <w:tblHeader w:val="true"/>
        </w:trPr>
        <w:tc>
          <w:tcPr/>
          <w:p>
            <w:pPr>
              <w:pStyle w:val="Compact"/>
              <w:jc w:val="left"/>
            </w:pPr>
            <w:r>
              <w:t xml:space="preserve">Version</w:t>
            </w:r>
          </w:p>
        </w:tc>
        <w:tc>
          <w:tcPr/>
          <w:p>
            <w:pPr>
              <w:pStyle w:val="Compact"/>
              <w:jc w:val="left"/>
            </w:pPr>
            <w:r>
              <w:t xml:space="preserve">1.0-OSP12.0</w:t>
            </w:r>
          </w:p>
        </w:tc>
      </w:tr>
      <w:tr>
        <w:tc>
          <w:tcPr/>
          <w:p>
            <w:pPr>
              <w:pStyle w:val="Compact"/>
              <w:jc w:val="left"/>
            </w:pPr>
            <w:r>
              <w:t xml:space="preserve">Based</w:t>
            </w:r>
            <w:r>
              <w:t xml:space="preserve"> </w:t>
            </w:r>
            <w:r>
              <w:t xml:space="preserve">on</w:t>
            </w:r>
            <w:r>
              <w:t xml:space="preserve"> </w:t>
            </w:r>
            <w:r>
              <w:t xml:space="preserve">Model</w:t>
            </w:r>
            <w:r>
              <w:t xml:space="preserve"> </w:t>
            </w:r>
            <w:r>
              <w:t xml:space="preserve">Snapshot</w:t>
            </w:r>
            <w:r>
              <w:t xml:space="preserve"> </w:t>
            </w:r>
            <w:r>
              <w:t xml:space="preserve">and</w:t>
            </w:r>
            <w:r>
              <w:t xml:space="preserve"> </w:t>
            </w:r>
            <w:r>
              <w:t xml:space="preserve">Evaluation</w:t>
            </w:r>
            <w:r>
              <w:t xml:space="preserve"> </w:t>
            </w:r>
            <w:r>
              <w:t xml:space="preserve">Plan</w:t>
            </w:r>
          </w:p>
        </w:tc>
        <w:tc>
          <w:tcPr/>
          <w:p>
            <w:pPr>
              <w:pStyle w:val="Compact"/>
              <w:jc w:val="left"/>
            </w:pPr>
            <w:r>
              <w:t xml:space="preserve">https://github.com/Open-Systems-Pharmacology/Efavirenz-Model/releases/tag/v1.0</w:t>
            </w:r>
          </w:p>
        </w:tc>
      </w:tr>
      <w:tr>
        <w:tc>
          <w:tcPr/>
          <w:p>
            <w:pPr>
              <w:pStyle w:val="Compact"/>
              <w:jc w:val="left"/>
            </w:pPr>
            <w:r>
              <w:t xml:space="preserve">OSP</w:t>
            </w:r>
            <w:r>
              <w:t xml:space="preserve"> </w:t>
            </w:r>
            <w:r>
              <w:t xml:space="preserve">Version</w:t>
            </w:r>
          </w:p>
        </w:tc>
        <w:tc>
          <w:tcPr/>
          <w:p>
            <w:pPr>
              <w:pStyle w:val="Compact"/>
              <w:jc w:val="left"/>
            </w:pPr>
            <w:r>
              <w:t xml:space="preserve">12.0</w:t>
            </w:r>
          </w:p>
        </w:tc>
      </w:tr>
      <w:tr>
        <w:tc>
          <w:tcPr/>
          <w:p>
            <w:pPr>
              <w:pStyle w:val="Compact"/>
              <w:jc w:val="left"/>
            </w:pPr>
            <w:r>
              <w:t xml:space="preserve">Qualification</w:t>
            </w:r>
            <w:r>
              <w:t xml:space="preserve"> </w:t>
            </w:r>
            <w:r>
              <w:t xml:space="preserve">Framework</w:t>
            </w:r>
            <w:r>
              <w:t xml:space="preserve"> </w:t>
            </w:r>
            <w:r>
              <w:t xml:space="preserve">Version</w:t>
            </w:r>
          </w:p>
        </w:tc>
        <w:tc>
          <w:tcPr/>
          <w:p>
            <w:pPr>
              <w:pStyle w:val="Compact"/>
              <w:jc w:val="left"/>
            </w:pPr>
            <w:r>
              <w:t xml:space="preserve">3.3</w:t>
            </w:r>
          </w:p>
        </w:tc>
      </w:tr>
    </w:tbl>
    <w:p>
      <w:pPr>
        <w:pStyle w:val="Abstract"/>
      </w:pPr>
      <w:r>
        <w:t xml:space="preserve">This</w:t>
      </w:r>
      <w:r>
        <w:t xml:space="preserve"> </w:t>
      </w:r>
      <w:r>
        <w:t xml:space="preserve">evaluation</w:t>
      </w:r>
      <w:r>
        <w:t xml:space="preserve"> </w:t>
      </w:r>
      <w:r>
        <w:t xml:space="preserve">report</w:t>
      </w:r>
      <w:r>
        <w:t xml:space="preserve"> </w:t>
      </w:r>
      <w:r>
        <w:t xml:space="preserve">and</w:t>
      </w:r>
      <w:r>
        <w:t xml:space="preserve"> </w:t>
      </w:r>
      <w:r>
        <w:t xml:space="preserve">the</w:t>
      </w:r>
      <w:r>
        <w:t xml:space="preserve"> </w:t>
      </w:r>
      <w:r>
        <w:t xml:space="preserve">corresponding</w:t>
      </w:r>
      <w:r>
        <w:t xml:space="preserve"> </w:t>
      </w:r>
      <w:r>
        <w:t xml:space="preserve">PK-Sim</w:t>
      </w:r>
      <w:r>
        <w:t xml:space="preserve"> </w:t>
      </w:r>
      <w:r>
        <w:t xml:space="preserve">project</w:t>
      </w:r>
      <w:r>
        <w:t xml:space="preserve"> </w:t>
      </w:r>
      <w:r>
        <w:t xml:space="preserve">file</w:t>
      </w:r>
      <w:r>
        <w:t xml:space="preserve"> </w:t>
      </w:r>
      <w:r>
        <w:t xml:space="preserve">are</w:t>
      </w:r>
      <w:r>
        <w:t xml:space="preserve"> </w:t>
      </w:r>
      <w:r>
        <w:t xml:space="preserve">stored</w:t>
      </w:r>
      <w:r>
        <w:t xml:space="preserve"> </w:t>
      </w:r>
      <w:r>
        <w:t xml:space="preserve">at:</w:t>
      </w:r>
    </w:p>
    <w:p>
      <w:pPr>
        <w:pStyle w:val="Abstract"/>
      </w:pPr>
      <w:r>
        <w:t xml:space="preserve">https://github.com/Open-Systems-Pharmacology/OSP-PBPK-Model-Library/</w:t>
      </w:r>
    </w:p>
    <w:p>
      <w:pPr>
        <w:pStyle w:val="Abstract"/>
      </w:pPr>
      <w:br w:type="page"/>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introduction"/>
    <w:p>
      <w:pPr>
        <w:pStyle w:val="Heading1"/>
      </w:pPr>
      <w:r>
        <w:t xml:space="preserve">Introduction</w:t>
      </w:r>
      <w:bookmarkStart w:id="introduction" w:name="introduction"/>
      <w:bookmarkEnd w:id="introduction"/>
    </w:p>
    <w:p>
      <w:pPr>
        <w:pStyle w:val="FirstParagraph"/>
      </w:pPr>
      <w:r>
        <w:t xml:space="preserve">Efavirenz is a non-nucleoside reverse transcriptase inhibitor (NNRTI) and is an antiretroviral drug to treat HIV.</w:t>
      </w:r>
    </w:p>
    <w:p>
      <w:pPr>
        <w:pStyle w:val="BodyText"/>
      </w:pPr>
      <w:r>
        <w:t xml:space="preserve">Its major metabolizing enzyme is CYP2B6, but CYP3A4, CYP3A5, CYP1A2 and CYP2A6 also play a role (</w:t>
      </w:r>
      <w:hyperlink w:anchor="Xa559bd5247f9128e74e6edcc17de37648e8cde6">
        <w:r>
          <w:rPr>
            <w:rStyle w:val="Hyperlink"/>
          </w:rPr>
          <w:t xml:space="preserve">Ward 2003</w:t>
        </w:r>
      </w:hyperlink>
      <w:r>
        <w:t xml:space="preserve">,</w:t>
      </w:r>
      <w:r>
        <w:t xml:space="preserve"> </w:t>
      </w:r>
      <w:hyperlink w:anchor="Xa559bd5247f9128e74e6edcc17de37648e8cde6">
        <w:r>
          <w:rPr>
            <w:rStyle w:val="Hyperlink"/>
          </w:rPr>
          <w:t xml:space="preserve">Ogburn 2010</w:t>
        </w:r>
      </w:hyperlink>
      <w:r>
        <w:t xml:space="preserve">). CYP2B6 polymorphism is a major determinant of clinical efavirenz disposition and dose adjustment. Efavirenz activates the pregnane X receptor (PXR) and induces its target gene expression. As a consequence, some cytochrome P450 genes are upregulated, and, e.g. higher CYP3A4 (</w:t>
      </w:r>
      <w:hyperlink w:anchor="Xa559bd5247f9128e74e6edcc17de37648e8cde6">
        <w:r>
          <w:rPr>
            <w:rStyle w:val="Hyperlink"/>
          </w:rPr>
          <w:t xml:space="preserve">Shou 2008</w:t>
        </w:r>
      </w:hyperlink>
      <w:r>
        <w:t xml:space="preserve">) and CYP2B6 (</w:t>
      </w:r>
      <w:hyperlink w:anchor="Xa559bd5247f9128e74e6edcc17de37648e8cde6">
        <w:r>
          <w:rPr>
            <w:rStyle w:val="Hyperlink"/>
          </w:rPr>
          <w:t xml:space="preserve">Ke 2016</w:t>
        </w:r>
      </w:hyperlink>
      <w:r>
        <w:t xml:space="preserve">) activity levels can be measured.</w:t>
      </w:r>
    </w:p>
    <w:p>
      <w:pPr>
        <w:pStyle w:val="BodyText"/>
      </w:pPr>
      <w:r>
        <w:t xml:space="preserve">It has a long half-life ranging from 52 to 76 hours following single oral doses and 40 to 55 hours following long term administration as a result of auto-induction of efavirenz metabolism. The long plasma half-life allows for once daily administration with long term administration of a single 600 mg daily dose (</w:t>
      </w:r>
      <w:hyperlink w:anchor="Xa559bd5247f9128e74e6edcc17de37648e8cde6">
        <w:r>
          <w:rPr>
            <w:rStyle w:val="Hyperlink"/>
          </w:rPr>
          <w:t xml:space="preserve">Smith 2001</w:t>
        </w:r>
      </w:hyperlink>
      <w:r>
        <w:t xml:space="preserve">).</w:t>
      </w:r>
    </w:p>
    <w:p>
      <w:pPr>
        <w:pStyle w:val="BodyText"/>
      </w:pPr>
      <w:r>
        <w:t xml:space="preserve">The presented efavirenz model was established using clinical PK data of 7 publications covering a dose range from 200 to 600 mg after single and multiple oral administration.</w:t>
      </w:r>
    </w:p>
    <w:p>
      <w:pPr>
        <w:pStyle w:val="BodyText"/>
      </w:pPr>
      <w:r>
        <w:t xml:space="preserve">The herein presented model building and evaluation report evaluates the performance of the PBPK model for efavirenz in (healthy) adults.</w:t>
      </w:r>
    </w:p>
    <w:p>
      <w:pPr>
        <w:pStyle w:val="BodyText"/>
      </w:pPr>
      <w:r>
        <w:t xml:space="preserve">The established efavirenz PBPK model is verified for the use as a perpetrator drug in drug-drug interaction simulations.</w:t>
      </w:r>
    </w:p>
    <w:bookmarkEnd w:id="20"/>
    <w:bookmarkStart w:id="33" w:name="methods"/>
    <w:p>
      <w:pPr>
        <w:pStyle w:val="Heading1"/>
      </w:pPr>
      <w:r>
        <w:t xml:space="preserve">Methods</w:t>
      </w:r>
      <w:bookmarkStart w:id="methods" w:name="methods"/>
      <w:bookmarkEnd w:id="methods"/>
    </w:p>
    <w:bookmarkStart w:id="22" w:name="modeling-strategy"/>
    <w:p>
      <w:pPr>
        <w:pStyle w:val="Heading2"/>
      </w:pPr>
      <w:r>
        <w:t xml:space="preserve">Modeling Strategy</w:t>
      </w:r>
      <w:bookmarkStart w:id="modeling-strategy" w:name="modeling-strategy"/>
      <w:bookmarkEnd w:id="modeling-strategy"/>
    </w:p>
    <w:p>
      <w:pPr>
        <w:pStyle w:val="FirstParagraph"/>
      </w:pPr>
      <w:r>
        <w:t xml:space="preserve">The general concept of building a PBPK model has previously been described by e.g. Kuepfer et al. (</w:t>
      </w:r>
      <w:hyperlink w:anchor="Xa559bd5247f9128e74e6edcc17de37648e8cde6">
        <w:r>
          <w:rPr>
            <w:rStyle w:val="Hyperlink"/>
          </w:rPr>
          <w:t xml:space="preserve">Kuepfer 2016</w:t>
        </w:r>
      </w:hyperlink>
      <w:r>
        <w:t xml:space="preserve">). The relevant anthropometric (height, weight) and physiological information (e.g. blood flows, organ volumes, binding protein concentrations, hematocrit, cardiac output) in adults was gathered from the literature and has been previously published (</w:t>
      </w:r>
      <w:hyperlink w:anchor="Xa559bd5247f9128e74e6edcc17de37648e8cde6">
        <w:r>
          <w:rPr>
            <w:rStyle w:val="Hyperlink"/>
          </w:rPr>
          <w:t xml:space="preserve">Willmann 2007</w:t>
        </w:r>
      </w:hyperlink>
      <w:r>
        <w:t xml:space="preserve">). This information was incorporated into PK-Sim® and was used as default values for the simulations in adults.</w:t>
      </w:r>
    </w:p>
    <w:p>
      <w:pPr>
        <w:pStyle w:val="BodyText"/>
      </w:pPr>
      <w:r>
        <w:t xml:space="preserve">Variability of plasma proteins and CYP enzymes are integrated into PK-Sim® and described in the publicly available PK-Sim® Ontogeny Database Version 7.3 (</w:t>
      </w:r>
      <w:hyperlink w:anchor="Xa559bd5247f9128e74e6edcc17de37648e8cde6">
        <w:r>
          <w:rPr>
            <w:rStyle w:val="Hyperlink"/>
          </w:rPr>
          <w:t xml:space="preserve">PK-Sim Ontogeny Database Version 7.3</w:t>
        </w:r>
      </w:hyperlink>
      <w:r>
        <w:t xml:space="preserve">) or otherwise referenced for the specific process.</w:t>
      </w:r>
    </w:p>
    <w:p>
      <w:pPr>
        <w:pStyle w:val="BodyText"/>
      </w:pPr>
      <w:r>
        <w:t xml:space="preserve">First, a base mean model was built using clinical data including single and multiple dose studies with oral applications of efavirenz (Sustiva) to find an appropriate structure to describe the pharmacokinetics in plasma. The mean PBPK model was developed using a typical European individual adjusted to the demography of the respective study population. The relative tissue-specific expressions of enzymes predominantly being involved in the metabolism of efavirenz were derived from RT-PCR data from</w:t>
      </w:r>
      <w:r>
        <w:t xml:space="preserve"> </w:t>
      </w:r>
      <w:hyperlink w:anchor="Xa559bd5247f9128e74e6edcc17de37648e8cde6">
        <w:r>
          <w:rPr>
            <w:rStyle w:val="Hyperlink"/>
          </w:rPr>
          <w:t xml:space="preserve">Nishimura 2003</w:t>
        </w:r>
      </w:hyperlink>
      <w:r>
        <w:t xml:space="preserve"> </w:t>
      </w:r>
      <w:r>
        <w:t xml:space="preserve">and are implemented in the model as described previously (</w:t>
      </w:r>
      <w:hyperlink w:anchor="Xa559bd5247f9128e74e6edcc17de37648e8cde6">
        <w:r>
          <w:rPr>
            <w:rStyle w:val="Hyperlink"/>
          </w:rPr>
          <w:t xml:space="preserve">Meyer 2012</w:t>
        </w:r>
      </w:hyperlink>
      <w:r>
        <w:t xml:space="preserve">).</w:t>
      </w:r>
    </w:p>
    <w:p>
      <w:pPr>
        <w:pStyle w:val="BodyText"/>
      </w:pPr>
      <w:r>
        <w:t xml:space="preserve">Unknown parameters (see below) were identified using the Parameter Identification module provided in PK-Sim®. Structural model selection was mainly guided by visual inspection of the resulting description of data and biological plausibility.</w:t>
      </w:r>
    </w:p>
    <w:p>
      <w:pPr>
        <w:pStyle w:val="BodyText"/>
      </w:pPr>
      <w:r>
        <w:t xml:space="preserve">CYP3A4 plays only a minor role in efavirenz metabolism, and, therefore, auto-induction of CYP3A4 plays a minor role for efavirenz pharmacokinetics. Hence, to parameterize CYP3A4 induction, midazolam was used as victim substance to identify the respective model parameter</w:t>
      </w:r>
      <w:r>
        <w:t xml:space="preserve"> </w:t>
      </w:r>
      <w:r>
        <w:rPr>
          <w:rStyle w:val="VerbatimChar"/>
        </w:rPr>
        <w:t xml:space="preserve">Emax</w:t>
      </w:r>
      <w:r>
        <w:t xml:space="preserve"> </w:t>
      </w:r>
      <w:r>
        <w:t xml:space="preserve">and</w:t>
      </w:r>
      <w:r>
        <w:t xml:space="preserve"> </w:t>
      </w:r>
      <w:r>
        <w:rPr>
          <w:rStyle w:val="VerbatimChar"/>
        </w:rPr>
        <w:t xml:space="preserve">EC50</w:t>
      </w:r>
      <w:r>
        <w:t xml:space="preserve"> </w:t>
      </w:r>
      <w:r>
        <w:t xml:space="preserve">for induction. The respective parameter identification (please refer to</w:t>
      </w:r>
      <w:r>
        <w:t xml:space="preserve"> </w:t>
      </w:r>
      <w:hyperlink w:anchor="X2a13133295efba879d59b4ecc1b6a15b8871330">
        <w:r>
          <w:rPr>
            <w:rStyle w:val="Hyperlink"/>
          </w:rPr>
          <w:t xml:space="preserve">Section 2.3.4</w:t>
        </w:r>
      </w:hyperlink>
      <w:r>
        <w:t xml:space="preserve">) was performed using the midazolam model</w:t>
      </w:r>
      <w:r>
        <w:t xml:space="preserve"> </w:t>
      </w:r>
      <w:hyperlink r:id="rId21">
        <w:r>
          <w:rPr>
            <w:rStyle w:val="Hyperlink"/>
          </w:rPr>
          <w:t xml:space="preserve">version 1.0</w:t>
        </w:r>
      </w:hyperlink>
      <w:r>
        <w:t xml:space="preserve">.</w:t>
      </w:r>
    </w:p>
    <w:p>
      <w:pPr>
        <w:pStyle w:val="BodyText"/>
      </w:pPr>
      <w:r>
        <w:t xml:space="preserve">Details about input data (physicochemical,</w:t>
      </w:r>
      <w:r>
        <w:t xml:space="preserve"> </w:t>
      </w:r>
      <w:r>
        <w:rPr>
          <w:iCs/>
          <w:i/>
        </w:rPr>
        <w:t xml:space="preserve">in vitro</w:t>
      </w:r>
      <w:r>
        <w:t xml:space="preserve"> </w:t>
      </w:r>
      <w:r>
        <w:t xml:space="preserve">and clinical) can be found in</w:t>
      </w:r>
      <w:r>
        <w:t xml:space="preserve"> </w:t>
      </w:r>
      <w:hyperlink w:anchor="X681d1fae3f233cf07e1ee33c73d775b8586b96f">
        <w:r>
          <w:rPr>
            <w:rStyle w:val="Hyperlink"/>
          </w:rPr>
          <w:t xml:space="preserve">Section 2.2</w:t>
        </w:r>
      </w:hyperlink>
      <w:r>
        <w:t xml:space="preserve">.</w:t>
      </w:r>
    </w:p>
    <w:p>
      <w:pPr>
        <w:pStyle w:val="BodyText"/>
      </w:pPr>
      <w:r>
        <w:t xml:space="preserve">Details about the structural model and its parameters can be found in</w:t>
      </w:r>
      <w:r>
        <w:t xml:space="preserve"> </w:t>
      </w:r>
      <w:hyperlink w:anchor="X920e58f6eb345d17092abc826058b6950015cf7">
        <w:r>
          <w:rPr>
            <w:rStyle w:val="Hyperlink"/>
          </w:rPr>
          <w:t xml:space="preserve">Section 2.3</w:t>
        </w:r>
      </w:hyperlink>
      <w:r>
        <w:t xml:space="preserve">.</w:t>
      </w:r>
    </w:p>
    <w:bookmarkEnd w:id="22"/>
    <w:bookmarkStart w:id="27" w:name="data"/>
    <w:p>
      <w:pPr>
        <w:pStyle w:val="Heading2"/>
      </w:pPr>
      <w:r>
        <w:t xml:space="preserve">Data</w:t>
      </w:r>
      <w:bookmarkStart w:id="data" w:name="data"/>
      <w:bookmarkEnd w:id="data"/>
    </w:p>
    <w:bookmarkStart w:id="23" w:name="in-vitro-physico-chemical-data"/>
    <w:p>
      <w:pPr>
        <w:pStyle w:val="Heading3"/>
      </w:pPr>
      <w:r>
        <w:t xml:space="preserve">2.2.1 In vitro / physico-chemical Data</w:t>
      </w:r>
    </w:p>
    <w:p>
      <w:pPr>
        <w:pStyle w:val="FirstParagraph"/>
      </w:pPr>
      <w:r>
        <w:t xml:space="preserve">A literature search was performed to collect available information on physiochemical properties of efavirenz. The obtained information from literature is summarized in the table below.</w:t>
      </w:r>
    </w:p>
    <w:tbl>
      <w:tblPr>
        <w:tblStyle w:val="Table"/>
        <w:tblW w:type="pct" w:w="5000"/>
        <w:tblLook w:firstRow="1" w:lastRow="0" w:firstColumn="0" w:lastColumn="0" w:noHBand="0" w:noVBand="0" w:val="0020"/>
        <w:jc w:val="start"/>
      </w:tblPr>
      <w:tblGrid>
        <w:gridCol w:w="819"/>
        <w:gridCol w:w="436"/>
        <w:gridCol w:w="819"/>
        <w:gridCol w:w="3277"/>
        <w:gridCol w:w="2567"/>
      </w:tblGrid>
      <w:tr>
        <w:trPr>
          <w:tblHeader w:val="true"/>
        </w:trPr>
        <w:tc>
          <w:tcPr/>
          <w:p>
            <w:pPr>
              <w:pStyle w:val="Compact"/>
              <w:jc w:val="left"/>
            </w:pPr>
            <w:r>
              <w:rPr>
                <w:bCs/>
                <w:b/>
              </w:rPr>
              <w:t xml:space="preserve">Parameter</w:t>
            </w:r>
          </w:p>
        </w:tc>
        <w:tc>
          <w:tcPr/>
          <w:p>
            <w:pPr>
              <w:pStyle w:val="Compact"/>
              <w:jc w:val="left"/>
            </w:pPr>
            <w:r>
              <w:rPr>
                <w:bCs/>
                <w:b/>
              </w:rPr>
              <w:t xml:space="preserve">Unit</w:t>
            </w:r>
          </w:p>
        </w:tc>
        <w:tc>
          <w:tcPr/>
          <w:p>
            <w:pPr>
              <w:pStyle w:val="Compact"/>
              <w:jc w:val="left"/>
            </w:pPr>
            <w:r>
              <w:rPr>
                <w:bCs/>
                <w:b/>
              </w:rPr>
              <w:t xml:space="preserve">Value</w:t>
            </w:r>
          </w:p>
        </w:tc>
        <w:tc>
          <w:tcPr/>
          <w:p>
            <w:pPr>
              <w:pStyle w:val="Compact"/>
              <w:jc w:val="left"/>
            </w:pPr>
            <w:r>
              <w:t xml:space="preserve">Source</w:t>
            </w:r>
          </w:p>
        </w:tc>
        <w:tc>
          <w:tcPr/>
          <w:p>
            <w:pPr>
              <w:pStyle w:val="Compact"/>
              <w:jc w:val="left"/>
            </w:pPr>
            <w:r>
              <w:rPr>
                <w:bCs/>
                <w:b/>
              </w:rPr>
              <w:t xml:space="preserve">Description</w:t>
            </w:r>
          </w:p>
        </w:tc>
      </w:tr>
      <w:tr>
        <w:tc>
          <w:tcPr/>
          <w:p>
            <w:pPr>
              <w:pStyle w:val="Compact"/>
              <w:jc w:val="left"/>
            </w:pPr>
            <w:r>
              <w:t xml:space="preserve">MW</w:t>
            </w:r>
          </w:p>
        </w:tc>
        <w:tc>
          <w:tcPr/>
          <w:p>
            <w:pPr>
              <w:pStyle w:val="Compact"/>
              <w:jc w:val="left"/>
            </w:pPr>
            <w:r>
              <w:t xml:space="preserve">g/mol</w:t>
            </w:r>
          </w:p>
        </w:tc>
        <w:tc>
          <w:tcPr/>
          <w:p>
            <w:pPr>
              <w:pStyle w:val="Compact"/>
              <w:jc w:val="left"/>
            </w:pPr>
            <w:r>
              <w:t xml:space="preserve">315.675</w:t>
            </w:r>
          </w:p>
        </w:tc>
        <w:tc>
          <w:tcPr/>
          <w:p>
            <w:pPr>
              <w:pStyle w:val="Compact"/>
              <w:jc w:val="left"/>
            </w:pPr>
            <w:r>
              <w:t xml:space="preserve">https://www.drugbank.ca/</w:t>
            </w:r>
          </w:p>
        </w:tc>
        <w:tc>
          <w:tcPr/>
          <w:p>
            <w:pPr>
              <w:pStyle w:val="Compact"/>
              <w:jc w:val="left"/>
            </w:pPr>
            <w:r>
              <w:t xml:space="preserve">Molecular weight</w:t>
            </w:r>
          </w:p>
        </w:tc>
      </w:tr>
      <w:tr>
        <w:tc>
          <w:tcPr/>
          <w:p>
            <w:pPr>
              <w:pStyle w:val="Compact"/>
              <w:jc w:val="left"/>
            </w:pPr>
            <w:r>
              <w:t xml:space="preserve">pK</w:t>
            </w:r>
            <w:r>
              <w:rPr>
                <w:vertAlign w:val="subscript"/>
              </w:rPr>
              <w:t xml:space="preserve">a</w:t>
            </w:r>
          </w:p>
        </w:tc>
        <w:tc>
          <w:tcPr/>
          <w:p>
            <w:pPr>
              <w:pStyle w:val="Compact"/>
              <w:jc w:val="left"/>
            </w:pPr>
            <w:r>
              <w:t xml:space="preserve">10.1</w:t>
            </w:r>
          </w:p>
        </w:tc>
        <w:tc>
          <w:tcPr/>
          <w:p>
            <w:pPr>
              <w:pStyle w:val="Compact"/>
              <w:jc w:val="left"/>
            </w:pPr>
            <w:r>
              <w:t xml:space="preserve">(base)</w:t>
            </w:r>
          </w:p>
        </w:tc>
        <w:tc>
          <w:tcPr/>
          <w:p>
            <w:pPr>
              <w:pStyle w:val="Compact"/>
              <w:jc w:val="left"/>
            </w:pPr>
            <w:hyperlink w:anchor="Xa559bd5247f9128e74e6edcc17de37648e8cde6">
              <w:r>
                <w:rPr>
                  <w:rStyle w:val="Hyperlink"/>
                </w:rPr>
                <w:t xml:space="preserve">Rabel 1996</w:t>
              </w:r>
            </w:hyperlink>
          </w:p>
        </w:tc>
        <w:tc>
          <w:tcPr/>
          <w:p>
            <w:pPr>
              <w:pStyle w:val="Compact"/>
              <w:jc w:val="left"/>
            </w:pPr>
            <w:r>
              <w:t xml:space="preserve">Acid dissociation constant</w:t>
            </w:r>
          </w:p>
        </w:tc>
      </w:tr>
      <w:tr>
        <w:tc>
          <w:tcPr/>
          <w:p>
            <w:pPr>
              <w:pStyle w:val="Compact"/>
              <w:jc w:val="left"/>
            </w:pPr>
            <w:r>
              <w:t xml:space="preserve">Solubility (pH)</w:t>
            </w:r>
          </w:p>
        </w:tc>
        <w:tc>
          <w:tcPr/>
          <w:p>
            <w:pPr>
              <w:pStyle w:val="Compact"/>
              <w:jc w:val="left"/>
            </w:pPr>
            <w:r>
              <w:t xml:space="preserve">mg/L</w:t>
            </w:r>
          </w:p>
        </w:tc>
        <w:tc>
          <w:tcPr/>
          <w:p>
            <w:pPr>
              <w:pStyle w:val="Compact"/>
              <w:jc w:val="left"/>
            </w:pPr>
            <w:r>
              <w:t xml:space="preserve">11.5 (6.4)</w:t>
            </w:r>
          </w:p>
        </w:tc>
        <w:tc>
          <w:tcPr/>
          <w:p>
            <w:pPr>
              <w:pStyle w:val="Compact"/>
              <w:jc w:val="left"/>
            </w:pPr>
            <w:hyperlink w:anchor="Xa559bd5247f9128e74e6edcc17de37648e8cde6">
              <w:r>
                <w:rPr>
                  <w:rStyle w:val="Hyperlink"/>
                </w:rPr>
                <w:t xml:space="preserve">Cristofoletti 2013</w:t>
              </w:r>
            </w:hyperlink>
          </w:p>
        </w:tc>
        <w:tc>
          <w:tcPr/>
          <w:p>
            <w:pPr>
              <w:pStyle w:val="Compact"/>
              <w:jc w:val="left"/>
            </w:pPr>
            <w:r>
              <w:t xml:space="preserve">Water solubility</w:t>
            </w:r>
          </w:p>
        </w:tc>
      </w:tr>
      <w:tr>
        <w:tc>
          <w:tcPr/>
          <w:p>
            <w:pPr>
              <w:pStyle w:val="Compact"/>
              <w:jc w:val="left"/>
            </w:pPr>
            <w:r>
              <w:t xml:space="preserve">logP</w:t>
            </w:r>
          </w:p>
        </w:tc>
        <w:tc>
          <w:tcPr/>
          <w:p>
            <w:pPr>
              <w:pStyle w:val="Compact"/>
            </w:pPr>
          </w:p>
        </w:tc>
        <w:tc>
          <w:tcPr/>
          <w:p>
            <w:pPr>
              <w:pStyle w:val="Compact"/>
              <w:jc w:val="left"/>
            </w:pPr>
            <w:r>
              <w:t xml:space="preserve">2.07, 4.6</w:t>
            </w:r>
          </w:p>
        </w:tc>
        <w:tc>
          <w:tcPr/>
          <w:p>
            <w:pPr>
              <w:pStyle w:val="Compact"/>
              <w:jc w:val="left"/>
            </w:pPr>
            <w:hyperlink w:anchor="Xa559bd5247f9128e74e6edcc17de37648e8cde6">
              <w:r>
                <w:rPr>
                  <w:rStyle w:val="Hyperlink"/>
                </w:rPr>
                <w:t xml:space="preserve">Almond 2005</w:t>
              </w:r>
            </w:hyperlink>
            <w:r>
              <w:t xml:space="preserve">, https://www.drugbank.ca/</w:t>
            </w:r>
          </w:p>
        </w:tc>
        <w:tc>
          <w:tcPr/>
          <w:p>
            <w:pPr>
              <w:pStyle w:val="Compact"/>
              <w:jc w:val="left"/>
            </w:pPr>
            <w:r>
              <w:t xml:space="preserve">Partition coefficient between octanol and water</w:t>
            </w:r>
          </w:p>
        </w:tc>
      </w:tr>
      <w:tr>
        <w:tc>
          <w:tcPr/>
          <w:p>
            <w:pPr>
              <w:pStyle w:val="Compact"/>
              <w:jc w:val="left"/>
            </w:pPr>
            <w:r>
              <w:t xml:space="preserve">logD</w:t>
            </w:r>
          </w:p>
        </w:tc>
        <w:tc>
          <w:tcPr/>
          <w:p>
            <w:pPr>
              <w:pStyle w:val="Compact"/>
            </w:pPr>
          </w:p>
        </w:tc>
        <w:tc>
          <w:tcPr/>
          <w:p>
            <w:pPr>
              <w:pStyle w:val="Compact"/>
              <w:jc w:val="left"/>
            </w:pPr>
            <w:r>
              <w:t xml:space="preserve">5.1</w:t>
            </w:r>
          </w:p>
        </w:tc>
        <w:tc>
          <w:tcPr/>
          <w:p>
            <w:pPr>
              <w:pStyle w:val="Compact"/>
              <w:jc w:val="left"/>
            </w:pPr>
            <w:hyperlink w:anchor="Xa559bd5247f9128e74e6edcc17de37648e8cde6">
              <w:r>
                <w:rPr>
                  <w:rStyle w:val="Hyperlink"/>
                </w:rPr>
                <w:t xml:space="preserve">Janneh 2009</w:t>
              </w:r>
            </w:hyperlink>
          </w:p>
        </w:tc>
        <w:tc>
          <w:tcPr/>
          <w:p>
            <w:pPr>
              <w:pStyle w:val="Compact"/>
              <w:jc w:val="left"/>
            </w:pPr>
            <w:r>
              <w:t xml:space="preserve">Partition coefficient between octanol and buffer solution</w:t>
            </w:r>
          </w:p>
        </w:tc>
      </w:tr>
      <w:tr>
        <w:tc>
          <w:tcPr/>
          <w:p>
            <w:pPr>
              <w:pStyle w:val="Compact"/>
              <w:jc w:val="left"/>
            </w:pPr>
            <w:r>
              <w:t xml:space="preserve">fu</w:t>
            </w:r>
          </w:p>
        </w:tc>
        <w:tc>
          <w:tcPr/>
          <w:p>
            <w:pPr>
              <w:pStyle w:val="Compact"/>
            </w:pPr>
          </w:p>
        </w:tc>
        <w:tc>
          <w:tcPr/>
          <w:p>
            <w:pPr>
              <w:pStyle w:val="Compact"/>
              <w:jc w:val="left"/>
            </w:pPr>
            <w:r>
              <w:t xml:space="preserve">0.006 [0.004 - 0.015]</w:t>
            </w:r>
          </w:p>
        </w:tc>
        <w:tc>
          <w:tcPr/>
          <w:p>
            <w:pPr>
              <w:pStyle w:val="Compact"/>
              <w:jc w:val="left"/>
            </w:pPr>
            <w:hyperlink w:anchor="Xa559bd5247f9128e74e6edcc17de37648e8cde6">
              <w:r>
                <w:rPr>
                  <w:rStyle w:val="Hyperlink"/>
                </w:rPr>
                <w:t xml:space="preserve">Almond 2005</w:t>
              </w:r>
            </w:hyperlink>
          </w:p>
        </w:tc>
        <w:tc>
          <w:tcPr/>
          <w:p>
            <w:pPr>
              <w:pStyle w:val="Compact"/>
              <w:jc w:val="left"/>
            </w:pPr>
            <w:r>
              <w:t xml:space="preserve">Fraction unbound in plasma</w:t>
            </w:r>
          </w:p>
        </w:tc>
      </w:tr>
      <w:tr>
        <w:tc>
          <w:tcPr/>
          <w:p>
            <w:pPr>
              <w:pStyle w:val="Compact"/>
              <w:jc w:val="left"/>
            </w:pPr>
            <w:r>
              <w:t xml:space="preserve">Emax (CYP3A4)</w:t>
            </w:r>
          </w:p>
        </w:tc>
        <w:tc>
          <w:tcPr/>
          <w:p>
            <w:pPr>
              <w:pStyle w:val="Compact"/>
            </w:pPr>
          </w:p>
        </w:tc>
        <w:tc>
          <w:tcPr/>
          <w:p>
            <w:pPr>
              <w:pStyle w:val="Compact"/>
              <w:jc w:val="left"/>
            </w:pPr>
            <w:r>
              <w:t xml:space="preserve">7.27, 3.15 (average 5.21)</w:t>
            </w:r>
          </w:p>
        </w:tc>
        <w:tc>
          <w:tcPr/>
          <w:p>
            <w:pPr>
              <w:pStyle w:val="Compact"/>
              <w:jc w:val="left"/>
            </w:pPr>
            <w:hyperlink w:anchor="Xa559bd5247f9128e74e6edcc17de37648e8cde6">
              <w:r>
                <w:rPr>
                  <w:rStyle w:val="Hyperlink"/>
                </w:rPr>
                <w:t xml:space="preserve">Shou 2008</w:t>
              </w:r>
            </w:hyperlink>
          </w:p>
        </w:tc>
        <w:tc>
          <w:tcPr/>
          <w:p>
            <w:pPr>
              <w:pStyle w:val="Compact"/>
              <w:jc w:val="left"/>
            </w:pPr>
            <w:r>
              <w:t xml:space="preserve">Maximum induction effect</w:t>
            </w:r>
          </w:p>
        </w:tc>
      </w:tr>
      <w:tr>
        <w:tc>
          <w:tcPr/>
          <w:p>
            <w:pPr>
              <w:pStyle w:val="Compact"/>
              <w:jc w:val="left"/>
            </w:pPr>
            <w:r>
              <w:t xml:space="preserve">EC50 (CYP3A4)</w:t>
            </w:r>
          </w:p>
        </w:tc>
        <w:tc>
          <w:tcPr/>
          <w:p>
            <w:pPr>
              <w:pStyle w:val="Compact"/>
              <w:jc w:val="left"/>
            </w:pPr>
            <w:r>
              <w:t xml:space="preserve">µmol/l</w:t>
            </w:r>
          </w:p>
        </w:tc>
        <w:tc>
          <w:tcPr/>
          <w:p>
            <w:pPr>
              <w:pStyle w:val="Compact"/>
              <w:jc w:val="left"/>
            </w:pPr>
            <w:r>
              <w:t xml:space="preserve">12.5, 2.18 (average 7.34)</w:t>
            </w:r>
          </w:p>
        </w:tc>
        <w:tc>
          <w:tcPr/>
          <w:p>
            <w:pPr>
              <w:pStyle w:val="Compact"/>
              <w:jc w:val="left"/>
            </w:pPr>
            <w:hyperlink w:anchor="Xa559bd5247f9128e74e6edcc17de37648e8cde6">
              <w:r>
                <w:rPr>
                  <w:rStyle w:val="Hyperlink"/>
                </w:rPr>
                <w:t xml:space="preserve">Shou 2008</w:t>
              </w:r>
            </w:hyperlink>
          </w:p>
        </w:tc>
        <w:tc>
          <w:tcPr/>
          <w:p>
            <w:pPr>
              <w:pStyle w:val="Compact"/>
              <w:jc w:val="left"/>
            </w:pPr>
            <w:r>
              <w:t xml:space="preserve">Concentration at half maximum induction</w:t>
            </w:r>
          </w:p>
        </w:tc>
      </w:tr>
      <w:tr>
        <w:tc>
          <w:tcPr/>
          <w:p>
            <w:pPr>
              <w:pStyle w:val="Compact"/>
              <w:jc w:val="left"/>
            </w:pPr>
            <w:r>
              <w:t xml:space="preserve">Emax (CYP2B6)</w:t>
            </w:r>
          </w:p>
        </w:tc>
        <w:tc>
          <w:tcPr/>
          <w:p>
            <w:pPr>
              <w:pStyle w:val="Compact"/>
            </w:pPr>
          </w:p>
        </w:tc>
        <w:tc>
          <w:tcPr/>
          <w:p>
            <w:pPr>
              <w:pStyle w:val="Compact"/>
              <w:jc w:val="left"/>
            </w:pPr>
            <w:r>
              <w:t xml:space="preserve">5.1</w:t>
            </w:r>
          </w:p>
        </w:tc>
        <w:tc>
          <w:tcPr/>
          <w:p>
            <w:pPr>
              <w:pStyle w:val="Compact"/>
              <w:jc w:val="left"/>
            </w:pPr>
            <w:hyperlink w:anchor="Xa559bd5247f9128e74e6edcc17de37648e8cde6">
              <w:r>
                <w:rPr>
                  <w:rStyle w:val="Hyperlink"/>
                </w:rPr>
                <w:t xml:space="preserve">Ke 2016</w:t>
              </w:r>
            </w:hyperlink>
          </w:p>
        </w:tc>
        <w:tc>
          <w:tcPr/>
          <w:p>
            <w:pPr>
              <w:pStyle w:val="Compact"/>
              <w:jc w:val="left"/>
            </w:pPr>
            <w:r>
              <w:t xml:space="preserve">Maximum induction effect</w:t>
            </w:r>
          </w:p>
        </w:tc>
      </w:tr>
      <w:tr>
        <w:tc>
          <w:tcPr/>
          <w:p>
            <w:pPr>
              <w:pStyle w:val="Compact"/>
              <w:jc w:val="left"/>
            </w:pPr>
            <w:r>
              <w:t xml:space="preserve">EC50 (CYP2B6)</w:t>
            </w:r>
          </w:p>
        </w:tc>
        <w:tc>
          <w:tcPr/>
          <w:p>
            <w:pPr>
              <w:pStyle w:val="Compact"/>
              <w:jc w:val="left"/>
            </w:pPr>
            <w:r>
              <w:t xml:space="preserve">µmol/l</w:t>
            </w:r>
          </w:p>
        </w:tc>
        <w:tc>
          <w:tcPr/>
          <w:p>
            <w:pPr>
              <w:pStyle w:val="Compact"/>
              <w:jc w:val="left"/>
            </w:pPr>
            <w:r>
              <w:t xml:space="preserve">5.1</w:t>
            </w:r>
          </w:p>
        </w:tc>
        <w:tc>
          <w:tcPr/>
          <w:p>
            <w:pPr>
              <w:pStyle w:val="Compact"/>
              <w:jc w:val="left"/>
            </w:pPr>
            <w:hyperlink w:anchor="Xa559bd5247f9128e74e6edcc17de37648e8cde6">
              <w:r>
                <w:rPr>
                  <w:rStyle w:val="Hyperlink"/>
                </w:rPr>
                <w:t xml:space="preserve">Ke 2016</w:t>
              </w:r>
            </w:hyperlink>
          </w:p>
        </w:tc>
        <w:tc>
          <w:tcPr/>
          <w:p>
            <w:pPr>
              <w:pStyle w:val="Compact"/>
              <w:jc w:val="left"/>
            </w:pPr>
            <w:r>
              <w:t xml:space="preserve">Concentration at half maximum induction</w:t>
            </w:r>
          </w:p>
        </w:tc>
      </w:tr>
    </w:tbl>
    <w:bookmarkEnd w:id="23"/>
    <w:bookmarkStart w:id="26" w:name="clinical-data"/>
    <w:p>
      <w:pPr>
        <w:pStyle w:val="Heading3"/>
      </w:pPr>
      <w:r>
        <w:t xml:space="preserve">2.2.2 Clinical Data</w:t>
      </w:r>
    </w:p>
    <w:p>
      <w:pPr>
        <w:pStyle w:val="FirstParagraph"/>
      </w:pPr>
      <w:r>
        <w:t xml:space="preserve">A literature search was performed to collect available clinical data on efavirenz in healthy adults.</w:t>
      </w:r>
    </w:p>
    <w:bookmarkStart w:id="24" w:name="model-building"/>
    <w:p>
      <w:pPr>
        <w:pStyle w:val="Heading4"/>
      </w:pPr>
      <w:r>
        <w:t xml:space="preserve">2.2.2.1 Model Building</w:t>
      </w:r>
    </w:p>
    <w:p>
      <w:pPr>
        <w:pStyle w:val="FirstParagraph"/>
      </w:pPr>
      <w:r>
        <w:t xml:space="preserve">The following studies were used for model building:</w:t>
      </w:r>
    </w:p>
    <w:tbl>
      <w:tblPr>
        <w:tblStyle w:val="Table"/>
        <w:tblW w:type="pct" w:w="5000"/>
        <w:tblLook w:firstRow="1" w:lastRow="0" w:firstColumn="0" w:lastColumn="0" w:noHBand="0" w:noVBand="0" w:val="0020"/>
        <w:jc w:val="start"/>
      </w:tblPr>
      <w:tblGrid>
        <w:gridCol w:w="2520"/>
        <w:gridCol w:w="5400"/>
      </w:tblGrid>
      <w:tr>
        <w:trPr>
          <w:tblHeader w:val="true"/>
        </w:trPr>
        <w:tc>
          <w:tcPr/>
          <w:p>
            <w:pPr>
              <w:pStyle w:val="Compact"/>
              <w:jc w:val="left"/>
            </w:pPr>
            <w:r>
              <w:t xml:space="preserve">Publication</w:t>
            </w:r>
          </w:p>
        </w:tc>
        <w:tc>
          <w:tcPr/>
          <w:p>
            <w:pPr>
              <w:pStyle w:val="Compact"/>
              <w:jc w:val="left"/>
            </w:pPr>
            <w:r>
              <w:t xml:space="preserve">Arm / Treatment / Information used for model building</w:t>
            </w:r>
          </w:p>
        </w:tc>
      </w:tr>
      <w:tr>
        <w:tc>
          <w:tcPr/>
          <w:p>
            <w:pPr>
              <w:pStyle w:val="Compact"/>
              <w:jc w:val="left"/>
            </w:pPr>
            <w:hyperlink w:anchor="Xa559bd5247f9128e74e6edcc17de37648e8cde6">
              <w:r>
                <w:rPr>
                  <w:rStyle w:val="Hyperlink"/>
                </w:rPr>
                <w:t xml:space="preserve">Mouly 2002</w:t>
              </w:r>
            </w:hyperlink>
          </w:p>
        </w:tc>
        <w:tc>
          <w:tcPr/>
          <w:p>
            <w:pPr>
              <w:pStyle w:val="Compact"/>
              <w:jc w:val="left"/>
            </w:pPr>
            <w:r>
              <w:t xml:space="preserve">Healthy subjects receiving a single oral dose of 200 and 400 mg</w:t>
            </w:r>
          </w:p>
        </w:tc>
      </w:tr>
      <w:tr>
        <w:tc>
          <w:tcPr/>
          <w:p>
            <w:pPr>
              <w:pStyle w:val="Compact"/>
              <w:jc w:val="left"/>
            </w:pPr>
            <w:hyperlink w:anchor="Xa559bd5247f9128e74e6edcc17de37648e8cde6">
              <w:r>
                <w:rPr>
                  <w:rStyle w:val="Hyperlink"/>
                </w:rPr>
                <w:t xml:space="preserve">Ogburn 2013</w:t>
              </w:r>
            </w:hyperlink>
          </w:p>
        </w:tc>
        <w:tc>
          <w:tcPr/>
          <w:p>
            <w:pPr>
              <w:pStyle w:val="Compact"/>
              <w:jc w:val="left"/>
            </w:pPr>
            <w:r>
              <w:t xml:space="preserve">Healthy subjects receiving a single oral dose of 600 mg</w:t>
            </w:r>
          </w:p>
        </w:tc>
      </w:tr>
      <w:tr>
        <w:tc>
          <w:tcPr/>
          <w:p>
            <w:pPr>
              <w:pStyle w:val="Compact"/>
              <w:jc w:val="left"/>
            </w:pPr>
            <w:hyperlink w:anchor="Xa559bd5247f9128e74e6edcc17de37648e8cde6">
              <w:r>
                <w:rPr>
                  <w:rStyle w:val="Hyperlink"/>
                </w:rPr>
                <w:t xml:space="preserve">Xu 2013</w:t>
              </w:r>
            </w:hyperlink>
          </w:p>
        </w:tc>
        <w:tc>
          <w:tcPr/>
          <w:p>
            <w:pPr>
              <w:pStyle w:val="Compact"/>
              <w:jc w:val="left"/>
            </w:pPr>
            <w:r>
              <w:t xml:space="preserve">Healthy subjects with different CYP2B6 genotypes receiving a single oral dose of 600 mg</w:t>
            </w:r>
          </w:p>
        </w:tc>
      </w:tr>
      <w:tr>
        <w:tc>
          <w:tcPr/>
          <w:p>
            <w:pPr>
              <w:pStyle w:val="Compact"/>
              <w:jc w:val="left"/>
            </w:pPr>
            <w:hyperlink w:anchor="Xa559bd5247f9128e74e6edcc17de37648e8cde6">
              <w:r>
                <w:rPr>
                  <w:rStyle w:val="Hyperlink"/>
                </w:rPr>
                <w:t xml:space="preserve">Dooley 2012</w:t>
              </w:r>
            </w:hyperlink>
          </w:p>
        </w:tc>
        <w:tc>
          <w:tcPr/>
          <w:p>
            <w:pPr>
              <w:pStyle w:val="Compact"/>
              <w:jc w:val="left"/>
            </w:pPr>
            <w:r>
              <w:t xml:space="preserve">Healthy subjects with different CYP2B6 genotypes receiving multiple doses of 600 mg</w:t>
            </w:r>
          </w:p>
        </w:tc>
      </w:tr>
      <w:tr>
        <w:tc>
          <w:tcPr/>
          <w:p>
            <w:pPr>
              <w:pStyle w:val="Compact"/>
              <w:jc w:val="left"/>
            </w:pPr>
            <w:hyperlink w:anchor="Xa559bd5247f9128e74e6edcc17de37648e8cde6">
              <w:r>
                <w:rPr>
                  <w:rStyle w:val="Hyperlink"/>
                </w:rPr>
                <w:t xml:space="preserve">Garg 2013</w:t>
              </w:r>
            </w:hyperlink>
          </w:p>
        </w:tc>
        <w:tc>
          <w:tcPr/>
          <w:p>
            <w:pPr>
              <w:pStyle w:val="Compact"/>
              <w:jc w:val="left"/>
            </w:pPr>
            <w:r>
              <w:t xml:space="preserve">Healthy subjects receiving multiple doses of 600 mg</w:t>
            </w:r>
          </w:p>
        </w:tc>
      </w:tr>
      <w:tr>
        <w:tc>
          <w:tcPr/>
          <w:p>
            <w:pPr>
              <w:pStyle w:val="Compact"/>
              <w:jc w:val="left"/>
            </w:pPr>
            <w:hyperlink w:anchor="Xa559bd5247f9128e74e6edcc17de37648e8cde6">
              <w:r>
                <w:rPr>
                  <w:rStyle w:val="Hyperlink"/>
                </w:rPr>
                <w:t xml:space="preserve">Huang 2012</w:t>
              </w:r>
            </w:hyperlink>
          </w:p>
        </w:tc>
        <w:tc>
          <w:tcPr/>
          <w:p>
            <w:pPr>
              <w:pStyle w:val="Compact"/>
              <w:jc w:val="left"/>
            </w:pPr>
            <w:r>
              <w:t xml:space="preserve">Healthy subjects receiving multiple doses of 600 mg</w:t>
            </w:r>
          </w:p>
        </w:tc>
      </w:tr>
    </w:tbl>
    <w:bookmarkEnd w:id="24"/>
    <w:bookmarkStart w:id="25" w:name="Xbc2e8c2c57dbf6871cedd0469eded3288385555"/>
    <w:p>
      <w:pPr>
        <w:pStyle w:val="Heading4"/>
      </w:pPr>
      <w:r>
        <w:t xml:space="preserve">2.2.2.2 Midazolam interaction studies used to parameterize CYP3A4 interaction</w:t>
      </w:r>
    </w:p>
    <w:p>
      <w:pPr>
        <w:pStyle w:val="FirstParagraph"/>
      </w:pPr>
      <w:r>
        <w:t xml:space="preserve">The following studies were used for parameterization of CYP3A4 interaction:</w:t>
      </w:r>
    </w:p>
    <w:tbl>
      <w:tblPr>
        <w:tblStyle w:val="Table"/>
        <w:tblW w:type="pct" w:w="5000"/>
        <w:tblLook w:firstRow="1" w:lastRow="0" w:firstColumn="0" w:lastColumn="0" w:noHBand="0" w:noVBand="0" w:val="0020"/>
        <w:jc w:val="start"/>
      </w:tblPr>
      <w:tblGrid>
        <w:gridCol w:w="2810"/>
        <w:gridCol w:w="5109"/>
      </w:tblGrid>
      <w:tr>
        <w:trPr>
          <w:tblHeader w:val="true"/>
        </w:trPr>
        <w:tc>
          <w:tcPr/>
          <w:p>
            <w:pPr>
              <w:pStyle w:val="Compact"/>
              <w:jc w:val="left"/>
            </w:pPr>
            <w:r>
              <w:t xml:space="preserve">Publication</w:t>
            </w:r>
          </w:p>
        </w:tc>
        <w:tc>
          <w:tcPr/>
          <w:p>
            <w:pPr>
              <w:pStyle w:val="Compact"/>
              <w:jc w:val="left"/>
            </w:pPr>
            <w:r>
              <w:t xml:space="preserve">Arm / Treatment / Information used for model building</w:t>
            </w:r>
          </w:p>
        </w:tc>
      </w:tr>
      <w:tr>
        <w:tc>
          <w:tcPr/>
          <w:p>
            <w:pPr>
              <w:pStyle w:val="Compact"/>
              <w:jc w:val="left"/>
            </w:pPr>
            <w:hyperlink w:anchor="Xa559bd5247f9128e74e6edcc17de37648e8cde6">
              <w:r>
                <w:rPr>
                  <w:rStyle w:val="Hyperlink"/>
                </w:rPr>
                <w:t xml:space="preserve">Mikus 2017</w:t>
              </w:r>
            </w:hyperlink>
          </w:p>
        </w:tc>
        <w:tc>
          <w:tcPr/>
          <w:p>
            <w:pPr>
              <w:pStyle w:val="Compact"/>
              <w:jc w:val="left"/>
            </w:pPr>
            <w:r>
              <w:t xml:space="preserve">Healthy subjects receiving a single oral dose of 400 mg Efavirenz at t=0h, 4 mg midazolam at t=12h and a single intravenous dose of 2 mg midazolam at t=18h.</w:t>
            </w:r>
          </w:p>
        </w:tc>
      </w:tr>
      <w:tr>
        <w:tc>
          <w:tcPr/>
          <w:p>
            <w:pPr>
              <w:pStyle w:val="Compact"/>
              <w:jc w:val="left"/>
            </w:pPr>
            <w:hyperlink w:anchor="Xa559bd5247f9128e74e6edcc17de37648e8cde6">
              <w:r>
                <w:rPr>
                  <w:rStyle w:val="Hyperlink"/>
                </w:rPr>
                <w:t xml:space="preserve">Katzenmaier 2010</w:t>
              </w:r>
            </w:hyperlink>
          </w:p>
        </w:tc>
        <w:tc>
          <w:tcPr/>
          <w:p>
            <w:pPr>
              <w:pStyle w:val="Compact"/>
              <w:jc w:val="left"/>
            </w:pPr>
            <w:r>
              <w:t xml:space="preserve">Healthy subjects receiving multiple oral doses of 400 mg efavirenz QD. On day 14, subjects receive a single oral midazolam dose of 3 mg.</w:t>
            </w:r>
          </w:p>
        </w:tc>
      </w:tr>
    </w:tbl>
    <w:bookmarkEnd w:id="25"/>
    <w:bookmarkEnd w:id="26"/>
    <w:bookmarkEnd w:id="27"/>
    <w:bookmarkStart w:id="32" w:name="model-parameters-and-assumptions"/>
    <w:p>
      <w:pPr>
        <w:pStyle w:val="Heading2"/>
      </w:pPr>
      <w:r>
        <w:t xml:space="preserve">Model Parameters and Assumptions</w:t>
      </w:r>
      <w:bookmarkStart w:id="model-parameters-and-assumptions" w:name="model-parameters-and-assumptions"/>
      <w:bookmarkEnd w:id="model-parameters-and-assumptions"/>
    </w:p>
    <w:bookmarkStart w:id="28" w:name="absorption"/>
    <w:p>
      <w:pPr>
        <w:pStyle w:val="Heading3"/>
      </w:pPr>
      <w:r>
        <w:t xml:space="preserve">2.3.1 Absorption</w:t>
      </w:r>
    </w:p>
    <w:p>
      <w:pPr>
        <w:pStyle w:val="FirstParagraph"/>
      </w:pPr>
      <w:r>
        <w:t xml:space="preserve">Absorption observed in clinical studies can be fully explained by passive absorption.</w:t>
      </w:r>
    </w:p>
    <w:bookmarkEnd w:id="28"/>
    <w:bookmarkStart w:id="29" w:name="distribution"/>
    <w:p>
      <w:pPr>
        <w:pStyle w:val="Heading3"/>
      </w:pPr>
      <w:r>
        <w:t xml:space="preserve">2.3.2 Distribution</w:t>
      </w:r>
    </w:p>
    <w:p>
      <w:pPr>
        <w:pStyle w:val="FirstParagraph"/>
      </w:pPr>
      <w:r>
        <w:t xml:space="preserve">After testing the available organ-plasma partition coefficient and cell permeability calculation methods built in PK-Sim, observed clinical data was best described by choosing the partition coefficient calculation by</w:t>
      </w:r>
      <w:r>
        <w:t xml:space="preserve"> </w:t>
      </w:r>
      <w:r>
        <w:rPr>
          <w:rStyle w:val="VerbatimChar"/>
        </w:rPr>
        <w:t xml:space="preserve">Schmitt</w:t>
      </w:r>
      <w:r>
        <w:t xml:space="preserve"> </w:t>
      </w:r>
      <w:r>
        <w:t xml:space="preserve">and cellular permeability calculation by</w:t>
      </w:r>
      <w:r>
        <w:t xml:space="preserve"> </w:t>
      </w:r>
      <w:r>
        <w:rPr>
          <w:rStyle w:val="VerbatimChar"/>
        </w:rPr>
        <w:t xml:space="preserve">PK-Sim Standard</w:t>
      </w:r>
      <w:r>
        <w:t xml:space="preserve">.</w:t>
      </w:r>
    </w:p>
    <w:bookmarkEnd w:id="29"/>
    <w:bookmarkStart w:id="30" w:name="metabolism-elimination-and-induction"/>
    <w:p>
      <w:pPr>
        <w:pStyle w:val="Heading3"/>
      </w:pPr>
      <w:r>
        <w:t xml:space="preserve">2.3.3 Metabolism, Elimination and Induction</w:t>
      </w:r>
    </w:p>
    <w:p>
      <w:pPr>
        <w:pStyle w:val="FirstParagraph"/>
      </w:pPr>
      <w:r>
        <w:t xml:space="preserve">Efavirenz is metabolized by CYP2B6, CYP3A4, CYP3A5, CYP1A2 and CYP2A6.</w:t>
      </w:r>
    </w:p>
    <w:p>
      <w:pPr>
        <w:pStyle w:val="BodyText"/>
      </w:pPr>
      <w:r>
        <w:t xml:space="preserve">Induction of CYP3A4 (</w:t>
      </w:r>
      <w:hyperlink w:anchor="Xa559bd5247f9128e74e6edcc17de37648e8cde6">
        <w:r>
          <w:rPr>
            <w:rStyle w:val="Hyperlink"/>
          </w:rPr>
          <w:t xml:space="preserve">Shou 2008</w:t>
        </w:r>
      </w:hyperlink>
      <w:r>
        <w:t xml:space="preserve">) and CYP2B6 (</w:t>
      </w:r>
      <w:hyperlink w:anchor="Xa559bd5247f9128e74e6edcc17de37648e8cde6">
        <w:r>
          <w:rPr>
            <w:rStyle w:val="Hyperlink"/>
          </w:rPr>
          <w:t xml:space="preserve">Ke 2016</w:t>
        </w:r>
      </w:hyperlink>
      <w:r>
        <w:t xml:space="preserve">) was taken into account.</w:t>
      </w:r>
    </w:p>
    <w:bookmarkEnd w:id="30"/>
    <w:bookmarkStart w:id="31" w:name="automated-parameter-identification"/>
    <w:p>
      <w:pPr>
        <w:pStyle w:val="Heading3"/>
      </w:pPr>
      <w:r>
        <w:t xml:space="preserve">2.3.4 Automated Parameter Identification</w:t>
      </w:r>
    </w:p>
    <w:p>
      <w:pPr>
        <w:pStyle w:val="FirstParagraph"/>
      </w:pPr>
      <w:r>
        <w:t xml:space="preserve">The parameter identification tool in PK-Sim has been used to estimate selected model parameters by adjusting to PK data of the clinical studies that were used in the model building process. For some of the parameters, factors were optimized to maintain their ratio, e.g. a factor for the kcat clearances values for CYP2B6, CYP3A4, CYP3A5, CYP1A2 and CYP2A6 was optimized to keep the ratio constant.</w:t>
      </w:r>
    </w:p>
    <w:p>
      <w:pPr>
        <w:pStyle w:val="BodyText"/>
      </w:pPr>
      <w:r>
        <w:t xml:space="preserve">The is result of the final parameter identification is shown in the table below:</w:t>
      </w:r>
    </w:p>
    <w:tbl>
      <w:tblPr>
        <w:tblStyle w:val="Table"/>
        <w:tblW w:type="pct" w:w="5000"/>
        <w:tblLook w:firstRow="1" w:lastRow="0" w:firstColumn="0" w:lastColumn="0" w:noHBand="0" w:noVBand="0" w:val="0020"/>
        <w:jc w:val="start"/>
      </w:tblPr>
      <w:tblGrid>
        <w:gridCol w:w="4576"/>
        <w:gridCol w:w="2640"/>
        <w:gridCol w:w="704"/>
      </w:tblGrid>
      <w:tr>
        <w:trPr>
          <w:tblHeader w:val="true"/>
        </w:trPr>
        <w:tc>
          <w:tcPr/>
          <w:p>
            <w:pPr>
              <w:pStyle w:val="Compact"/>
              <w:jc w:val="left"/>
            </w:pPr>
            <w:r>
              <w:t xml:space="preserve">Model Parameter</w:t>
            </w:r>
          </w:p>
        </w:tc>
        <w:tc>
          <w:tcPr/>
          <w:p>
            <w:pPr>
              <w:pStyle w:val="Compact"/>
              <w:jc w:val="left"/>
            </w:pPr>
            <w:r>
              <w:t xml:space="preserve">Optimized Value</w:t>
            </w:r>
          </w:p>
        </w:tc>
        <w:tc>
          <w:tcPr/>
          <w:p>
            <w:pPr>
              <w:pStyle w:val="Compact"/>
              <w:jc w:val="left"/>
            </w:pPr>
            <w:r>
              <w:t xml:space="preserve">Unit</w:t>
            </w:r>
          </w:p>
        </w:tc>
      </w:tr>
      <w:tr>
        <w:tc>
          <w:tcPr/>
          <w:p>
            <w:pPr>
              <w:pStyle w:val="Compact"/>
              <w:jc w:val="left"/>
            </w:pPr>
            <w:r>
              <w:t xml:space="preserve">Lipophilicity</w:t>
            </w:r>
          </w:p>
        </w:tc>
        <w:tc>
          <w:tcPr/>
          <w:p>
            <w:pPr>
              <w:pStyle w:val="Compact"/>
              <w:jc w:val="left"/>
            </w:pPr>
            <w:r>
              <w:t xml:space="preserve">3.437</w:t>
            </w:r>
          </w:p>
        </w:tc>
        <w:tc>
          <w:tcPr/>
          <w:p>
            <w:pPr>
              <w:pStyle w:val="Compact"/>
            </w:pPr>
          </w:p>
        </w:tc>
      </w:tr>
      <w:tr>
        <w:tc>
          <w:tcPr/>
          <w:p>
            <w:pPr>
              <w:pStyle w:val="Compact"/>
              <w:jc w:val="left"/>
            </w:pPr>
            <w:r>
              <w:t xml:space="preserve">Specific intestinal permeability</w:t>
            </w:r>
          </w:p>
        </w:tc>
        <w:tc>
          <w:tcPr/>
          <w:p>
            <w:pPr>
              <w:pStyle w:val="Compact"/>
              <w:jc w:val="left"/>
            </w:pPr>
            <w:r>
              <w:t xml:space="preserve">2.972E-5</w:t>
            </w:r>
          </w:p>
        </w:tc>
        <w:tc>
          <w:tcPr/>
          <w:p>
            <w:pPr>
              <w:pStyle w:val="Compact"/>
              <w:jc w:val="left"/>
            </w:pPr>
            <w:r>
              <w:t xml:space="preserve">cm/min</w:t>
            </w:r>
          </w:p>
        </w:tc>
      </w:tr>
      <w:tr>
        <w:tc>
          <w:tcPr/>
          <w:p>
            <w:pPr>
              <w:pStyle w:val="Compact"/>
              <w:jc w:val="left"/>
            </w:pPr>
            <w:r>
              <w:t xml:space="preserve">Solubility at reference pH</w:t>
            </w:r>
          </w:p>
        </w:tc>
        <w:tc>
          <w:tcPr/>
          <w:p>
            <w:pPr>
              <w:pStyle w:val="Compact"/>
              <w:jc w:val="left"/>
            </w:pPr>
            <w:r>
              <w:t xml:space="preserve">39.922</w:t>
            </w:r>
          </w:p>
        </w:tc>
        <w:tc>
          <w:tcPr/>
          <w:p>
            <w:pPr>
              <w:pStyle w:val="Compact"/>
              <w:jc w:val="left"/>
            </w:pPr>
            <w:r>
              <w:t xml:space="preserve">mg/l</w:t>
            </w:r>
          </w:p>
        </w:tc>
      </w:tr>
      <w:tr>
        <w:tc>
          <w:tcPr/>
          <w:p>
            <w:pPr>
              <w:pStyle w:val="Compact"/>
              <w:jc w:val="left"/>
            </w:pPr>
            <w:r>
              <w:t xml:space="preserve">fraction unbound</w:t>
            </w:r>
          </w:p>
        </w:tc>
        <w:tc>
          <w:tcPr/>
          <w:p>
            <w:pPr>
              <w:pStyle w:val="Compact"/>
              <w:jc w:val="left"/>
            </w:pPr>
            <w:r>
              <w:t xml:space="preserve">5.955E-3</w:t>
            </w:r>
          </w:p>
        </w:tc>
        <w:tc>
          <w:tcPr/>
          <w:p>
            <w:pPr>
              <w:pStyle w:val="Compact"/>
            </w:pPr>
          </w:p>
        </w:tc>
      </w:tr>
      <w:tr>
        <w:tc>
          <w:tcPr/>
          <w:p>
            <w:pPr>
              <w:pStyle w:val="Compact"/>
              <w:jc w:val="left"/>
            </w:pPr>
            <w:r>
              <w:t xml:space="preserve">kcat CYP2B6</w:t>
            </w:r>
          </w:p>
        </w:tc>
        <w:tc>
          <w:tcPr/>
          <w:p>
            <w:pPr>
              <w:pStyle w:val="Compact"/>
              <w:jc w:val="left"/>
            </w:pPr>
            <w:r>
              <w:t xml:space="preserve">1.601 (factor: 0.31833 of literature reference)</w:t>
            </w:r>
          </w:p>
        </w:tc>
        <w:tc>
          <w:tcPr/>
          <w:p>
            <w:pPr>
              <w:pStyle w:val="Compact"/>
              <w:jc w:val="left"/>
            </w:pPr>
            <w:r>
              <w:t xml:space="preserve">1/min</w:t>
            </w:r>
          </w:p>
        </w:tc>
      </w:tr>
      <w:tr>
        <w:tc>
          <w:tcPr/>
          <w:p>
            <w:pPr>
              <w:pStyle w:val="Compact"/>
              <w:jc w:val="left"/>
            </w:pPr>
            <w:r>
              <w:t xml:space="preserve">kcat CYP3A4</w:t>
            </w:r>
          </w:p>
        </w:tc>
        <w:tc>
          <w:tcPr/>
          <w:p>
            <w:pPr>
              <w:pStyle w:val="Compact"/>
              <w:jc w:val="left"/>
            </w:pPr>
            <w:r>
              <w:t xml:space="preserve">0.051 (factor: 0.31833 of literature reference)</w:t>
            </w:r>
          </w:p>
        </w:tc>
        <w:tc>
          <w:tcPr/>
          <w:p>
            <w:pPr>
              <w:pStyle w:val="Compact"/>
              <w:jc w:val="left"/>
            </w:pPr>
            <w:r>
              <w:t xml:space="preserve">1/min</w:t>
            </w:r>
          </w:p>
        </w:tc>
      </w:tr>
      <w:tr>
        <w:tc>
          <w:tcPr/>
          <w:p>
            <w:pPr>
              <w:pStyle w:val="Compact"/>
              <w:jc w:val="left"/>
            </w:pPr>
            <w:r>
              <w:t xml:space="preserve">kcat CYP3A5</w:t>
            </w:r>
          </w:p>
        </w:tc>
        <w:tc>
          <w:tcPr/>
          <w:p>
            <w:pPr>
              <w:pStyle w:val="Compact"/>
              <w:jc w:val="left"/>
            </w:pPr>
            <w:r>
              <w:t xml:space="preserve">0.191 (factor: 0.31833 of literature reference)</w:t>
            </w:r>
          </w:p>
        </w:tc>
        <w:tc>
          <w:tcPr/>
          <w:p>
            <w:pPr>
              <w:pStyle w:val="Compact"/>
              <w:jc w:val="left"/>
            </w:pPr>
            <w:r>
              <w:t xml:space="preserve">1/min</w:t>
            </w:r>
          </w:p>
        </w:tc>
      </w:tr>
      <w:tr>
        <w:tc>
          <w:tcPr/>
          <w:p>
            <w:pPr>
              <w:pStyle w:val="Compact"/>
              <w:jc w:val="left"/>
            </w:pPr>
            <w:r>
              <w:t xml:space="preserve">kcat CYP1A2</w:t>
            </w:r>
          </w:p>
        </w:tc>
        <w:tc>
          <w:tcPr/>
          <w:p>
            <w:pPr>
              <w:pStyle w:val="Compact"/>
              <w:jc w:val="left"/>
            </w:pPr>
            <w:r>
              <w:t xml:space="preserve">0.191 (factor: 0.31833 of literature reference)</w:t>
            </w:r>
          </w:p>
        </w:tc>
        <w:tc>
          <w:tcPr/>
          <w:p>
            <w:pPr>
              <w:pStyle w:val="Compact"/>
              <w:jc w:val="left"/>
            </w:pPr>
            <w:r>
              <w:t xml:space="preserve">1/min</w:t>
            </w:r>
          </w:p>
        </w:tc>
      </w:tr>
      <w:tr>
        <w:tc>
          <w:tcPr/>
          <w:p>
            <w:pPr>
              <w:pStyle w:val="Compact"/>
              <w:jc w:val="left"/>
            </w:pPr>
            <w:r>
              <w:t xml:space="preserve">kcat CYP2A6</w:t>
            </w:r>
          </w:p>
        </w:tc>
        <w:tc>
          <w:tcPr/>
          <w:p>
            <w:pPr>
              <w:pStyle w:val="Compact"/>
              <w:jc w:val="left"/>
            </w:pPr>
            <w:r>
              <w:t xml:space="preserve">0.318 (factor: 0.31833 of literature reference)</w:t>
            </w:r>
          </w:p>
        </w:tc>
        <w:tc>
          <w:tcPr/>
          <w:p>
            <w:pPr>
              <w:pStyle w:val="Compact"/>
              <w:jc w:val="left"/>
            </w:pPr>
            <w:r>
              <w:t xml:space="preserve">1/min</w:t>
            </w:r>
          </w:p>
        </w:tc>
      </w:tr>
      <w:tr>
        <w:tc>
          <w:tcPr/>
          <w:p>
            <w:pPr>
              <w:pStyle w:val="Compact"/>
              <w:jc w:val="left"/>
            </w:pPr>
            <w:r>
              <w:t xml:space="preserve">EC50 CYP3A4</w:t>
            </w:r>
          </w:p>
        </w:tc>
        <w:tc>
          <w:tcPr/>
          <w:p>
            <w:pPr>
              <w:pStyle w:val="Compact"/>
              <w:jc w:val="left"/>
            </w:pPr>
            <w:r>
              <w:t xml:space="preserve">0.071 (factor: 0.009711of literature reference)</w:t>
            </w:r>
          </w:p>
        </w:tc>
        <w:tc>
          <w:tcPr/>
          <w:p>
            <w:pPr>
              <w:pStyle w:val="Compact"/>
              <w:jc w:val="left"/>
            </w:pPr>
            <w:r>
              <w:t xml:space="preserve">µmol/l</w:t>
            </w:r>
          </w:p>
        </w:tc>
      </w:tr>
      <w:tr>
        <w:tc>
          <w:tcPr/>
          <w:p>
            <w:pPr>
              <w:pStyle w:val="Compact"/>
              <w:jc w:val="left"/>
            </w:pPr>
            <w:r>
              <w:t xml:space="preserve">EC50 CYP2B6</w:t>
            </w:r>
          </w:p>
        </w:tc>
        <w:tc>
          <w:tcPr/>
          <w:p>
            <w:pPr>
              <w:pStyle w:val="Compact"/>
              <w:jc w:val="left"/>
            </w:pPr>
            <w:r>
              <w:t xml:space="preserve">0.012 (factor: 0.009711of literature reference)</w:t>
            </w:r>
          </w:p>
        </w:tc>
        <w:tc>
          <w:tcPr/>
          <w:p>
            <w:pPr>
              <w:pStyle w:val="Compact"/>
              <w:jc w:val="left"/>
            </w:pPr>
            <w:r>
              <w:t xml:space="preserve">µmol/l</w:t>
            </w:r>
          </w:p>
        </w:tc>
      </w:tr>
      <w:tr>
        <w:tc>
          <w:tcPr/>
          <w:p>
            <w:pPr>
              <w:pStyle w:val="Compact"/>
              <w:jc w:val="left"/>
            </w:pPr>
            <w:r>
              <w:t xml:space="preserve">Dissolution time (50% dissolved)</w:t>
            </w:r>
          </w:p>
        </w:tc>
        <w:tc>
          <w:tcPr/>
          <w:p>
            <w:pPr>
              <w:pStyle w:val="Compact"/>
              <w:jc w:val="left"/>
            </w:pPr>
            <w:r>
              <w:t xml:space="preserve">60</w:t>
            </w:r>
          </w:p>
        </w:tc>
        <w:tc>
          <w:tcPr/>
          <w:p>
            <w:pPr>
              <w:pStyle w:val="Compact"/>
              <w:jc w:val="left"/>
            </w:pPr>
            <w:r>
              <w:t xml:space="preserve">min</w:t>
            </w:r>
          </w:p>
        </w:tc>
      </w:tr>
      <w:tr>
        <w:tc>
          <w:tcPr/>
          <w:p>
            <w:pPr>
              <w:pStyle w:val="Compact"/>
              <w:jc w:val="left"/>
            </w:pPr>
            <w:r>
              <w:t xml:space="preserve">Dissolution shape</w:t>
            </w:r>
          </w:p>
        </w:tc>
        <w:tc>
          <w:tcPr/>
          <w:p>
            <w:pPr>
              <w:pStyle w:val="Compact"/>
              <w:jc w:val="left"/>
            </w:pPr>
            <w:r>
              <w:t xml:space="preserve">0.272</w:t>
            </w:r>
          </w:p>
        </w:tc>
        <w:tc>
          <w:tcPr/>
          <w:p>
            <w:pPr>
              <w:pStyle w:val="Compact"/>
            </w:pPr>
          </w:p>
        </w:tc>
      </w:tr>
    </w:tbl>
    <w:bookmarkEnd w:id="31"/>
    <w:bookmarkEnd w:id="32"/>
    <w:bookmarkEnd w:id="33"/>
    <w:bookmarkStart w:id="131" w:name="results-and-discussion"/>
    <w:p>
      <w:pPr>
        <w:pStyle w:val="Heading1"/>
      </w:pPr>
      <w:r>
        <w:t xml:space="preserve">Results and Discussion</w:t>
      </w:r>
      <w:bookmarkStart w:id="results-and-discussion" w:name="results-and-discussion"/>
      <w:bookmarkEnd w:id="results-and-discussion"/>
    </w:p>
    <w:p>
      <w:pPr>
        <w:pStyle w:val="FirstParagraph"/>
      </w:pPr>
      <w:r>
        <w:t xml:space="preserve">The PBPK model for efavirenz was developed and evaluated using publicly available clinical pharmacokinetic data from studies listed in</w:t>
      </w:r>
      <w:r>
        <w:t xml:space="preserve"> </w:t>
      </w:r>
      <w:hyperlink w:anchor="X7ecbd1fd734a207de60ff9705c88346a68b0398">
        <w:r>
          <w:rPr>
            <w:rStyle w:val="Hyperlink"/>
          </w:rPr>
          <w:t xml:space="preserve">Section 2.2.2</w:t>
        </w:r>
      </w:hyperlink>
      <w:r>
        <w:t xml:space="preserve">.</w:t>
      </w:r>
    </w:p>
    <w:p>
      <w:pPr>
        <w:pStyle w:val="BodyText"/>
      </w:pPr>
      <w:r>
        <w:t xml:space="preserve">The next sections show:</w:t>
      </w:r>
    </w:p>
    <w:p>
      <w:pPr>
        <w:numPr>
          <w:ilvl w:val="0"/>
          <w:numId w:val="1001"/>
        </w:numPr>
        <w:pStyle w:val="Compact"/>
      </w:pPr>
      <w:r>
        <w:t xml:space="preserve">the final model parameters for the building blocks:</w:t>
      </w:r>
      <w:r>
        <w:t xml:space="preserve"> </w:t>
      </w:r>
      <w:hyperlink w:anchor="Xc6cf42871317160fa8533d05504fe9284eb5963">
        <w:r>
          <w:rPr>
            <w:rStyle w:val="Hyperlink"/>
          </w:rPr>
          <w:t xml:space="preserve">Section 3.1</w:t>
        </w:r>
      </w:hyperlink>
      <w:r>
        <w:t xml:space="preserve">.</w:t>
      </w:r>
    </w:p>
    <w:p>
      <w:pPr>
        <w:numPr>
          <w:ilvl w:val="0"/>
          <w:numId w:val="1001"/>
        </w:numPr>
        <w:pStyle w:val="Compact"/>
      </w:pPr>
      <w:r>
        <w:t xml:space="preserve">the overall goodness of fit:</w:t>
      </w:r>
      <w:r>
        <w:t xml:space="preserve"> </w:t>
      </w:r>
      <w:hyperlink w:anchor="X8f3aeddcae968e1d328d29ba9adb7d6f485cab0">
        <w:r>
          <w:rPr>
            <w:rStyle w:val="Hyperlink"/>
          </w:rPr>
          <w:t xml:space="preserve">Section 3.2</w:t>
        </w:r>
      </w:hyperlink>
      <w:r>
        <w:t xml:space="preserve">.</w:t>
      </w:r>
    </w:p>
    <w:p>
      <w:pPr>
        <w:numPr>
          <w:ilvl w:val="0"/>
          <w:numId w:val="1001"/>
        </w:numPr>
        <w:pStyle w:val="Compact"/>
      </w:pPr>
      <w:r>
        <w:t xml:space="preserve">simulated vs. observed concentration-time profiles for the clinical studies used for model building and for model verification:</w:t>
      </w:r>
      <w:r>
        <w:t xml:space="preserve"> </w:t>
      </w:r>
      <w:hyperlink w:anchor="Xdc8b4cf40574b5c39801a4fb59aa003db333782">
        <w:r>
          <w:rPr>
            <w:rStyle w:val="Hyperlink"/>
          </w:rPr>
          <w:t xml:space="preserve">Section 3.3</w:t>
        </w:r>
      </w:hyperlink>
      <w:r>
        <w:t xml:space="preserve">.</w:t>
      </w:r>
    </w:p>
    <w:bookmarkStart w:id="60" w:name="final-input-parameters"/>
    <w:p>
      <w:pPr>
        <w:pStyle w:val="Heading2"/>
      </w:pPr>
      <w:r>
        <w:t xml:space="preserve">Final input parameters</w:t>
      </w:r>
      <w:bookmarkStart w:id="final-input-parameters" w:name="final-input-parameters"/>
      <w:bookmarkEnd w:id="final-input-parameters"/>
    </w:p>
    <w:p>
      <w:pPr>
        <w:pStyle w:val="FirstParagraph"/>
      </w:pPr>
      <w:r>
        <w:t xml:space="preserve">The compound parameter values of the final PBPK model are illustrated below.</w:t>
      </w:r>
    </w:p>
    <w:bookmarkStart w:id="57" w:name="compound-efavirenz"/>
    <w:p>
      <w:pPr>
        <w:pStyle w:val="Heading3"/>
      </w:pPr>
      <w:r>
        <w:t xml:space="preserve">Compound: Efavirenz</w:t>
      </w:r>
    </w:p>
    <w:bookmarkStart w:id="34" w:name="parameters"/>
    <w:p>
      <w:pPr>
        <w:pStyle w:val="Heading4"/>
      </w:pPr>
      <w:r>
        <w:t xml:space="preserve">Parameters</w:t>
      </w:r>
    </w:p>
    <w:tbl>
      <w:tblPr>
        <w:tblStyle w:val="Table"/>
        <w:tblW w:type="pct" w:w="5000"/>
        <w:tblLook w:firstRow="1" w:lastRow="0" w:firstColumn="0" w:lastColumn="0" w:noHBand="0" w:noVBand="0" w:val="0020"/>
        <w:jc w:val="start"/>
      </w:tblPr>
      <w:tblGrid>
        <w:gridCol w:w="1784"/>
        <w:gridCol w:w="855"/>
        <w:gridCol w:w="4610"/>
        <w:gridCol w:w="409"/>
        <w:gridCol w:w="260"/>
      </w:tblGrid>
      <w:tr>
        <w:trPr>
          <w:tblHeader w:val="true"/>
        </w:trPr>
        <w:tc>
          <w:tcPr/>
          <w:p>
            <w:pPr>
              <w:pStyle w:val="Compact"/>
              <w:jc w:val="left"/>
            </w:pPr>
            <w:r>
              <w:t xml:space="preserve">Name</w:t>
            </w:r>
          </w:p>
        </w:tc>
        <w:tc>
          <w:tcPr/>
          <w:p>
            <w:pPr>
              <w:pStyle w:val="Compact"/>
              <w:jc w:val="left"/>
            </w:pPr>
            <w:r>
              <w:t xml:space="preserve">Value</w:t>
            </w:r>
          </w:p>
        </w:tc>
        <w:tc>
          <w:tcPr/>
          <w:p>
            <w:pPr>
              <w:pStyle w:val="Compact"/>
              <w:jc w:val="left"/>
            </w:pPr>
            <w:r>
              <w:t xml:space="preserve">Value Origin</w:t>
            </w:r>
          </w:p>
        </w:tc>
        <w:tc>
          <w:tcPr/>
          <w:p>
            <w:pPr>
              <w:pStyle w:val="Compact"/>
              <w:jc w:val="left"/>
            </w:pPr>
            <w:r>
              <w:t xml:space="preserve">Alternative</w:t>
            </w:r>
          </w:p>
        </w:tc>
        <w:tc>
          <w:tcPr/>
          <w:p>
            <w:pPr>
              <w:pStyle w:val="Compact"/>
              <w:jc w:val="left"/>
            </w:pPr>
            <w:r>
              <w:t xml:space="preserve">Default</w:t>
            </w:r>
          </w:p>
        </w:tc>
      </w:tr>
      <w:tr>
        <w:tc>
          <w:tcPr/>
          <w:p>
            <w:pPr>
              <w:pStyle w:val="Compact"/>
              <w:jc w:val="left"/>
            </w:pPr>
            <w:r>
              <w:t xml:space="preserve">Solubility at reference pH</w:t>
            </w:r>
          </w:p>
        </w:tc>
        <w:tc>
          <w:tcPr/>
          <w:p>
            <w:pPr>
              <w:pStyle w:val="Compact"/>
              <w:jc w:val="left"/>
            </w:pPr>
            <w:r>
              <w:t xml:space="preserve">39.9217804729 mg/l</w:t>
            </w:r>
          </w:p>
        </w:tc>
        <w:tc>
          <w:tcPr/>
          <w:p>
            <w:pPr>
              <w:pStyle w:val="Compact"/>
              <w:jc w:val="left"/>
            </w:pPr>
            <w:r>
              <w:t xml:space="preserve">Parameter Identification-Parameter Identification-Value updated from</w:t>
            </w:r>
            <w:r>
              <w:t xml:space="preserve"> </w:t>
            </w:r>
            <w:r>
              <w:t xml:space="preserve">‘</w:t>
            </w:r>
            <w:r>
              <w:t xml:space="preserve">Parameter Identification 7 (Mida)</w:t>
            </w:r>
            <w:r>
              <w:t xml:space="preserve">’</w:t>
            </w:r>
            <w:r>
              <w:t xml:space="preserve"> </w:t>
            </w:r>
            <w:r>
              <w:t xml:space="preserve">on 2019-10-11 09:02</w:t>
            </w:r>
          </w:p>
        </w:tc>
        <w:tc>
          <w:tcPr/>
          <w:p>
            <w:pPr>
              <w:pStyle w:val="Compact"/>
              <w:jc w:val="left"/>
            </w:pPr>
            <w:r>
              <w:t xml:space="preserve">Measurement</w:t>
            </w:r>
          </w:p>
        </w:tc>
        <w:tc>
          <w:tcPr/>
          <w:p>
            <w:pPr>
              <w:pStyle w:val="Compact"/>
              <w:jc w:val="left"/>
            </w:pPr>
            <w:r>
              <w:t xml:space="preserve">True</w:t>
            </w:r>
          </w:p>
        </w:tc>
      </w:tr>
      <w:tr>
        <w:tc>
          <w:tcPr/>
          <w:p>
            <w:pPr>
              <w:pStyle w:val="Compact"/>
              <w:jc w:val="left"/>
            </w:pPr>
            <w:r>
              <w:t xml:space="preserve">Reference pH</w:t>
            </w:r>
          </w:p>
        </w:tc>
        <w:tc>
          <w:tcPr/>
          <w:p>
            <w:pPr>
              <w:pStyle w:val="Compact"/>
              <w:jc w:val="left"/>
            </w:pPr>
            <w:r>
              <w:t xml:space="preserve">0</w:t>
            </w:r>
          </w:p>
        </w:tc>
        <w:tc>
          <w:tcPr/>
          <w:p>
            <w:pPr>
              <w:pStyle w:val="Compact"/>
            </w:pPr>
          </w:p>
        </w:tc>
        <w:tc>
          <w:tcPr/>
          <w:p>
            <w:pPr>
              <w:pStyle w:val="Compact"/>
              <w:jc w:val="left"/>
            </w:pPr>
            <w:r>
              <w:t xml:space="preserve">Measurement</w:t>
            </w:r>
          </w:p>
        </w:tc>
        <w:tc>
          <w:tcPr/>
          <w:p>
            <w:pPr>
              <w:pStyle w:val="Compact"/>
              <w:jc w:val="left"/>
            </w:pPr>
            <w:r>
              <w:t xml:space="preserve">True</w:t>
            </w:r>
          </w:p>
        </w:tc>
      </w:tr>
      <w:tr>
        <w:tc>
          <w:tcPr/>
          <w:p>
            <w:pPr>
              <w:pStyle w:val="Compact"/>
              <w:jc w:val="left"/>
            </w:pPr>
            <w:r>
              <w:t xml:space="preserve">Lipophilicity</w:t>
            </w:r>
          </w:p>
        </w:tc>
        <w:tc>
          <w:tcPr/>
          <w:p>
            <w:pPr>
              <w:pStyle w:val="Compact"/>
              <w:jc w:val="left"/>
            </w:pPr>
            <w:r>
              <w:t xml:space="preserve">3.4369753585 Log Units</w:t>
            </w:r>
          </w:p>
        </w:tc>
        <w:tc>
          <w:tcPr/>
          <w:p>
            <w:pPr>
              <w:pStyle w:val="Compact"/>
              <w:jc w:val="left"/>
            </w:pPr>
            <w:r>
              <w:t xml:space="preserve">Parameter Identification-Parameter Identification-Value updated from</w:t>
            </w:r>
            <w:r>
              <w:t xml:space="preserve"> </w:t>
            </w:r>
            <w:r>
              <w:t xml:space="preserve">‘</w:t>
            </w:r>
            <w:r>
              <w:t xml:space="preserve">Parameter Identification 7 (Mida)</w:t>
            </w:r>
            <w:r>
              <w:t xml:space="preserve">’</w:t>
            </w:r>
            <w:r>
              <w:t xml:space="preserve"> </w:t>
            </w:r>
            <w:r>
              <w:t xml:space="preserve">on 2019-10-11 09:02</w:t>
            </w:r>
          </w:p>
        </w:tc>
        <w:tc>
          <w:tcPr/>
          <w:p>
            <w:pPr>
              <w:pStyle w:val="Compact"/>
              <w:jc w:val="left"/>
            </w:pPr>
            <w:r>
              <w:t xml:space="preserve">Optimized</w:t>
            </w:r>
          </w:p>
        </w:tc>
        <w:tc>
          <w:tcPr/>
          <w:p>
            <w:pPr>
              <w:pStyle w:val="Compact"/>
              <w:jc w:val="left"/>
            </w:pPr>
            <w:r>
              <w:t xml:space="preserve">True</w:t>
            </w:r>
          </w:p>
        </w:tc>
      </w:tr>
      <w:tr>
        <w:tc>
          <w:tcPr/>
          <w:p>
            <w:pPr>
              <w:pStyle w:val="Compact"/>
              <w:jc w:val="left"/>
            </w:pPr>
            <w:r>
              <w:t xml:space="preserve">Fraction unbound (plasma, reference value)</w:t>
            </w:r>
          </w:p>
        </w:tc>
        <w:tc>
          <w:tcPr/>
          <w:p>
            <w:pPr>
              <w:pStyle w:val="Compact"/>
              <w:jc w:val="left"/>
            </w:pPr>
            <w:r>
              <w:t xml:space="preserve">0.0059553692487</w:t>
            </w:r>
          </w:p>
        </w:tc>
        <w:tc>
          <w:tcPr/>
          <w:p>
            <w:pPr>
              <w:pStyle w:val="Compact"/>
              <w:jc w:val="left"/>
            </w:pPr>
            <w:r>
              <w:t xml:space="preserve">Parameter Identification-Parameter Identification-Value updated from</w:t>
            </w:r>
            <w:r>
              <w:t xml:space="preserve"> </w:t>
            </w:r>
            <w:r>
              <w:t xml:space="preserve">‘</w:t>
            </w:r>
            <w:r>
              <w:t xml:space="preserve">Parameter Identification 7 (Mida)</w:t>
            </w:r>
            <w:r>
              <w:t xml:space="preserve">’</w:t>
            </w:r>
            <w:r>
              <w:t xml:space="preserve"> </w:t>
            </w:r>
            <w:r>
              <w:t xml:space="preserve">on 2019-10-11 09:02</w:t>
            </w:r>
          </w:p>
        </w:tc>
        <w:tc>
          <w:tcPr/>
          <w:p>
            <w:pPr>
              <w:pStyle w:val="Compact"/>
              <w:jc w:val="left"/>
            </w:pPr>
            <w:r>
              <w:t xml:space="preserve">Measurement</w:t>
            </w:r>
          </w:p>
        </w:tc>
        <w:tc>
          <w:tcPr/>
          <w:p>
            <w:pPr>
              <w:pStyle w:val="Compact"/>
              <w:jc w:val="left"/>
            </w:pPr>
            <w:r>
              <w:t xml:space="preserve">True</w:t>
            </w:r>
          </w:p>
        </w:tc>
      </w:tr>
      <w:tr>
        <w:tc>
          <w:tcPr/>
          <w:p>
            <w:pPr>
              <w:pStyle w:val="Compact"/>
              <w:jc w:val="left"/>
            </w:pPr>
            <w:r>
              <w:t xml:space="preserve">Specific intestinal permeability (transcellular)</w:t>
            </w:r>
          </w:p>
        </w:tc>
        <w:tc>
          <w:tcPr/>
          <w:p>
            <w:pPr>
              <w:pStyle w:val="Compact"/>
              <w:jc w:val="left"/>
            </w:pPr>
            <w:r>
              <w:t xml:space="preserve">2.9720579005E-05 cm/min</w:t>
            </w:r>
          </w:p>
        </w:tc>
        <w:tc>
          <w:tcPr/>
          <w:p>
            <w:pPr>
              <w:pStyle w:val="Compact"/>
              <w:jc w:val="left"/>
            </w:pPr>
            <w:r>
              <w:t xml:space="preserve">Parameter Identification-Parameter Identification-Value updated from</w:t>
            </w:r>
            <w:r>
              <w:t xml:space="preserve"> </w:t>
            </w:r>
            <w:r>
              <w:t xml:space="preserve">‘</w:t>
            </w:r>
            <w:r>
              <w:t xml:space="preserve">Parameter Identification 7 (Mida)</w:t>
            </w:r>
            <w:r>
              <w:t xml:space="preserve">’</w:t>
            </w:r>
            <w:r>
              <w:t xml:space="preserve"> </w:t>
            </w:r>
            <w:r>
              <w:t xml:space="preserve">on 2019-10-11 09:02</w:t>
            </w:r>
          </w:p>
        </w:tc>
        <w:tc>
          <w:tcPr/>
          <w:p>
            <w:pPr>
              <w:pStyle w:val="Compact"/>
              <w:jc w:val="left"/>
            </w:pPr>
            <w:r>
              <w:t xml:space="preserve">Optimized</w:t>
            </w:r>
          </w:p>
        </w:tc>
        <w:tc>
          <w:tcPr/>
          <w:p>
            <w:pPr>
              <w:pStyle w:val="Compact"/>
              <w:jc w:val="left"/>
            </w:pPr>
            <w:r>
              <w:t xml:space="preserve">True</w:t>
            </w:r>
          </w:p>
        </w:tc>
      </w:tr>
      <w:tr>
        <w:tc>
          <w:tcPr/>
          <w:p>
            <w:pPr>
              <w:pStyle w:val="Compact"/>
              <w:jc w:val="left"/>
            </w:pPr>
            <w:r>
              <w:t xml:space="preserve">Cl</w:t>
            </w:r>
          </w:p>
        </w:tc>
        <w:tc>
          <w:tcPr/>
          <w:p>
            <w:pPr>
              <w:pStyle w:val="Compact"/>
              <w:jc w:val="left"/>
            </w:pPr>
            <w:r>
              <w:t xml:space="preserve">1</w:t>
            </w:r>
          </w:p>
        </w:tc>
        <w:tc>
          <w:tcPr/>
          <w:p>
            <w:pPr>
              <w:pStyle w:val="Compact"/>
            </w:pPr>
          </w:p>
        </w:tc>
        <w:tc>
          <w:tcPr/>
          <w:p>
            <w:pPr>
              <w:pStyle w:val="Compact"/>
            </w:pPr>
          </w:p>
        </w:tc>
        <w:tc>
          <w:tcPr/>
          <w:p>
            <w:pPr>
              <w:pStyle w:val="Compact"/>
            </w:pPr>
          </w:p>
        </w:tc>
      </w:tr>
      <w:tr>
        <w:tc>
          <w:tcPr/>
          <w:p>
            <w:pPr>
              <w:pStyle w:val="Compact"/>
              <w:jc w:val="left"/>
            </w:pPr>
            <w:r>
              <w:t xml:space="preserve">F</w:t>
            </w:r>
          </w:p>
        </w:tc>
        <w:tc>
          <w:tcPr/>
          <w:p>
            <w:pPr>
              <w:pStyle w:val="Compact"/>
              <w:jc w:val="left"/>
            </w:pPr>
            <w:r>
              <w:t xml:space="preserve">3</w:t>
            </w:r>
          </w:p>
        </w:tc>
        <w:tc>
          <w:tcPr/>
          <w:p>
            <w:pPr>
              <w:pStyle w:val="Compact"/>
            </w:pPr>
          </w:p>
        </w:tc>
        <w:tc>
          <w:tcPr/>
          <w:p>
            <w:pPr>
              <w:pStyle w:val="Compact"/>
            </w:pPr>
          </w:p>
        </w:tc>
        <w:tc>
          <w:tcPr/>
          <w:p>
            <w:pPr>
              <w:pStyle w:val="Compact"/>
            </w:pPr>
          </w:p>
        </w:tc>
      </w:tr>
      <w:tr>
        <w:tc>
          <w:tcPr/>
          <w:p>
            <w:pPr>
              <w:pStyle w:val="Compact"/>
              <w:jc w:val="left"/>
            </w:pPr>
            <w:r>
              <w:t xml:space="preserve">Is small molecule</w:t>
            </w:r>
          </w:p>
        </w:tc>
        <w:tc>
          <w:tcPr/>
          <w:p>
            <w:pPr>
              <w:pStyle w:val="Compact"/>
              <w:jc w:val="left"/>
            </w:pPr>
            <w:r>
              <w:t xml:space="preserve">Yes</w:t>
            </w:r>
          </w:p>
        </w:tc>
        <w:tc>
          <w:tcPr/>
          <w:p>
            <w:pPr>
              <w:pStyle w:val="Compact"/>
            </w:pPr>
          </w:p>
        </w:tc>
        <w:tc>
          <w:tcPr/>
          <w:p>
            <w:pPr>
              <w:pStyle w:val="Compact"/>
            </w:pPr>
          </w:p>
        </w:tc>
        <w:tc>
          <w:tcPr/>
          <w:p>
            <w:pPr>
              <w:pStyle w:val="Compact"/>
            </w:pPr>
          </w:p>
        </w:tc>
      </w:tr>
      <w:tr>
        <w:tc>
          <w:tcPr/>
          <w:p>
            <w:pPr>
              <w:pStyle w:val="Compact"/>
              <w:jc w:val="left"/>
            </w:pPr>
            <w:r>
              <w:t xml:space="preserve">Molecular weight</w:t>
            </w:r>
          </w:p>
        </w:tc>
        <w:tc>
          <w:tcPr/>
          <w:p>
            <w:pPr>
              <w:pStyle w:val="Compact"/>
              <w:jc w:val="left"/>
            </w:pPr>
            <w:r>
              <w:t xml:space="preserve">315.675 g/mol</w:t>
            </w:r>
          </w:p>
        </w:tc>
        <w:tc>
          <w:tcPr/>
          <w:p>
            <w:pPr>
              <w:pStyle w:val="Compact"/>
            </w:pPr>
          </w:p>
        </w:tc>
        <w:tc>
          <w:tcPr/>
          <w:p>
            <w:pPr>
              <w:pStyle w:val="Compact"/>
            </w:pPr>
          </w:p>
        </w:tc>
        <w:tc>
          <w:tcPr/>
          <w:p>
            <w:pPr>
              <w:pStyle w:val="Compact"/>
            </w:pPr>
          </w:p>
        </w:tc>
      </w:tr>
      <w:tr>
        <w:tc>
          <w:tcPr/>
          <w:p>
            <w:pPr>
              <w:pStyle w:val="Compact"/>
              <w:jc w:val="left"/>
            </w:pPr>
            <w:r>
              <w:t xml:space="preserve">Plasma protein binding partner</w:t>
            </w:r>
          </w:p>
        </w:tc>
        <w:tc>
          <w:tcPr/>
          <w:p>
            <w:pPr>
              <w:pStyle w:val="Compact"/>
              <w:jc w:val="left"/>
            </w:pPr>
            <w:r>
              <w:t xml:space="preserve">Albumin</w:t>
            </w:r>
          </w:p>
        </w:tc>
        <w:tc>
          <w:tcPr/>
          <w:p>
            <w:pPr>
              <w:pStyle w:val="Compact"/>
            </w:pPr>
          </w:p>
        </w:tc>
        <w:tc>
          <w:tcPr/>
          <w:p>
            <w:pPr>
              <w:pStyle w:val="Compact"/>
            </w:pPr>
          </w:p>
        </w:tc>
        <w:tc>
          <w:tcPr/>
          <w:p>
            <w:pPr>
              <w:pStyle w:val="Compact"/>
            </w:pPr>
          </w:p>
        </w:tc>
      </w:tr>
    </w:tbl>
    <w:bookmarkEnd w:id="34"/>
    <w:bookmarkStart w:id="35" w:name="calculation-methods"/>
    <w:p>
      <w:pPr>
        <w:pStyle w:val="Heading4"/>
      </w:pPr>
      <w:r>
        <w:t xml:space="preserve">Calculation methods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Name</w:t>
            </w:r>
          </w:p>
        </w:tc>
        <w:tc>
          <w:tcPr/>
          <w:p>
            <w:pPr>
              <w:pStyle w:val="Compact"/>
              <w:jc w:val="left"/>
            </w:pPr>
            <w:r>
              <w:t xml:space="preserve">Value</w:t>
            </w:r>
          </w:p>
        </w:tc>
      </w:tr>
      <w:tr>
        <w:tc>
          <w:tcPr/>
          <w:p>
            <w:pPr>
              <w:pStyle w:val="Compact"/>
              <w:jc w:val="left"/>
            </w:pPr>
            <w:r>
              <w:t xml:space="preserve">Partition coefficients</w:t>
            </w:r>
          </w:p>
        </w:tc>
        <w:tc>
          <w:tcPr/>
          <w:p>
            <w:pPr>
              <w:pStyle w:val="Compact"/>
              <w:jc w:val="left"/>
            </w:pPr>
            <w:r>
              <w:t xml:space="preserve">Schmitt</w:t>
            </w:r>
          </w:p>
        </w:tc>
      </w:tr>
      <w:tr>
        <w:tc>
          <w:tcPr/>
          <w:p>
            <w:pPr>
              <w:pStyle w:val="Compact"/>
              <w:jc w:val="left"/>
            </w:pPr>
            <w:r>
              <w:t xml:space="preserve">Cellular permeabilities</w:t>
            </w:r>
          </w:p>
        </w:tc>
        <w:tc>
          <w:tcPr/>
          <w:p>
            <w:pPr>
              <w:pStyle w:val="Compact"/>
              <w:jc w:val="left"/>
            </w:pPr>
            <w:r>
              <w:t xml:space="preserve">PK-Sim Standard</w:t>
            </w:r>
          </w:p>
        </w:tc>
      </w:tr>
    </w:tbl>
    <w:bookmarkEnd w:id="35"/>
    <w:bookmarkStart w:id="56" w:name="processes"/>
    <w:p>
      <w:pPr>
        <w:pStyle w:val="Heading4"/>
      </w:pPr>
      <w:r>
        <w:t xml:space="preserve">Processes</w:t>
      </w:r>
    </w:p>
    <w:bookmarkStart w:id="37" w:name="metabolizing-enzyme-cyp2b6-ward2003"/>
    <w:p>
      <w:pPr>
        <w:pStyle w:val="Heading5"/>
      </w:pPr>
      <w:r>
        <w:t xml:space="preserve">Metabolizing Enzyme: CYP2B6-Ward2003</w:t>
      </w:r>
    </w:p>
    <w:p>
      <w:pPr>
        <w:pStyle w:val="FirstParagraph"/>
      </w:pPr>
      <w:r>
        <w:t xml:space="preserve">Molecule: CYP2B6</w:t>
      </w:r>
    </w:p>
    <w:p>
      <w:pPr>
        <w:pStyle w:val="BodyText"/>
      </w:pPr>
      <w:r>
        <w:t xml:space="preserve">Metabolite: 8-OH efavirenz</w:t>
      </w:r>
    </w:p>
    <w:bookmarkStart w:id="36" w:name="parameters-1"/>
    <w:p>
      <w:pPr>
        <w:pStyle w:val="Heading6"/>
      </w:pPr>
      <w:r>
        <w:t xml:space="preserve">Parameters</w:t>
      </w:r>
    </w:p>
    <w:tbl>
      <w:tblPr>
        <w:tblStyle w:val="Table"/>
        <w:tblW w:type="pct" w:w="5000"/>
        <w:tblLook w:firstRow="1" w:lastRow="0" w:firstColumn="0" w:lastColumn="0" w:noHBand="0" w:noVBand="0" w:val="0020"/>
        <w:jc w:val="start"/>
      </w:tblPr>
      <w:tblGrid>
        <w:gridCol w:w="1369"/>
        <w:gridCol w:w="1241"/>
        <w:gridCol w:w="5308"/>
      </w:tblGrid>
      <w:tr>
        <w:trPr>
          <w:tblHeader w:val="true"/>
        </w:trPr>
        <w:tc>
          <w:tcPr/>
          <w:p>
            <w:pPr>
              <w:pStyle w:val="Compact"/>
              <w:jc w:val="left"/>
            </w:pPr>
            <w:r>
              <w:t xml:space="preserve">Name</w:t>
            </w:r>
          </w:p>
        </w:tc>
        <w:tc>
          <w:tcPr/>
          <w:p>
            <w:pPr>
              <w:pStyle w:val="Compact"/>
              <w:jc w:val="left"/>
            </w:pPr>
            <w:r>
              <w:t xml:space="preserve">Value</w:t>
            </w:r>
          </w:p>
        </w:tc>
        <w:tc>
          <w:tcPr/>
          <w:p>
            <w:pPr>
              <w:pStyle w:val="Compact"/>
              <w:jc w:val="left"/>
            </w:pPr>
            <w:r>
              <w:t xml:space="preserve">Value Origin</w:t>
            </w:r>
          </w:p>
        </w:tc>
      </w:tr>
      <w:tr>
        <w:tc>
          <w:tcPr/>
          <w:p>
            <w:pPr>
              <w:pStyle w:val="Compact"/>
              <w:jc w:val="left"/>
            </w:pPr>
            <w:r>
              <w:t xml:space="preserve">In vitro Vmax/recombinant enzyme</w:t>
            </w:r>
          </w:p>
        </w:tc>
        <w:tc>
          <w:tcPr/>
          <w:p>
            <w:pPr>
              <w:pStyle w:val="Compact"/>
              <w:jc w:val="left"/>
            </w:pPr>
            <w:r>
              <w:t xml:space="preserve">3.5 pmol/min/pmol rec. enzyme</w:t>
            </w:r>
          </w:p>
        </w:tc>
        <w:tc>
          <w:tcPr/>
          <w:p>
            <w:pPr>
              <w:pStyle w:val="Compact"/>
            </w:pPr>
          </w:p>
        </w:tc>
      </w:tr>
      <w:tr>
        <w:tc>
          <w:tcPr/>
          <w:p>
            <w:pPr>
              <w:pStyle w:val="Compact"/>
              <w:jc w:val="left"/>
            </w:pPr>
            <w:r>
              <w:t xml:space="preserve">Km</w:t>
            </w:r>
          </w:p>
        </w:tc>
        <w:tc>
          <w:tcPr/>
          <w:p>
            <w:pPr>
              <w:pStyle w:val="Compact"/>
              <w:jc w:val="left"/>
            </w:pPr>
            <w:r>
              <w:t xml:space="preserve">6.4 µmol/l</w:t>
            </w:r>
          </w:p>
        </w:tc>
        <w:tc>
          <w:tcPr/>
          <w:p>
            <w:pPr>
              <w:pStyle w:val="Compact"/>
            </w:pPr>
          </w:p>
        </w:tc>
      </w:tr>
      <w:tr>
        <w:tc>
          <w:tcPr/>
          <w:p>
            <w:pPr>
              <w:pStyle w:val="Compact"/>
              <w:jc w:val="left"/>
            </w:pPr>
            <w:r>
              <w:t xml:space="preserve">kcat</w:t>
            </w:r>
          </w:p>
        </w:tc>
        <w:tc>
          <w:tcPr/>
          <w:p>
            <w:pPr>
              <w:pStyle w:val="Compact"/>
              <w:jc w:val="left"/>
            </w:pPr>
            <w:r>
              <w:t xml:space="preserve">1.601451904 1/min</w:t>
            </w:r>
          </w:p>
        </w:tc>
        <w:tc>
          <w:tcPr/>
          <w:p>
            <w:pPr>
              <w:pStyle w:val="Compact"/>
              <w:jc w:val="left"/>
            </w:pPr>
            <w:r>
              <w:t xml:space="preserve">Parameter Identification-Parameter Identification-Value updated from</w:t>
            </w:r>
            <w:r>
              <w:t xml:space="preserve"> </w:t>
            </w:r>
            <w:r>
              <w:t xml:space="preserve">‘</w:t>
            </w:r>
            <w:r>
              <w:t xml:space="preserve">Parameter Identification 7 (Mida)</w:t>
            </w:r>
            <w:r>
              <w:t xml:space="preserve">’</w:t>
            </w:r>
            <w:r>
              <w:t xml:space="preserve"> </w:t>
            </w:r>
            <w:r>
              <w:t xml:space="preserve">on 2019-10-11 09:02</w:t>
            </w:r>
          </w:p>
        </w:tc>
      </w:tr>
    </w:tbl>
    <w:bookmarkEnd w:id="36"/>
    <w:bookmarkEnd w:id="37"/>
    <w:bookmarkStart w:id="39" w:name="metabolizing-enzyme-cyp1a2-ward2003"/>
    <w:p>
      <w:pPr>
        <w:pStyle w:val="Heading5"/>
      </w:pPr>
      <w:r>
        <w:t xml:space="preserve">Metabolizing Enzyme: CYP1A2-Ward2003</w:t>
      </w:r>
    </w:p>
    <w:p>
      <w:pPr>
        <w:pStyle w:val="FirstParagraph"/>
      </w:pPr>
      <w:r>
        <w:t xml:space="preserve">Molecule: CYP1A2</w:t>
      </w:r>
    </w:p>
    <w:p>
      <w:pPr>
        <w:pStyle w:val="BodyText"/>
      </w:pPr>
      <w:r>
        <w:t xml:space="preserve">Metabolite: 8-OH efavirenz</w:t>
      </w:r>
    </w:p>
    <w:bookmarkStart w:id="38" w:name="parameters-2"/>
    <w:p>
      <w:pPr>
        <w:pStyle w:val="Heading6"/>
      </w:pPr>
      <w:r>
        <w:t xml:space="preserve">Parameters</w:t>
      </w:r>
    </w:p>
    <w:tbl>
      <w:tblPr>
        <w:tblStyle w:val="Table"/>
        <w:tblW w:type="pct" w:w="5000"/>
        <w:tblLook w:firstRow="1" w:lastRow="0" w:firstColumn="0" w:lastColumn="0" w:noHBand="0" w:noVBand="0" w:val="0020"/>
        <w:jc w:val="start"/>
      </w:tblPr>
      <w:tblGrid>
        <w:gridCol w:w="1369"/>
        <w:gridCol w:w="1241"/>
        <w:gridCol w:w="5308"/>
      </w:tblGrid>
      <w:tr>
        <w:trPr>
          <w:tblHeader w:val="true"/>
        </w:trPr>
        <w:tc>
          <w:tcPr/>
          <w:p>
            <w:pPr>
              <w:pStyle w:val="Compact"/>
              <w:jc w:val="left"/>
            </w:pPr>
            <w:r>
              <w:t xml:space="preserve">Name</w:t>
            </w:r>
          </w:p>
        </w:tc>
        <w:tc>
          <w:tcPr/>
          <w:p>
            <w:pPr>
              <w:pStyle w:val="Compact"/>
              <w:jc w:val="left"/>
            </w:pPr>
            <w:r>
              <w:t xml:space="preserve">Value</w:t>
            </w:r>
          </w:p>
        </w:tc>
        <w:tc>
          <w:tcPr/>
          <w:p>
            <w:pPr>
              <w:pStyle w:val="Compact"/>
              <w:jc w:val="left"/>
            </w:pPr>
            <w:r>
              <w:t xml:space="preserve">Value Origin</w:t>
            </w:r>
          </w:p>
        </w:tc>
      </w:tr>
      <w:tr>
        <w:tc>
          <w:tcPr/>
          <w:p>
            <w:pPr>
              <w:pStyle w:val="Compact"/>
              <w:jc w:val="left"/>
            </w:pPr>
            <w:r>
              <w:t xml:space="preserve">In vitro Vmax/recombinant enzyme</w:t>
            </w:r>
          </w:p>
        </w:tc>
        <w:tc>
          <w:tcPr/>
          <w:p>
            <w:pPr>
              <w:pStyle w:val="Compact"/>
              <w:jc w:val="left"/>
            </w:pPr>
            <w:r>
              <w:t xml:space="preserve">0.6 pmol/min/pmol rec. enzyme</w:t>
            </w:r>
          </w:p>
        </w:tc>
        <w:tc>
          <w:tcPr/>
          <w:p>
            <w:pPr>
              <w:pStyle w:val="Compact"/>
            </w:pPr>
          </w:p>
        </w:tc>
      </w:tr>
      <w:tr>
        <w:tc>
          <w:tcPr/>
          <w:p>
            <w:pPr>
              <w:pStyle w:val="Compact"/>
              <w:jc w:val="left"/>
            </w:pPr>
            <w:r>
              <w:t xml:space="preserve">Km</w:t>
            </w:r>
          </w:p>
        </w:tc>
        <w:tc>
          <w:tcPr/>
          <w:p>
            <w:pPr>
              <w:pStyle w:val="Compact"/>
              <w:jc w:val="left"/>
            </w:pPr>
            <w:r>
              <w:t xml:space="preserve">8.3 µmol/l</w:t>
            </w:r>
          </w:p>
        </w:tc>
        <w:tc>
          <w:tcPr/>
          <w:p>
            <w:pPr>
              <w:pStyle w:val="Compact"/>
            </w:pPr>
          </w:p>
        </w:tc>
      </w:tr>
      <w:tr>
        <w:tc>
          <w:tcPr/>
          <w:p>
            <w:pPr>
              <w:pStyle w:val="Compact"/>
              <w:jc w:val="left"/>
            </w:pPr>
            <w:r>
              <w:t xml:space="preserve">kcat</w:t>
            </w:r>
          </w:p>
        </w:tc>
        <w:tc>
          <w:tcPr/>
          <w:p>
            <w:pPr>
              <w:pStyle w:val="Compact"/>
              <w:jc w:val="left"/>
            </w:pPr>
            <w:r>
              <w:t xml:space="preserve">0.1910198104 1/min</w:t>
            </w:r>
          </w:p>
        </w:tc>
        <w:tc>
          <w:tcPr/>
          <w:p>
            <w:pPr>
              <w:pStyle w:val="Compact"/>
              <w:jc w:val="left"/>
            </w:pPr>
            <w:r>
              <w:t xml:space="preserve">Parameter Identification-Parameter Identification-Value updated from</w:t>
            </w:r>
            <w:r>
              <w:t xml:space="preserve"> </w:t>
            </w:r>
            <w:r>
              <w:t xml:space="preserve">‘</w:t>
            </w:r>
            <w:r>
              <w:t xml:space="preserve">Parameter Identification 7 (Mida)</w:t>
            </w:r>
            <w:r>
              <w:t xml:space="preserve">’</w:t>
            </w:r>
            <w:r>
              <w:t xml:space="preserve"> </w:t>
            </w:r>
            <w:r>
              <w:t xml:space="preserve">on 2019-10-11 09:02</w:t>
            </w:r>
          </w:p>
        </w:tc>
      </w:tr>
    </w:tbl>
    <w:bookmarkEnd w:id="38"/>
    <w:bookmarkEnd w:id="39"/>
    <w:bookmarkStart w:id="41" w:name="metabolizing-enzyme-cyp3a4-ward2003"/>
    <w:p>
      <w:pPr>
        <w:pStyle w:val="Heading5"/>
      </w:pPr>
      <w:r>
        <w:t xml:space="preserve">Metabolizing Enzyme: CYP3A4-Ward2003</w:t>
      </w:r>
    </w:p>
    <w:p>
      <w:pPr>
        <w:pStyle w:val="FirstParagraph"/>
      </w:pPr>
      <w:r>
        <w:t xml:space="preserve">Molecule: CYP3A4</w:t>
      </w:r>
    </w:p>
    <w:p>
      <w:pPr>
        <w:pStyle w:val="BodyText"/>
      </w:pPr>
      <w:r>
        <w:t xml:space="preserve">Metabolite: 8-OH efavirenz</w:t>
      </w:r>
    </w:p>
    <w:bookmarkStart w:id="40" w:name="parameters-3"/>
    <w:p>
      <w:pPr>
        <w:pStyle w:val="Heading6"/>
      </w:pPr>
      <w:r>
        <w:t xml:space="preserve">Parameters</w:t>
      </w:r>
    </w:p>
    <w:tbl>
      <w:tblPr>
        <w:tblStyle w:val="Table"/>
        <w:tblW w:type="pct" w:w="5000"/>
        <w:tblLook w:firstRow="1" w:lastRow="0" w:firstColumn="0" w:lastColumn="0" w:noHBand="0" w:noVBand="0" w:val="0020"/>
        <w:jc w:val="start"/>
      </w:tblPr>
      <w:tblGrid>
        <w:gridCol w:w="1362"/>
        <w:gridCol w:w="1277"/>
        <w:gridCol w:w="5280"/>
      </w:tblGrid>
      <w:tr>
        <w:trPr>
          <w:tblHeader w:val="true"/>
        </w:trPr>
        <w:tc>
          <w:tcPr/>
          <w:p>
            <w:pPr>
              <w:pStyle w:val="Compact"/>
              <w:jc w:val="left"/>
            </w:pPr>
            <w:r>
              <w:t xml:space="preserve">Name</w:t>
            </w:r>
          </w:p>
        </w:tc>
        <w:tc>
          <w:tcPr/>
          <w:p>
            <w:pPr>
              <w:pStyle w:val="Compact"/>
              <w:jc w:val="left"/>
            </w:pPr>
            <w:r>
              <w:t xml:space="preserve">Value</w:t>
            </w:r>
          </w:p>
        </w:tc>
        <w:tc>
          <w:tcPr/>
          <w:p>
            <w:pPr>
              <w:pStyle w:val="Compact"/>
              <w:jc w:val="left"/>
            </w:pPr>
            <w:r>
              <w:t xml:space="preserve">Value Origin</w:t>
            </w:r>
          </w:p>
        </w:tc>
      </w:tr>
      <w:tr>
        <w:tc>
          <w:tcPr/>
          <w:p>
            <w:pPr>
              <w:pStyle w:val="Compact"/>
              <w:jc w:val="left"/>
            </w:pPr>
            <w:r>
              <w:t xml:space="preserve">In vitro Vmax/recombinant enzyme</w:t>
            </w:r>
          </w:p>
        </w:tc>
        <w:tc>
          <w:tcPr/>
          <w:p>
            <w:pPr>
              <w:pStyle w:val="Compact"/>
              <w:jc w:val="left"/>
            </w:pPr>
            <w:r>
              <w:t xml:space="preserve">0.16 pmol/min/pmol rec. enzyme</w:t>
            </w:r>
          </w:p>
        </w:tc>
        <w:tc>
          <w:tcPr/>
          <w:p>
            <w:pPr>
              <w:pStyle w:val="Compact"/>
            </w:pPr>
          </w:p>
        </w:tc>
      </w:tr>
      <w:tr>
        <w:tc>
          <w:tcPr/>
          <w:p>
            <w:pPr>
              <w:pStyle w:val="Compact"/>
              <w:jc w:val="left"/>
            </w:pPr>
            <w:r>
              <w:t xml:space="preserve">Km</w:t>
            </w:r>
          </w:p>
        </w:tc>
        <w:tc>
          <w:tcPr/>
          <w:p>
            <w:pPr>
              <w:pStyle w:val="Compact"/>
              <w:jc w:val="left"/>
            </w:pPr>
            <w:r>
              <w:t xml:space="preserve">23.5 µmol/l</w:t>
            </w:r>
          </w:p>
        </w:tc>
        <w:tc>
          <w:tcPr/>
          <w:p>
            <w:pPr>
              <w:pStyle w:val="Compact"/>
            </w:pPr>
          </w:p>
        </w:tc>
      </w:tr>
      <w:tr>
        <w:tc>
          <w:tcPr/>
          <w:p>
            <w:pPr>
              <w:pStyle w:val="Compact"/>
              <w:jc w:val="left"/>
            </w:pPr>
            <w:r>
              <w:t xml:space="preserve">kcat</w:t>
            </w:r>
          </w:p>
        </w:tc>
        <w:tc>
          <w:tcPr/>
          <w:p>
            <w:pPr>
              <w:pStyle w:val="Compact"/>
              <w:jc w:val="left"/>
            </w:pPr>
            <w:r>
              <w:t xml:space="preserve">0.0509386161 1/min</w:t>
            </w:r>
          </w:p>
        </w:tc>
        <w:tc>
          <w:tcPr/>
          <w:p>
            <w:pPr>
              <w:pStyle w:val="Compact"/>
              <w:jc w:val="left"/>
            </w:pPr>
            <w:r>
              <w:t xml:space="preserve">Parameter Identification-Parameter Identification-Value updated from</w:t>
            </w:r>
            <w:r>
              <w:t xml:space="preserve"> </w:t>
            </w:r>
            <w:r>
              <w:t xml:space="preserve">‘</w:t>
            </w:r>
            <w:r>
              <w:t xml:space="preserve">Parameter Identification 7 (Mida)</w:t>
            </w:r>
            <w:r>
              <w:t xml:space="preserve">’</w:t>
            </w:r>
            <w:r>
              <w:t xml:space="preserve"> </w:t>
            </w:r>
            <w:r>
              <w:t xml:space="preserve">on 2019-10-11 09:02</w:t>
            </w:r>
          </w:p>
        </w:tc>
      </w:tr>
    </w:tbl>
    <w:bookmarkEnd w:id="40"/>
    <w:bookmarkEnd w:id="41"/>
    <w:bookmarkStart w:id="43" w:name="metabolizing-enzyme-cyp3a5-ward2003"/>
    <w:p>
      <w:pPr>
        <w:pStyle w:val="Heading5"/>
      </w:pPr>
      <w:r>
        <w:t xml:space="preserve">Metabolizing Enzyme: CYP3A5-Ward2003</w:t>
      </w:r>
    </w:p>
    <w:p>
      <w:pPr>
        <w:pStyle w:val="FirstParagraph"/>
      </w:pPr>
      <w:r>
        <w:t xml:space="preserve">Molecule: CYP3A5</w:t>
      </w:r>
    </w:p>
    <w:p>
      <w:pPr>
        <w:pStyle w:val="BodyText"/>
      </w:pPr>
      <w:r>
        <w:t xml:space="preserve">Metabolite: 8-OH efavirenz</w:t>
      </w:r>
    </w:p>
    <w:bookmarkStart w:id="42" w:name="parameters-4"/>
    <w:p>
      <w:pPr>
        <w:pStyle w:val="Heading6"/>
      </w:pPr>
      <w:r>
        <w:t xml:space="preserve">Parameters</w:t>
      </w:r>
    </w:p>
    <w:tbl>
      <w:tblPr>
        <w:tblStyle w:val="Table"/>
        <w:tblW w:type="pct" w:w="5000"/>
        <w:tblLook w:firstRow="1" w:lastRow="0" w:firstColumn="0" w:lastColumn="0" w:noHBand="0" w:noVBand="0" w:val="0020"/>
        <w:jc w:val="start"/>
      </w:tblPr>
      <w:tblGrid>
        <w:gridCol w:w="1369"/>
        <w:gridCol w:w="1241"/>
        <w:gridCol w:w="5308"/>
      </w:tblGrid>
      <w:tr>
        <w:trPr>
          <w:tblHeader w:val="true"/>
        </w:trPr>
        <w:tc>
          <w:tcPr/>
          <w:p>
            <w:pPr>
              <w:pStyle w:val="Compact"/>
              <w:jc w:val="left"/>
            </w:pPr>
            <w:r>
              <w:t xml:space="preserve">Name</w:t>
            </w:r>
          </w:p>
        </w:tc>
        <w:tc>
          <w:tcPr/>
          <w:p>
            <w:pPr>
              <w:pStyle w:val="Compact"/>
              <w:jc w:val="left"/>
            </w:pPr>
            <w:r>
              <w:t xml:space="preserve">Value</w:t>
            </w:r>
          </w:p>
        </w:tc>
        <w:tc>
          <w:tcPr/>
          <w:p>
            <w:pPr>
              <w:pStyle w:val="Compact"/>
              <w:jc w:val="left"/>
            </w:pPr>
            <w:r>
              <w:t xml:space="preserve">Value Origin</w:t>
            </w:r>
          </w:p>
        </w:tc>
      </w:tr>
      <w:tr>
        <w:tc>
          <w:tcPr/>
          <w:p>
            <w:pPr>
              <w:pStyle w:val="Compact"/>
              <w:jc w:val="left"/>
            </w:pPr>
            <w:r>
              <w:t xml:space="preserve">In vitro Vmax/recombinant enzyme</w:t>
            </w:r>
          </w:p>
        </w:tc>
        <w:tc>
          <w:tcPr/>
          <w:p>
            <w:pPr>
              <w:pStyle w:val="Compact"/>
              <w:jc w:val="left"/>
            </w:pPr>
            <w:r>
              <w:t xml:space="preserve">0.6 pmol/min/pmol rec. enzyme</w:t>
            </w:r>
          </w:p>
        </w:tc>
        <w:tc>
          <w:tcPr/>
          <w:p>
            <w:pPr>
              <w:pStyle w:val="Compact"/>
            </w:pPr>
          </w:p>
        </w:tc>
      </w:tr>
      <w:tr>
        <w:tc>
          <w:tcPr/>
          <w:p>
            <w:pPr>
              <w:pStyle w:val="Compact"/>
              <w:jc w:val="left"/>
            </w:pPr>
            <w:r>
              <w:t xml:space="preserve">Km</w:t>
            </w:r>
          </w:p>
        </w:tc>
        <w:tc>
          <w:tcPr/>
          <w:p>
            <w:pPr>
              <w:pStyle w:val="Compact"/>
              <w:jc w:val="left"/>
            </w:pPr>
            <w:r>
              <w:t xml:space="preserve">19.1 µmol/l</w:t>
            </w:r>
          </w:p>
        </w:tc>
        <w:tc>
          <w:tcPr/>
          <w:p>
            <w:pPr>
              <w:pStyle w:val="Compact"/>
            </w:pPr>
          </w:p>
        </w:tc>
      </w:tr>
      <w:tr>
        <w:tc>
          <w:tcPr/>
          <w:p>
            <w:pPr>
              <w:pStyle w:val="Compact"/>
              <w:jc w:val="left"/>
            </w:pPr>
            <w:r>
              <w:t xml:space="preserve">kcat</w:t>
            </w:r>
          </w:p>
        </w:tc>
        <w:tc>
          <w:tcPr/>
          <w:p>
            <w:pPr>
              <w:pStyle w:val="Compact"/>
              <w:jc w:val="left"/>
            </w:pPr>
            <w:r>
              <w:t xml:space="preserve">0.1910198104 1/min</w:t>
            </w:r>
          </w:p>
        </w:tc>
        <w:tc>
          <w:tcPr/>
          <w:p>
            <w:pPr>
              <w:pStyle w:val="Compact"/>
              <w:jc w:val="left"/>
            </w:pPr>
            <w:r>
              <w:t xml:space="preserve">Parameter Identification-Parameter Identification-Value updated from</w:t>
            </w:r>
            <w:r>
              <w:t xml:space="preserve"> </w:t>
            </w:r>
            <w:r>
              <w:t xml:space="preserve">‘</w:t>
            </w:r>
            <w:r>
              <w:t xml:space="preserve">Parameter Identification 7 (Mida)</w:t>
            </w:r>
            <w:r>
              <w:t xml:space="preserve">’</w:t>
            </w:r>
            <w:r>
              <w:t xml:space="preserve"> </w:t>
            </w:r>
            <w:r>
              <w:t xml:space="preserve">on 2019-10-11 09:02</w:t>
            </w:r>
          </w:p>
        </w:tc>
      </w:tr>
    </w:tbl>
    <w:bookmarkEnd w:id="42"/>
    <w:bookmarkEnd w:id="43"/>
    <w:bookmarkStart w:id="45" w:name="metabolizing-enzyme-cyp2a6-ogburn2010"/>
    <w:p>
      <w:pPr>
        <w:pStyle w:val="Heading5"/>
      </w:pPr>
      <w:r>
        <w:t xml:space="preserve">Metabolizing Enzyme: CYP2A6-Ogburn2010</w:t>
      </w:r>
    </w:p>
    <w:p>
      <w:pPr>
        <w:pStyle w:val="FirstParagraph"/>
      </w:pPr>
      <w:r>
        <w:t xml:space="preserve">Molecule: CYP2A6</w:t>
      </w:r>
    </w:p>
    <w:p>
      <w:pPr>
        <w:pStyle w:val="BodyText"/>
      </w:pPr>
      <w:r>
        <w:t xml:space="preserve">Metabolite: 8-OH efavirenz</w:t>
      </w:r>
    </w:p>
    <w:bookmarkStart w:id="44" w:name="parameters-5"/>
    <w:p>
      <w:pPr>
        <w:pStyle w:val="Heading6"/>
      </w:pPr>
      <w:r>
        <w:t xml:space="preserve">Parameters</w:t>
      </w:r>
    </w:p>
    <w:tbl>
      <w:tblPr>
        <w:tblStyle w:val="Table"/>
        <w:tblW w:type="pct" w:w="5000"/>
        <w:tblLook w:firstRow="1" w:lastRow="0" w:firstColumn="0" w:lastColumn="0" w:noHBand="0" w:noVBand="0" w:val="0020"/>
        <w:jc w:val="start"/>
      </w:tblPr>
      <w:tblGrid>
        <w:gridCol w:w="1384"/>
        <w:gridCol w:w="1168"/>
        <w:gridCol w:w="5366"/>
      </w:tblGrid>
      <w:tr>
        <w:trPr>
          <w:tblHeader w:val="true"/>
        </w:trPr>
        <w:tc>
          <w:tcPr/>
          <w:p>
            <w:pPr>
              <w:pStyle w:val="Compact"/>
              <w:jc w:val="left"/>
            </w:pPr>
            <w:r>
              <w:t xml:space="preserve">Name</w:t>
            </w:r>
          </w:p>
        </w:tc>
        <w:tc>
          <w:tcPr/>
          <w:p>
            <w:pPr>
              <w:pStyle w:val="Compact"/>
              <w:jc w:val="left"/>
            </w:pPr>
            <w:r>
              <w:t xml:space="preserve">Value</w:t>
            </w:r>
          </w:p>
        </w:tc>
        <w:tc>
          <w:tcPr/>
          <w:p>
            <w:pPr>
              <w:pStyle w:val="Compact"/>
              <w:jc w:val="left"/>
            </w:pPr>
            <w:r>
              <w:t xml:space="preserve">Value Origin</w:t>
            </w:r>
          </w:p>
        </w:tc>
      </w:tr>
      <w:tr>
        <w:tc>
          <w:tcPr/>
          <w:p>
            <w:pPr>
              <w:pStyle w:val="Compact"/>
              <w:jc w:val="left"/>
            </w:pPr>
            <w:r>
              <w:t xml:space="preserve">In vitro Vmax/recombinant enzyme</w:t>
            </w:r>
          </w:p>
        </w:tc>
        <w:tc>
          <w:tcPr/>
          <w:p>
            <w:pPr>
              <w:pStyle w:val="Compact"/>
              <w:jc w:val="left"/>
            </w:pPr>
            <w:r>
              <w:t xml:space="preserve">1 pmol/min/pmol rec. enzyme</w:t>
            </w:r>
          </w:p>
        </w:tc>
        <w:tc>
          <w:tcPr/>
          <w:p>
            <w:pPr>
              <w:pStyle w:val="Compact"/>
            </w:pPr>
          </w:p>
        </w:tc>
      </w:tr>
      <w:tr>
        <w:tc>
          <w:tcPr/>
          <w:p>
            <w:pPr>
              <w:pStyle w:val="Compact"/>
              <w:jc w:val="left"/>
            </w:pPr>
            <w:r>
              <w:t xml:space="preserve">Km</w:t>
            </w:r>
          </w:p>
        </w:tc>
        <w:tc>
          <w:tcPr/>
          <w:p>
            <w:pPr>
              <w:pStyle w:val="Compact"/>
              <w:jc w:val="left"/>
            </w:pPr>
            <w:r>
              <w:t xml:space="preserve">7.7 µmol/l</w:t>
            </w:r>
          </w:p>
        </w:tc>
        <w:tc>
          <w:tcPr/>
          <w:p>
            <w:pPr>
              <w:pStyle w:val="Compact"/>
            </w:pPr>
          </w:p>
        </w:tc>
      </w:tr>
      <w:tr>
        <w:tc>
          <w:tcPr/>
          <w:p>
            <w:pPr>
              <w:pStyle w:val="Compact"/>
              <w:jc w:val="left"/>
            </w:pPr>
            <w:r>
              <w:t xml:space="preserve">kcat</w:t>
            </w:r>
          </w:p>
        </w:tc>
        <w:tc>
          <w:tcPr/>
          <w:p>
            <w:pPr>
              <w:pStyle w:val="Compact"/>
              <w:jc w:val="left"/>
            </w:pPr>
            <w:r>
              <w:t xml:space="preserve">0.3183663507 1/min</w:t>
            </w:r>
          </w:p>
        </w:tc>
        <w:tc>
          <w:tcPr/>
          <w:p>
            <w:pPr>
              <w:pStyle w:val="Compact"/>
              <w:jc w:val="left"/>
            </w:pPr>
            <w:r>
              <w:t xml:space="preserve">Parameter Identification-Parameter Identification-Value updated from</w:t>
            </w:r>
            <w:r>
              <w:t xml:space="preserve"> </w:t>
            </w:r>
            <w:r>
              <w:t xml:space="preserve">‘</w:t>
            </w:r>
            <w:r>
              <w:t xml:space="preserve">Parameter Identification 7 (Mida)</w:t>
            </w:r>
            <w:r>
              <w:t xml:space="preserve">’</w:t>
            </w:r>
            <w:r>
              <w:t xml:space="preserve"> </w:t>
            </w:r>
            <w:r>
              <w:t xml:space="preserve">on 2019-10-11 09:02</w:t>
            </w:r>
          </w:p>
        </w:tc>
      </w:tr>
    </w:tbl>
    <w:bookmarkEnd w:id="44"/>
    <w:bookmarkEnd w:id="45"/>
    <w:bookmarkStart w:id="47" w:name="metabolizing-enzyme-cyp2b6-cyp2b616"/>
    <w:p>
      <w:pPr>
        <w:pStyle w:val="Heading5"/>
      </w:pPr>
      <w:r>
        <w:t xml:space="preserve">Metabolizing Enzyme: CYP2B6-CYP2B6</w:t>
      </w:r>
      <w:r>
        <w:rPr>
          <w:iCs/>
          <w:i/>
        </w:rPr>
        <w:t xml:space="preserve">1/</w:t>
      </w:r>
      <w:r>
        <w:t xml:space="preserve">6</w:t>
      </w:r>
    </w:p>
    <w:p>
      <w:pPr>
        <w:pStyle w:val="FirstParagraph"/>
      </w:pPr>
      <w:r>
        <w:t xml:space="preserve">Molecule: CYP2B6</w:t>
      </w:r>
    </w:p>
    <w:p>
      <w:pPr>
        <w:pStyle w:val="BodyText"/>
      </w:pPr>
      <w:r>
        <w:t xml:space="preserve">Metabolite: 8-OH efavirenz</w:t>
      </w:r>
    </w:p>
    <w:bookmarkStart w:id="46" w:name="parameters-6"/>
    <w:p>
      <w:pPr>
        <w:pStyle w:val="Heading6"/>
      </w:pPr>
      <w:r>
        <w:t xml:space="preserve">Parameters</w:t>
      </w:r>
    </w:p>
    <w:tbl>
      <w:tblPr>
        <w:tblStyle w:val="Table"/>
        <w:tblW w:type="pct" w:w="5000"/>
        <w:tblLook w:firstRow="1" w:lastRow="0" w:firstColumn="0" w:lastColumn="0" w:noHBand="0" w:noVBand="0" w:val="0020"/>
        <w:jc w:val="start"/>
      </w:tblPr>
      <w:tblGrid>
        <w:gridCol w:w="3208"/>
        <w:gridCol w:w="3408"/>
        <w:gridCol w:w="1303"/>
      </w:tblGrid>
      <w:tr>
        <w:trPr>
          <w:tblHeader w:val="true"/>
        </w:trPr>
        <w:tc>
          <w:tcPr/>
          <w:p>
            <w:pPr>
              <w:pStyle w:val="Compact"/>
              <w:jc w:val="left"/>
            </w:pPr>
            <w:r>
              <w:t xml:space="preserve">Name</w:t>
            </w:r>
          </w:p>
        </w:tc>
        <w:tc>
          <w:tcPr/>
          <w:p>
            <w:pPr>
              <w:pStyle w:val="Compact"/>
              <w:jc w:val="left"/>
            </w:pPr>
            <w:r>
              <w:t xml:space="preserve">Value</w:t>
            </w:r>
          </w:p>
        </w:tc>
        <w:tc>
          <w:tcPr/>
          <w:p>
            <w:pPr>
              <w:pStyle w:val="Compact"/>
              <w:jc w:val="right"/>
            </w:pPr>
            <w:r>
              <w:t xml:space="preserve">Value Origin</w:t>
            </w:r>
          </w:p>
        </w:tc>
      </w:tr>
      <w:tr>
        <w:tc>
          <w:tcPr/>
          <w:p>
            <w:pPr>
              <w:pStyle w:val="Compact"/>
              <w:jc w:val="left"/>
            </w:pPr>
            <w:r>
              <w:t xml:space="preserve">In vitro Vmax/recombinant enzyme</w:t>
            </w:r>
          </w:p>
        </w:tc>
        <w:tc>
          <w:tcPr/>
          <w:p>
            <w:pPr>
              <w:pStyle w:val="Compact"/>
              <w:jc w:val="left"/>
            </w:pPr>
            <w:r>
              <w:t xml:space="preserve">2.268966 pmol/min/pmol rec. enzyme</w:t>
            </w:r>
          </w:p>
        </w:tc>
        <w:tc>
          <w:tcPr/>
          <w:p>
            <w:pPr>
              <w:pStyle w:val="Compact"/>
            </w:pPr>
          </w:p>
        </w:tc>
      </w:tr>
      <w:tr>
        <w:tc>
          <w:tcPr/>
          <w:p>
            <w:pPr>
              <w:pStyle w:val="Compact"/>
              <w:jc w:val="left"/>
            </w:pPr>
            <w:r>
              <w:t xml:space="preserve">Km</w:t>
            </w:r>
          </w:p>
        </w:tc>
        <w:tc>
          <w:tcPr/>
          <w:p>
            <w:pPr>
              <w:pStyle w:val="Compact"/>
              <w:jc w:val="left"/>
            </w:pPr>
            <w:r>
              <w:t xml:space="preserve">6.4 µmol/l</w:t>
            </w:r>
          </w:p>
        </w:tc>
        <w:tc>
          <w:tcPr/>
          <w:p>
            <w:pPr>
              <w:pStyle w:val="Compact"/>
            </w:pPr>
          </w:p>
        </w:tc>
      </w:tr>
    </w:tbl>
    <w:bookmarkEnd w:id="46"/>
    <w:bookmarkEnd w:id="47"/>
    <w:bookmarkStart w:id="49" w:name="metabolizing-enzyme-cyp2b6-cyp2b666"/>
    <w:p>
      <w:pPr>
        <w:pStyle w:val="Heading5"/>
      </w:pPr>
      <w:r>
        <w:t xml:space="preserve">Metabolizing Enzyme: CYP2B6-CYP2B6</w:t>
      </w:r>
      <w:r>
        <w:rPr>
          <w:iCs/>
          <w:i/>
        </w:rPr>
        <w:t xml:space="preserve">6/</w:t>
      </w:r>
      <w:r>
        <w:t xml:space="preserve">6</w:t>
      </w:r>
    </w:p>
    <w:p>
      <w:pPr>
        <w:pStyle w:val="FirstParagraph"/>
      </w:pPr>
      <w:r>
        <w:t xml:space="preserve">Molecule: CYP2B6</w:t>
      </w:r>
    </w:p>
    <w:p>
      <w:pPr>
        <w:pStyle w:val="BodyText"/>
      </w:pPr>
      <w:r>
        <w:t xml:space="preserve">Metabolite: 8-OH efavirenz</w:t>
      </w:r>
    </w:p>
    <w:bookmarkStart w:id="48" w:name="parameters-7"/>
    <w:p>
      <w:pPr>
        <w:pStyle w:val="Heading6"/>
      </w:pPr>
      <w:r>
        <w:t xml:space="preserve">Parameters</w:t>
      </w:r>
    </w:p>
    <w:tbl>
      <w:tblPr>
        <w:tblStyle w:val="Table"/>
        <w:tblW w:type="pct" w:w="5000"/>
        <w:tblLook w:firstRow="1" w:lastRow="0" w:firstColumn="0" w:lastColumn="0" w:noHBand="0" w:noVBand="0" w:val="0020"/>
        <w:jc w:val="start"/>
      </w:tblPr>
      <w:tblGrid>
        <w:gridCol w:w="3208"/>
        <w:gridCol w:w="3408"/>
        <w:gridCol w:w="1303"/>
      </w:tblGrid>
      <w:tr>
        <w:trPr>
          <w:tblHeader w:val="true"/>
        </w:trPr>
        <w:tc>
          <w:tcPr/>
          <w:p>
            <w:pPr>
              <w:pStyle w:val="Compact"/>
              <w:jc w:val="left"/>
            </w:pPr>
            <w:r>
              <w:t xml:space="preserve">Name</w:t>
            </w:r>
          </w:p>
        </w:tc>
        <w:tc>
          <w:tcPr/>
          <w:p>
            <w:pPr>
              <w:pStyle w:val="Compact"/>
              <w:jc w:val="left"/>
            </w:pPr>
            <w:r>
              <w:t xml:space="preserve">Value</w:t>
            </w:r>
          </w:p>
        </w:tc>
        <w:tc>
          <w:tcPr/>
          <w:p>
            <w:pPr>
              <w:pStyle w:val="Compact"/>
              <w:jc w:val="right"/>
            </w:pPr>
            <w:r>
              <w:t xml:space="preserve">Value Origin</w:t>
            </w:r>
          </w:p>
        </w:tc>
      </w:tr>
      <w:tr>
        <w:tc>
          <w:tcPr/>
          <w:p>
            <w:pPr>
              <w:pStyle w:val="Compact"/>
              <w:jc w:val="left"/>
            </w:pPr>
            <w:r>
              <w:t xml:space="preserve">In vitro Vmax/recombinant enzyme</w:t>
            </w:r>
          </w:p>
        </w:tc>
        <w:tc>
          <w:tcPr/>
          <w:p>
            <w:pPr>
              <w:pStyle w:val="Compact"/>
              <w:jc w:val="left"/>
            </w:pPr>
            <w:r>
              <w:t xml:space="preserve">1.448276 pmol/min/pmol rec. enzyme</w:t>
            </w:r>
          </w:p>
        </w:tc>
        <w:tc>
          <w:tcPr/>
          <w:p>
            <w:pPr>
              <w:pStyle w:val="Compact"/>
            </w:pPr>
          </w:p>
        </w:tc>
      </w:tr>
      <w:tr>
        <w:tc>
          <w:tcPr/>
          <w:p>
            <w:pPr>
              <w:pStyle w:val="Compact"/>
              <w:jc w:val="left"/>
            </w:pPr>
            <w:r>
              <w:t xml:space="preserve">Km</w:t>
            </w:r>
          </w:p>
        </w:tc>
        <w:tc>
          <w:tcPr/>
          <w:p>
            <w:pPr>
              <w:pStyle w:val="Compact"/>
              <w:jc w:val="left"/>
            </w:pPr>
            <w:r>
              <w:t xml:space="preserve">6.4 µmol/l</w:t>
            </w:r>
          </w:p>
        </w:tc>
        <w:tc>
          <w:tcPr/>
          <w:p>
            <w:pPr>
              <w:pStyle w:val="Compact"/>
            </w:pPr>
          </w:p>
        </w:tc>
      </w:tr>
    </w:tbl>
    <w:bookmarkEnd w:id="48"/>
    <w:bookmarkEnd w:id="49"/>
    <w:bookmarkStart w:id="51" w:name="induction-cyp3a4-shou2008"/>
    <w:p>
      <w:pPr>
        <w:pStyle w:val="Heading5"/>
      </w:pPr>
      <w:r>
        <w:t xml:space="preserve">Induction: CYP3A4-Shou2008</w:t>
      </w:r>
    </w:p>
    <w:p>
      <w:pPr>
        <w:pStyle w:val="FirstParagraph"/>
      </w:pPr>
      <w:r>
        <w:t xml:space="preserve">Molecule: CYP3A4</w:t>
      </w:r>
    </w:p>
    <w:bookmarkStart w:id="50" w:name="parameters-8"/>
    <w:p>
      <w:pPr>
        <w:pStyle w:val="Heading6"/>
      </w:pPr>
      <w:r>
        <w:t xml:space="preserve">Parameters</w:t>
      </w:r>
    </w:p>
    <w:tbl>
      <w:tblPr>
        <w:tblStyle w:val="Table"/>
        <w:tblW w:type="pct" w:w="5000"/>
        <w:tblLook w:firstRow="1" w:lastRow="0" w:firstColumn="0" w:lastColumn="0" w:noHBand="0" w:noVBand="0" w:val="0020"/>
        <w:jc w:val="start"/>
      </w:tblPr>
      <w:tblGrid>
        <w:gridCol w:w="216"/>
        <w:gridCol w:w="976"/>
        <w:gridCol w:w="6726"/>
      </w:tblGrid>
      <w:tr>
        <w:trPr>
          <w:tblHeader w:val="true"/>
        </w:trPr>
        <w:tc>
          <w:tcPr/>
          <w:p>
            <w:pPr>
              <w:pStyle w:val="Compact"/>
              <w:jc w:val="left"/>
            </w:pPr>
            <w:r>
              <w:t xml:space="preserve">Name</w:t>
            </w:r>
          </w:p>
        </w:tc>
        <w:tc>
          <w:tcPr/>
          <w:p>
            <w:pPr>
              <w:pStyle w:val="Compact"/>
              <w:jc w:val="left"/>
            </w:pPr>
            <w:r>
              <w:t xml:space="preserve">Value</w:t>
            </w:r>
          </w:p>
        </w:tc>
        <w:tc>
          <w:tcPr/>
          <w:p>
            <w:pPr>
              <w:pStyle w:val="Compact"/>
              <w:jc w:val="left"/>
            </w:pPr>
            <w:r>
              <w:t xml:space="preserve">Value Origin</w:t>
            </w:r>
          </w:p>
        </w:tc>
      </w:tr>
      <w:tr>
        <w:tc>
          <w:tcPr/>
          <w:p>
            <w:pPr>
              <w:pStyle w:val="Compact"/>
              <w:jc w:val="left"/>
            </w:pPr>
            <w:r>
              <w:t xml:space="preserve">EC50</w:t>
            </w:r>
          </w:p>
        </w:tc>
        <w:tc>
          <w:tcPr/>
          <w:p>
            <w:pPr>
              <w:pStyle w:val="Compact"/>
              <w:jc w:val="left"/>
            </w:pPr>
            <w:r>
              <w:t xml:space="preserve">0.071279975 µmol/l</w:t>
            </w:r>
          </w:p>
        </w:tc>
        <w:tc>
          <w:tcPr/>
          <w:p>
            <w:pPr>
              <w:pStyle w:val="Compact"/>
              <w:jc w:val="left"/>
            </w:pPr>
            <w:r>
              <w:t xml:space="preserve">Parameter Identification-Parameter Identification-Value updated from</w:t>
            </w:r>
            <w:r>
              <w:t xml:space="preserve"> </w:t>
            </w:r>
            <w:r>
              <w:t xml:space="preserve">‘</w:t>
            </w:r>
            <w:r>
              <w:t xml:space="preserve">Parameter Identification 7 (Mida)</w:t>
            </w:r>
            <w:r>
              <w:t xml:space="preserve">’</w:t>
            </w:r>
            <w:r>
              <w:t xml:space="preserve"> </w:t>
            </w:r>
            <w:r>
              <w:t xml:space="preserve">on 2019-10-11 09:02</w:t>
            </w:r>
          </w:p>
        </w:tc>
      </w:tr>
      <w:tr>
        <w:tc>
          <w:tcPr/>
          <w:p>
            <w:pPr>
              <w:pStyle w:val="Compact"/>
              <w:jc w:val="left"/>
            </w:pPr>
            <w:r>
              <w:t xml:space="preserve">Emax</w:t>
            </w:r>
          </w:p>
        </w:tc>
        <w:tc>
          <w:tcPr/>
          <w:p>
            <w:pPr>
              <w:pStyle w:val="Compact"/>
              <w:jc w:val="left"/>
            </w:pPr>
            <w:r>
              <w:t xml:space="preserve">5.21</w:t>
            </w:r>
          </w:p>
        </w:tc>
        <w:tc>
          <w:tcPr/>
          <w:p>
            <w:pPr>
              <w:pStyle w:val="Compact"/>
              <w:jc w:val="left"/>
            </w:pPr>
            <w:r>
              <w:t xml:space="preserve">Parameter Identification-Parameter Identification-Value updated from</w:t>
            </w:r>
            <w:r>
              <w:t xml:space="preserve"> </w:t>
            </w:r>
            <w:r>
              <w:t xml:space="preserve">‘</w:t>
            </w:r>
            <w:r>
              <w:t xml:space="preserve">Parameter Identification 7 (Mida)</w:t>
            </w:r>
            <w:r>
              <w:t xml:space="preserve">’</w:t>
            </w:r>
            <w:r>
              <w:t xml:space="preserve"> </w:t>
            </w:r>
            <w:r>
              <w:t xml:space="preserve">on 2019-10-11 09:02</w:t>
            </w:r>
          </w:p>
        </w:tc>
      </w:tr>
    </w:tbl>
    <w:bookmarkEnd w:id="50"/>
    <w:bookmarkEnd w:id="51"/>
    <w:bookmarkStart w:id="53" w:name="induction-cyp2b6-ke2016"/>
    <w:p>
      <w:pPr>
        <w:pStyle w:val="Heading5"/>
      </w:pPr>
      <w:r>
        <w:t xml:space="preserve">Induction: CYP2B6-Ke2016</w:t>
      </w:r>
    </w:p>
    <w:p>
      <w:pPr>
        <w:pStyle w:val="FirstParagraph"/>
      </w:pPr>
      <w:r>
        <w:t xml:space="preserve">Molecule: CYP2B6</w:t>
      </w:r>
    </w:p>
    <w:bookmarkStart w:id="52" w:name="parameters-9"/>
    <w:p>
      <w:pPr>
        <w:pStyle w:val="Heading6"/>
      </w:pPr>
      <w:r>
        <w:t xml:space="preserve">Parameters</w:t>
      </w:r>
    </w:p>
    <w:tbl>
      <w:tblPr>
        <w:tblStyle w:val="Table"/>
        <w:tblW w:type="pct" w:w="5000"/>
        <w:tblLook w:firstRow="1" w:lastRow="0" w:firstColumn="0" w:lastColumn="0" w:noHBand="0" w:noVBand="0" w:val="0020"/>
        <w:jc w:val="start"/>
      </w:tblPr>
      <w:tblGrid>
        <w:gridCol w:w="215"/>
        <w:gridCol w:w="1023"/>
        <w:gridCol w:w="6680"/>
      </w:tblGrid>
      <w:tr>
        <w:trPr>
          <w:tblHeader w:val="true"/>
        </w:trPr>
        <w:tc>
          <w:tcPr/>
          <w:p>
            <w:pPr>
              <w:pStyle w:val="Compact"/>
              <w:jc w:val="left"/>
            </w:pPr>
            <w:r>
              <w:t xml:space="preserve">Name</w:t>
            </w:r>
          </w:p>
        </w:tc>
        <w:tc>
          <w:tcPr/>
          <w:p>
            <w:pPr>
              <w:pStyle w:val="Compact"/>
              <w:jc w:val="left"/>
            </w:pPr>
            <w:r>
              <w:t xml:space="preserve">Value</w:t>
            </w:r>
          </w:p>
        </w:tc>
        <w:tc>
          <w:tcPr/>
          <w:p>
            <w:pPr>
              <w:pStyle w:val="Compact"/>
              <w:jc w:val="left"/>
            </w:pPr>
            <w:r>
              <w:t xml:space="preserve">Value Origin</w:t>
            </w:r>
          </w:p>
        </w:tc>
      </w:tr>
      <w:tr>
        <w:tc>
          <w:tcPr/>
          <w:p>
            <w:pPr>
              <w:pStyle w:val="Compact"/>
              <w:jc w:val="left"/>
            </w:pPr>
            <w:r>
              <w:t xml:space="preserve">EC50</w:t>
            </w:r>
          </w:p>
        </w:tc>
        <w:tc>
          <w:tcPr/>
          <w:p>
            <w:pPr>
              <w:pStyle w:val="Compact"/>
              <w:jc w:val="left"/>
            </w:pPr>
            <w:r>
              <w:t xml:space="preserve">0.0116534019 µmol/l</w:t>
            </w:r>
          </w:p>
        </w:tc>
        <w:tc>
          <w:tcPr/>
          <w:p>
            <w:pPr>
              <w:pStyle w:val="Compact"/>
              <w:jc w:val="left"/>
            </w:pPr>
            <w:r>
              <w:t xml:space="preserve">Parameter Identification-Parameter Identification-Value updated from</w:t>
            </w:r>
            <w:r>
              <w:t xml:space="preserve"> </w:t>
            </w:r>
            <w:r>
              <w:t xml:space="preserve">‘</w:t>
            </w:r>
            <w:r>
              <w:t xml:space="preserve">Parameter Identification 7 (Mida)</w:t>
            </w:r>
            <w:r>
              <w:t xml:space="preserve">’</w:t>
            </w:r>
            <w:r>
              <w:t xml:space="preserve"> </w:t>
            </w:r>
            <w:r>
              <w:t xml:space="preserve">on 2019-10-11 09:02</w:t>
            </w:r>
          </w:p>
        </w:tc>
      </w:tr>
      <w:tr>
        <w:tc>
          <w:tcPr/>
          <w:p>
            <w:pPr>
              <w:pStyle w:val="Compact"/>
              <w:jc w:val="left"/>
            </w:pPr>
            <w:r>
              <w:t xml:space="preserve">Emax</w:t>
            </w:r>
          </w:p>
        </w:tc>
        <w:tc>
          <w:tcPr/>
          <w:p>
            <w:pPr>
              <w:pStyle w:val="Compact"/>
              <w:jc w:val="left"/>
            </w:pPr>
            <w:r>
              <w:t xml:space="preserve">5.2</w:t>
            </w:r>
          </w:p>
        </w:tc>
        <w:tc>
          <w:tcPr/>
          <w:p>
            <w:pPr>
              <w:pStyle w:val="Compact"/>
              <w:jc w:val="left"/>
            </w:pPr>
            <w:r>
              <w:t xml:space="preserve">Parameter Identification-Parameter Identification-Value updated from</w:t>
            </w:r>
            <w:r>
              <w:t xml:space="preserve"> </w:t>
            </w:r>
            <w:r>
              <w:t xml:space="preserve">‘</w:t>
            </w:r>
            <w:r>
              <w:t xml:space="preserve">Parameter Identification 7 (Mida)</w:t>
            </w:r>
            <w:r>
              <w:t xml:space="preserve">’</w:t>
            </w:r>
            <w:r>
              <w:t xml:space="preserve"> </w:t>
            </w:r>
            <w:r>
              <w:t xml:space="preserve">on 2019-10-11 09:02</w:t>
            </w:r>
          </w:p>
        </w:tc>
      </w:tr>
    </w:tbl>
    <w:bookmarkEnd w:id="52"/>
    <w:bookmarkEnd w:id="53"/>
    <w:bookmarkStart w:id="55" w:name="Xfbb585bd3ea04ad12af4aaaab2c22095455c854"/>
    <w:p>
      <w:pPr>
        <w:pStyle w:val="Heading5"/>
      </w:pPr>
      <w:r>
        <w:t xml:space="preserve">Systemic Process: Glomerular Filtration-GFR</w:t>
      </w:r>
    </w:p>
    <w:p>
      <w:pPr>
        <w:pStyle w:val="FirstParagraph"/>
      </w:pPr>
      <w:r>
        <w:t xml:space="preserve">Species: Human</w:t>
      </w:r>
    </w:p>
    <w:bookmarkStart w:id="54" w:name="parameters-10"/>
    <w:p>
      <w:pPr>
        <w:pStyle w:val="Heading6"/>
      </w:pPr>
      <w:r>
        <w:t xml:space="preserve">Parameters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Name</w:t>
            </w:r>
          </w:p>
        </w:tc>
        <w:tc>
          <w:tcPr/>
          <w:p>
            <w:pPr>
              <w:pStyle w:val="Compact"/>
              <w:jc w:val="right"/>
            </w:pPr>
            <w:r>
              <w:t xml:space="preserve">Value</w:t>
            </w:r>
          </w:p>
        </w:tc>
        <w:tc>
          <w:tcPr/>
          <w:p>
            <w:pPr>
              <w:pStyle w:val="Compact"/>
              <w:jc w:val="right"/>
            </w:pPr>
            <w:r>
              <w:t xml:space="preserve">Value Origin</w:t>
            </w:r>
          </w:p>
        </w:tc>
      </w:tr>
      <w:tr>
        <w:tc>
          <w:tcPr/>
          <w:p>
            <w:pPr>
              <w:pStyle w:val="Compact"/>
              <w:jc w:val="left"/>
            </w:pPr>
            <w:r>
              <w:t xml:space="preserve">GFR fraction</w:t>
            </w:r>
          </w:p>
        </w:tc>
        <w:tc>
          <w:tcPr/>
          <w:p>
            <w:pPr>
              <w:pStyle w:val="Compact"/>
              <w:jc w:val="right"/>
            </w:pPr>
            <w:r>
              <w:t xml:space="preserve">1</w:t>
            </w:r>
          </w:p>
        </w:tc>
        <w:tc>
          <w:tcPr/>
          <w:p>
            <w:pPr>
              <w:pStyle w:val="Compact"/>
            </w:pPr>
          </w:p>
        </w:tc>
      </w:tr>
    </w:tbl>
    <w:bookmarkEnd w:id="54"/>
    <w:bookmarkEnd w:id="55"/>
    <w:bookmarkEnd w:id="56"/>
    <w:bookmarkEnd w:id="57"/>
    <w:bookmarkStart w:id="59" w:name="formulation-sustiva"/>
    <w:p>
      <w:pPr>
        <w:pStyle w:val="Heading3"/>
      </w:pPr>
      <w:r>
        <w:t xml:space="preserve">Formulation: Sustiva</w:t>
      </w:r>
    </w:p>
    <w:p>
      <w:pPr>
        <w:pStyle w:val="FirstParagraph"/>
      </w:pPr>
      <w:r>
        <w:t xml:space="preserve">Type: Weibull</w:t>
      </w:r>
    </w:p>
    <w:bookmarkStart w:id="58" w:name="parameters-11"/>
    <w:p>
      <w:pPr>
        <w:pStyle w:val="Heading4"/>
      </w:pPr>
      <w:r>
        <w:t xml:space="preserve">Parameters</w:t>
      </w:r>
    </w:p>
    <w:tbl>
      <w:tblPr>
        <w:tblStyle w:val="Table"/>
        <w:tblW w:type="pct" w:w="5000"/>
        <w:tblLook w:firstRow="1" w:lastRow="0" w:firstColumn="0" w:lastColumn="0" w:noHBand="0" w:noVBand="0" w:val="0020"/>
        <w:jc w:val="start"/>
      </w:tblPr>
      <w:tblGrid>
        <w:gridCol w:w="1508"/>
        <w:gridCol w:w="565"/>
        <w:gridCol w:w="5845"/>
      </w:tblGrid>
      <w:tr>
        <w:trPr>
          <w:tblHeader w:val="true"/>
        </w:trPr>
        <w:tc>
          <w:tcPr/>
          <w:p>
            <w:pPr>
              <w:pStyle w:val="Compact"/>
              <w:jc w:val="left"/>
            </w:pPr>
            <w:r>
              <w:t xml:space="preserve">Name</w:t>
            </w:r>
          </w:p>
        </w:tc>
        <w:tc>
          <w:tcPr/>
          <w:p>
            <w:pPr>
              <w:pStyle w:val="Compact"/>
              <w:jc w:val="left"/>
            </w:pPr>
            <w:r>
              <w:t xml:space="preserve">Value</w:t>
            </w:r>
          </w:p>
        </w:tc>
        <w:tc>
          <w:tcPr/>
          <w:p>
            <w:pPr>
              <w:pStyle w:val="Compact"/>
              <w:jc w:val="left"/>
            </w:pPr>
            <w:r>
              <w:t xml:space="preserve">Value Origin</w:t>
            </w:r>
          </w:p>
        </w:tc>
      </w:tr>
      <w:tr>
        <w:tc>
          <w:tcPr/>
          <w:p>
            <w:pPr>
              <w:pStyle w:val="Compact"/>
              <w:jc w:val="left"/>
            </w:pPr>
            <w:r>
              <w:t xml:space="preserve">Dissolution time (50% dissolved)</w:t>
            </w:r>
          </w:p>
        </w:tc>
        <w:tc>
          <w:tcPr/>
          <w:p>
            <w:pPr>
              <w:pStyle w:val="Compact"/>
              <w:jc w:val="left"/>
            </w:pPr>
            <w:r>
              <w:t xml:space="preserve">60 min</w:t>
            </w:r>
          </w:p>
        </w:tc>
        <w:tc>
          <w:tcPr/>
          <w:p>
            <w:pPr>
              <w:pStyle w:val="Compact"/>
              <w:jc w:val="left"/>
            </w:pPr>
            <w:r>
              <w:t xml:space="preserve">Parameter Identification-Parameter Identification-Value updated from</w:t>
            </w:r>
            <w:r>
              <w:t xml:space="preserve"> </w:t>
            </w:r>
            <w:r>
              <w:t xml:space="preserve">‘</w:t>
            </w:r>
            <w:r>
              <w:t xml:space="preserve">Parameter Identification 7 (Mida)</w:t>
            </w:r>
            <w:r>
              <w:t xml:space="preserve">’</w:t>
            </w:r>
            <w:r>
              <w:t xml:space="preserve"> </w:t>
            </w:r>
            <w:r>
              <w:t xml:space="preserve">on 2019-10-11 09:02</w:t>
            </w:r>
          </w:p>
        </w:tc>
      </w:tr>
      <w:tr>
        <w:tc>
          <w:tcPr/>
          <w:p>
            <w:pPr>
              <w:pStyle w:val="Compact"/>
              <w:jc w:val="left"/>
            </w:pPr>
            <w:r>
              <w:t xml:space="preserve">Lag time</w:t>
            </w:r>
          </w:p>
        </w:tc>
        <w:tc>
          <w:tcPr/>
          <w:p>
            <w:pPr>
              <w:pStyle w:val="Compact"/>
              <w:jc w:val="left"/>
            </w:pPr>
            <w:r>
              <w:t xml:space="preserve">0 min</w:t>
            </w:r>
          </w:p>
        </w:tc>
        <w:tc>
          <w:tcPr/>
          <w:p>
            <w:pPr>
              <w:pStyle w:val="Compact"/>
            </w:pPr>
          </w:p>
        </w:tc>
      </w:tr>
      <w:tr>
        <w:tc>
          <w:tcPr/>
          <w:p>
            <w:pPr>
              <w:pStyle w:val="Compact"/>
              <w:jc w:val="left"/>
            </w:pPr>
            <w:r>
              <w:t xml:space="preserve">Dissolution shape</w:t>
            </w:r>
          </w:p>
        </w:tc>
        <w:tc>
          <w:tcPr/>
          <w:p>
            <w:pPr>
              <w:pStyle w:val="Compact"/>
              <w:jc w:val="left"/>
            </w:pPr>
            <w:r>
              <w:t xml:space="preserve">0.2720936819</w:t>
            </w:r>
          </w:p>
        </w:tc>
        <w:tc>
          <w:tcPr/>
          <w:p>
            <w:pPr>
              <w:pStyle w:val="Compact"/>
              <w:jc w:val="left"/>
            </w:pPr>
            <w:r>
              <w:t xml:space="preserve">Parameter Identification-Parameter Identification-Value updated from</w:t>
            </w:r>
            <w:r>
              <w:t xml:space="preserve"> </w:t>
            </w:r>
            <w:r>
              <w:t xml:space="preserve">‘</w:t>
            </w:r>
            <w:r>
              <w:t xml:space="preserve">Parameter Identification 7 (Mida)</w:t>
            </w:r>
            <w:r>
              <w:t xml:space="preserve">’</w:t>
            </w:r>
            <w:r>
              <w:t xml:space="preserve"> </w:t>
            </w:r>
            <w:r>
              <w:t xml:space="preserve">on 2019-10-11 09:02</w:t>
            </w:r>
          </w:p>
        </w:tc>
      </w:tr>
      <w:tr>
        <w:tc>
          <w:tcPr/>
          <w:p>
            <w:pPr>
              <w:pStyle w:val="Compact"/>
              <w:jc w:val="left"/>
            </w:pPr>
            <w:r>
              <w:t xml:space="preserve">Use as suspension</w:t>
            </w:r>
          </w:p>
        </w:tc>
        <w:tc>
          <w:tcPr/>
          <w:p>
            <w:pPr>
              <w:pStyle w:val="Compact"/>
              <w:jc w:val="left"/>
            </w:pPr>
            <w:r>
              <w:t xml:space="preserve">Yes</w:t>
            </w:r>
          </w:p>
        </w:tc>
        <w:tc>
          <w:tcPr/>
          <w:p>
            <w:pPr>
              <w:pStyle w:val="Compact"/>
            </w:pPr>
          </w:p>
        </w:tc>
      </w:tr>
    </w:tbl>
    <w:bookmarkEnd w:id="58"/>
    <w:bookmarkEnd w:id="59"/>
    <w:bookmarkEnd w:id="60"/>
    <w:bookmarkStart w:id="67" w:name="diagnostics-plots"/>
    <w:p>
      <w:pPr>
        <w:pStyle w:val="Heading2"/>
      </w:pPr>
      <w:r>
        <w:t xml:space="preserve">Diagnostics Plots</w:t>
      </w:r>
      <w:bookmarkStart w:id="diagnostics-plots" w:name="diagnostics-plots"/>
      <w:bookmarkEnd w:id="diagnostics-plots"/>
    </w:p>
    <w:p>
      <w:pPr>
        <w:pStyle w:val="FirstParagraph"/>
      </w:pPr>
      <w:r>
        <w:t xml:space="preserve">Below you find the goodness-of-fit visual diagnostic plots for the PBPK model performance of all data used presented in</w:t>
      </w:r>
      <w:r>
        <w:t xml:space="preserve"> </w:t>
      </w:r>
      <w:hyperlink w:anchor="X7ecbd1fd734a207de60ff9705c88346a68b0398">
        <w:r>
          <w:rPr>
            <w:rStyle w:val="Hyperlink"/>
          </w:rPr>
          <w:t xml:space="preserve">Section 2.2.2</w:t>
        </w:r>
      </w:hyperlink>
      <w:r>
        <w:t xml:space="preserve">.</w:t>
      </w:r>
    </w:p>
    <w:p>
      <w:pPr>
        <w:pStyle w:val="BodyText"/>
      </w:pPr>
      <w:r>
        <w:t xml:space="preserve">The first plot shows simulated versus observed plasma concentration, the second weighted residuals versus time.</w:t>
      </w:r>
    </w:p>
    <w:br w:type="page"/>
    <w:p>
      <w:pPr>
        <w:pStyle w:val="BodyText"/>
      </w:pPr>
      <w:bookmarkStart w:id="table-3-1" w:name="table-3-1"/>
      <w:bookmarkEnd w:id="table-3-1"/>
    </w:p>
    <w:p>
      <w:pPr>
        <w:pStyle w:val="BodyText"/>
      </w:pPr>
      <w:r>
        <w:rPr>
          <w:bCs/>
          <w:b/>
        </w:rPr>
        <w:t xml:space="preserve">Table 3-1: GMFE for Goodness of fit plot for concentration in plasma</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Group</w:t>
            </w:r>
          </w:p>
        </w:tc>
        <w:tc>
          <w:tcPr/>
          <w:p>
            <w:pPr>
              <w:pStyle w:val="Compact"/>
              <w:jc w:val="left"/>
            </w:pPr>
            <w:r>
              <w:t xml:space="preserve">GMFE</w:t>
            </w:r>
          </w:p>
        </w:tc>
      </w:tr>
      <w:tr>
        <w:tc>
          <w:tcPr/>
          <w:p>
            <w:pPr>
              <w:pStyle w:val="Compact"/>
              <w:jc w:val="left"/>
            </w:pPr>
            <w:r>
              <w:t xml:space="preserve">First dose administration</w:t>
            </w:r>
          </w:p>
        </w:tc>
        <w:tc>
          <w:tcPr/>
          <w:p>
            <w:pPr>
              <w:pStyle w:val="Compact"/>
              <w:jc w:val="left"/>
            </w:pPr>
            <w:r>
              <w:t xml:space="preserve">1.47</w:t>
            </w:r>
          </w:p>
        </w:tc>
      </w:tr>
      <w:tr>
        <w:tc>
          <w:tcPr/>
          <w:p>
            <w:pPr>
              <w:pStyle w:val="Compact"/>
              <w:jc w:val="left"/>
            </w:pPr>
            <w:r>
              <w:t xml:space="preserve">Multiple dose administration</w:t>
            </w:r>
          </w:p>
        </w:tc>
        <w:tc>
          <w:tcPr/>
          <w:p>
            <w:pPr>
              <w:pStyle w:val="Compact"/>
              <w:jc w:val="left"/>
            </w:pPr>
            <w:r>
              <w:t xml:space="preserve">1.40</w:t>
            </w:r>
          </w:p>
        </w:tc>
      </w:tr>
      <w:tr>
        <w:tc>
          <w:tcPr/>
          <w:p>
            <w:pPr>
              <w:pStyle w:val="Compact"/>
              <w:jc w:val="left"/>
            </w:pPr>
            <w:r>
              <w:t xml:space="preserve">All</w:t>
            </w:r>
          </w:p>
        </w:tc>
        <w:tc>
          <w:tcPr/>
          <w:p>
            <w:pPr>
              <w:pStyle w:val="Compact"/>
              <w:jc w:val="left"/>
            </w:pPr>
            <w:r>
              <w:t xml:space="preserve">1.45</w:t>
            </w:r>
          </w:p>
        </w:tc>
      </w:tr>
    </w:tbl>
    <w:p>
      <w:pPr>
        <w:pStyle w:val="BodyText"/>
      </w:pPr>
      <w:r>
        <w:t xml:space="preserve"> </w:t>
      </w:r>
    </w:p>
    <w:br w:type="page"/>
    <w:p>
      <w:pPr>
        <w:pStyle w:val="BodyText"/>
      </w:pPr>
      <w:bookmarkStart w:id="figure-3-1" w:name="figure-3-1"/>
      <w:bookmarkEnd w:id="figure-3-1"/>
    </w:p>
    <w:p>
      <w:pPr>
        <w:pStyle w:val="BodyText"/>
      </w:pPr>
      <w:r>
        <w:drawing>
          <wp:inline>
            <wp:extent cx="5969000" cy="6546371"/>
            <wp:effectExtent b="0" l="0" r="0" t="0"/>
            <wp:docPr descr="" title="" id="62" name="Picture"/>
            <a:graphic>
              <a:graphicData uri="http://schemas.openxmlformats.org/drawingml/2006/picture">
                <pic:pic>
                  <pic:nvPicPr>
                    <pic:cNvPr descr="images/006_section_results-and-discussion/008_section_diagnostics-plots/2_gof_plot_predictedVsObserved.png" id="63" name="Picture"/>
                    <pic:cNvPicPr>
                      <a:picLocks noChangeArrowheads="1" noChangeAspect="1"/>
                    </pic:cNvPicPr>
                  </pic:nvPicPr>
                  <pic:blipFill>
                    <a:blip r:embed="rId61"/>
                    <a:stretch>
                      <a:fillRect/>
                    </a:stretch>
                  </pic:blipFill>
                  <pic:spPr bwMode="auto">
                    <a:xfrm>
                      <a:off x="0" y="0"/>
                      <a:ext cx="5969000" cy="6546371"/>
                    </a:xfrm>
                    <a:prstGeom prst="rect">
                      <a:avLst/>
                    </a:prstGeom>
                    <a:noFill/>
                    <a:ln w="9525">
                      <a:noFill/>
                      <a:headEnd/>
                      <a:tailEnd/>
                    </a:ln>
                  </pic:spPr>
                </pic:pic>
              </a:graphicData>
            </a:graphic>
          </wp:inline>
        </w:drawing>
      </w:r>
    </w:p>
    <w:p>
      <w:pPr>
        <w:pStyle w:val="BodyText"/>
      </w:pPr>
      <w:r>
        <w:rPr>
          <w:bCs/>
          <w:b/>
        </w:rPr>
        <w:t xml:space="preserve">Figure 3-1: Goodness of fit plot for concentration in plasma</w:t>
      </w:r>
    </w:p>
    <w:p>
      <w:pPr>
        <w:pStyle w:val="BodyText"/>
      </w:pPr>
      <w:r>
        <w:t xml:space="preserve"> </w:t>
      </w:r>
    </w:p>
    <w:br w:type="page"/>
    <w:p>
      <w:pPr>
        <w:pStyle w:val="BodyText"/>
      </w:pPr>
      <w:bookmarkStart w:id="figure-3-2" w:name="figure-3-2"/>
      <w:bookmarkEnd w:id="figure-3-2"/>
    </w:p>
    <w:p>
      <w:pPr>
        <w:pStyle w:val="BodyText"/>
      </w:pPr>
      <w:r>
        <w:drawing>
          <wp:inline>
            <wp:extent cx="5969000" cy="4339701"/>
            <wp:effectExtent b="0" l="0" r="0" t="0"/>
            <wp:docPr descr="" title="" id="65" name="Picture"/>
            <a:graphic>
              <a:graphicData uri="http://schemas.openxmlformats.org/drawingml/2006/picture">
                <pic:pic>
                  <pic:nvPicPr>
                    <pic:cNvPr descr="images/006_section_results-and-discussion/008_section_diagnostics-plots/3_gof_plot_residualsOverTime.png" id="66" name="Picture"/>
                    <pic:cNvPicPr>
                      <a:picLocks noChangeArrowheads="1" noChangeAspect="1"/>
                    </pic:cNvPicPr>
                  </pic:nvPicPr>
                  <pic:blipFill>
                    <a:blip r:embed="rId64"/>
                    <a:stretch>
                      <a:fillRect/>
                    </a:stretch>
                  </pic:blipFill>
                  <pic:spPr bwMode="auto">
                    <a:xfrm>
                      <a:off x="0" y="0"/>
                      <a:ext cx="5969000" cy="4339701"/>
                    </a:xfrm>
                    <a:prstGeom prst="rect">
                      <a:avLst/>
                    </a:prstGeom>
                    <a:noFill/>
                    <a:ln w="9525">
                      <a:noFill/>
                      <a:headEnd/>
                      <a:tailEnd/>
                    </a:ln>
                  </pic:spPr>
                </pic:pic>
              </a:graphicData>
            </a:graphic>
          </wp:inline>
        </w:drawing>
      </w:r>
    </w:p>
    <w:p>
      <w:pPr>
        <w:pStyle w:val="BodyText"/>
      </w:pPr>
      <w:r>
        <w:rPr>
          <w:bCs/>
          <w:b/>
        </w:rPr>
        <w:t xml:space="preserve">Figure 3-2: Goodness of fit plot for concentration in plasma</w:t>
      </w:r>
    </w:p>
    <w:p>
      <w:pPr>
        <w:pStyle w:val="BodyText"/>
      </w:pPr>
      <w:r>
        <w:t xml:space="preserve"> </w:t>
      </w:r>
    </w:p>
    <w:bookmarkEnd w:id="67"/>
    <w:bookmarkStart w:id="130" w:name="concentration-time-profiles"/>
    <w:p>
      <w:pPr>
        <w:pStyle w:val="Heading2"/>
      </w:pPr>
      <w:r>
        <w:t xml:space="preserve">Concentration-Time Profiles</w:t>
      </w:r>
      <w:bookmarkStart w:id="ct-profiles" w:name="ct-profiles"/>
      <w:bookmarkEnd w:id="ct-profiles"/>
    </w:p>
    <w:p>
      <w:pPr>
        <w:pStyle w:val="FirstParagraph"/>
      </w:pPr>
      <w:r>
        <w:t xml:space="preserve">Simulated versus observed concentration-time profiles of all data listed in</w:t>
      </w:r>
      <w:r>
        <w:t xml:space="preserve"> </w:t>
      </w:r>
      <w:hyperlink w:anchor="X7ecbd1fd734a207de60ff9705c88346a68b0398">
        <w:r>
          <w:rPr>
            <w:rStyle w:val="Hyperlink"/>
          </w:rPr>
          <w:t xml:space="preserve">Section 2.2.2</w:t>
        </w:r>
      </w:hyperlink>
      <w:r>
        <w:t xml:space="preserve"> </w:t>
      </w:r>
      <w:r>
        <w:t xml:space="preserve">are presented below.</w:t>
      </w:r>
    </w:p>
    <w:bookmarkStart w:id="116" w:name="model-building-1"/>
    <w:p>
      <w:pPr>
        <w:pStyle w:val="Heading3"/>
      </w:pPr>
      <w:r>
        <w:t xml:space="preserve">Model Building</w:t>
      </w:r>
      <w:bookmarkStart w:id="model-building" w:name="model-building"/>
      <w:bookmarkEnd w:id="model-building"/>
    </w:p>
    <w:br w:type="page"/>
    <w:p>
      <w:pPr>
        <w:pStyle w:val="FirstParagraph"/>
      </w:pPr>
      <w:bookmarkStart w:id="figure-3-3" w:name="figure-3-3"/>
      <w:bookmarkEnd w:id="figure-3-3"/>
    </w:p>
    <w:p>
      <w:pPr>
        <w:pStyle w:val="BodyText"/>
      </w:pPr>
      <w:r>
        <w:drawing>
          <wp:inline>
            <wp:extent cx="5969000" cy="4242287"/>
            <wp:effectExtent b="0" l="0" r="0" t="0"/>
            <wp:docPr descr="" title="" id="69" name="Picture"/>
            <a:graphic>
              <a:graphicData uri="http://schemas.openxmlformats.org/drawingml/2006/picture">
                <pic:pic>
                  <pic:nvPicPr>
                    <pic:cNvPr descr="images/006_section_results-and-discussion/009_section_ct-profiles/010_section_model-building/1_time_profile_plot_Efavirenz_Ogburn_2010__600mg_SD.png" id="70" name="Picture"/>
                    <pic:cNvPicPr>
                      <a:picLocks noChangeArrowheads="1" noChangeAspect="1"/>
                    </pic:cNvPicPr>
                  </pic:nvPicPr>
                  <pic:blipFill>
                    <a:blip r:embed="rId68"/>
                    <a:stretch>
                      <a:fillRect/>
                    </a:stretch>
                  </pic:blipFill>
                  <pic:spPr bwMode="auto">
                    <a:xfrm>
                      <a:off x="0" y="0"/>
                      <a:ext cx="5969000" cy="4242287"/>
                    </a:xfrm>
                    <a:prstGeom prst="rect">
                      <a:avLst/>
                    </a:prstGeom>
                    <a:noFill/>
                    <a:ln w="9525">
                      <a:noFill/>
                      <a:headEnd/>
                      <a:tailEnd/>
                    </a:ln>
                  </pic:spPr>
                </pic:pic>
              </a:graphicData>
            </a:graphic>
          </wp:inline>
        </w:drawing>
      </w:r>
    </w:p>
    <w:p>
      <w:pPr>
        <w:pStyle w:val="BodyText"/>
      </w:pPr>
      <w:r>
        <w:rPr>
          <w:bCs/>
          <w:b/>
        </w:rPr>
        <w:t xml:space="preserve">Figure 3-3: Ogburn 2010, 600mg SD</w:t>
      </w:r>
    </w:p>
    <w:p>
      <w:pPr>
        <w:pStyle w:val="BodyText"/>
      </w:pPr>
      <w:r>
        <w:t xml:space="preserve"> </w:t>
      </w:r>
    </w:p>
    <w:br w:type="page"/>
    <w:p>
      <w:pPr>
        <w:pStyle w:val="BodyText"/>
      </w:pPr>
      <w:bookmarkStart w:id="figure-3-4" w:name="figure-3-4"/>
      <w:bookmarkEnd w:id="figure-3-4"/>
    </w:p>
    <w:p>
      <w:pPr>
        <w:pStyle w:val="BodyText"/>
      </w:pPr>
      <w:r>
        <w:drawing>
          <wp:inline>
            <wp:extent cx="5969000" cy="4853513"/>
            <wp:effectExtent b="0" l="0" r="0" t="0"/>
            <wp:docPr descr="" title="" id="72" name="Picture"/>
            <a:graphic>
              <a:graphicData uri="http://schemas.openxmlformats.org/drawingml/2006/picture">
                <pic:pic>
                  <pic:nvPicPr>
                    <pic:cNvPr descr="images/006_section_results-and-discussion/009_section_ct-profiles/010_section_model-building/2_time_profile_plot_Efavirenz_Xu_2013__600mg_SD_EM.png" id="73" name="Picture"/>
                    <pic:cNvPicPr>
                      <a:picLocks noChangeArrowheads="1" noChangeAspect="1"/>
                    </pic:cNvPicPr>
                  </pic:nvPicPr>
                  <pic:blipFill>
                    <a:blip r:embed="rId71"/>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3-4: Xu 2013, 600mg SD EM</w:t>
      </w:r>
    </w:p>
    <w:p>
      <w:pPr>
        <w:pStyle w:val="BodyText"/>
      </w:pPr>
      <w:r>
        <w:t xml:space="preserve"> </w:t>
      </w:r>
    </w:p>
    <w:br w:type="page"/>
    <w:p>
      <w:pPr>
        <w:pStyle w:val="BodyText"/>
      </w:pPr>
      <w:bookmarkStart w:id="figure-3-5" w:name="figure-3-5"/>
      <w:bookmarkEnd w:id="figure-3-5"/>
    </w:p>
    <w:p>
      <w:pPr>
        <w:pStyle w:val="BodyText"/>
      </w:pPr>
      <w:r>
        <w:drawing>
          <wp:inline>
            <wp:extent cx="5969000" cy="4853513"/>
            <wp:effectExtent b="0" l="0" r="0" t="0"/>
            <wp:docPr descr="" title="" id="75" name="Picture"/>
            <a:graphic>
              <a:graphicData uri="http://schemas.openxmlformats.org/drawingml/2006/picture">
                <pic:pic>
                  <pic:nvPicPr>
                    <pic:cNvPr descr="images/006_section_results-and-discussion/009_section_ct-profiles/010_section_model-building/3_time_profile_plot_Efavirenz_Xu_2013__600mg_SD_IM.png" id="76" name="Picture"/>
                    <pic:cNvPicPr>
                      <a:picLocks noChangeArrowheads="1" noChangeAspect="1"/>
                    </pic:cNvPicPr>
                  </pic:nvPicPr>
                  <pic:blipFill>
                    <a:blip r:embed="rId74"/>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3-5: Xu 2013, 600mg SD IM</w:t>
      </w:r>
    </w:p>
    <w:p>
      <w:pPr>
        <w:pStyle w:val="BodyText"/>
      </w:pPr>
      <w:r>
        <w:t xml:space="preserve"> </w:t>
      </w:r>
    </w:p>
    <w:br w:type="page"/>
    <w:p>
      <w:pPr>
        <w:pStyle w:val="BodyText"/>
      </w:pPr>
      <w:bookmarkStart w:id="figure-3-6" w:name="figure-3-6"/>
      <w:bookmarkEnd w:id="figure-3-6"/>
    </w:p>
    <w:p>
      <w:pPr>
        <w:pStyle w:val="BodyText"/>
      </w:pPr>
      <w:r>
        <w:drawing>
          <wp:inline>
            <wp:extent cx="5969000" cy="4853513"/>
            <wp:effectExtent b="0" l="0" r="0" t="0"/>
            <wp:docPr descr="" title="" id="78" name="Picture"/>
            <a:graphic>
              <a:graphicData uri="http://schemas.openxmlformats.org/drawingml/2006/picture">
                <pic:pic>
                  <pic:nvPicPr>
                    <pic:cNvPr descr="images/006_section_results-and-discussion/009_section_ct-profiles/010_section_model-building/4_time_profile_plot_Efavirenz_Xu_2013__600mg_SD_PM.png" id="79" name="Picture"/>
                    <pic:cNvPicPr>
                      <a:picLocks noChangeArrowheads="1" noChangeAspect="1"/>
                    </pic:cNvPicPr>
                  </pic:nvPicPr>
                  <pic:blipFill>
                    <a:blip r:embed="rId77"/>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3-6: Xu 2013, 600mg SD PM</w:t>
      </w:r>
    </w:p>
    <w:p>
      <w:pPr>
        <w:pStyle w:val="BodyText"/>
      </w:pPr>
      <w:r>
        <w:t xml:space="preserve"> </w:t>
      </w:r>
    </w:p>
    <w:br w:type="page"/>
    <w:p>
      <w:pPr>
        <w:pStyle w:val="BodyText"/>
      </w:pPr>
      <w:bookmarkStart w:id="figure-3-7" w:name="figure-3-7"/>
      <w:bookmarkEnd w:id="figure-3-7"/>
    </w:p>
    <w:p>
      <w:pPr>
        <w:pStyle w:val="BodyText"/>
      </w:pPr>
      <w:r>
        <w:drawing>
          <wp:inline>
            <wp:extent cx="5969000" cy="5464738"/>
            <wp:effectExtent b="0" l="0" r="0" t="0"/>
            <wp:docPr descr="" title="" id="81" name="Picture"/>
            <a:graphic>
              <a:graphicData uri="http://schemas.openxmlformats.org/drawingml/2006/picture">
                <pic:pic>
                  <pic:nvPicPr>
                    <pic:cNvPr descr="images/006_section_results-and-discussion/009_section_ct-profiles/010_section_model-building/5_time_profile_plot_Efavirenz_Mouly_2002__200mg_MD.png" id="82" name="Picture"/>
                    <pic:cNvPicPr>
                      <a:picLocks noChangeArrowheads="1" noChangeAspect="1"/>
                    </pic:cNvPicPr>
                  </pic:nvPicPr>
                  <pic:blipFill>
                    <a:blip r:embed="rId80"/>
                    <a:stretch>
                      <a:fillRect/>
                    </a:stretch>
                  </pic:blipFill>
                  <pic:spPr bwMode="auto">
                    <a:xfrm>
                      <a:off x="0" y="0"/>
                      <a:ext cx="5969000" cy="5464738"/>
                    </a:xfrm>
                    <a:prstGeom prst="rect">
                      <a:avLst/>
                    </a:prstGeom>
                    <a:noFill/>
                    <a:ln w="9525">
                      <a:noFill/>
                      <a:headEnd/>
                      <a:tailEnd/>
                    </a:ln>
                  </pic:spPr>
                </pic:pic>
              </a:graphicData>
            </a:graphic>
          </wp:inline>
        </w:drawing>
      </w:r>
    </w:p>
    <w:p>
      <w:pPr>
        <w:pStyle w:val="BodyText"/>
      </w:pPr>
      <w:r>
        <w:rPr>
          <w:bCs/>
          <w:b/>
        </w:rPr>
        <w:t xml:space="preserve">Figure 3-7: Mouly 2002, 200mg MD</w:t>
      </w:r>
    </w:p>
    <w:p>
      <w:pPr>
        <w:pStyle w:val="BodyText"/>
      </w:pPr>
      <w:r>
        <w:t xml:space="preserve"> </w:t>
      </w:r>
    </w:p>
    <w:br w:type="page"/>
    <w:p>
      <w:pPr>
        <w:pStyle w:val="BodyText"/>
      </w:pPr>
      <w:bookmarkStart w:id="figure-3-8" w:name="figure-3-8"/>
      <w:bookmarkEnd w:id="figure-3-8"/>
    </w:p>
    <w:p>
      <w:pPr>
        <w:pStyle w:val="BodyText"/>
      </w:pPr>
      <w:r>
        <w:drawing>
          <wp:inline>
            <wp:extent cx="5969000" cy="5464738"/>
            <wp:effectExtent b="0" l="0" r="0" t="0"/>
            <wp:docPr descr="" title="" id="84" name="Picture"/>
            <a:graphic>
              <a:graphicData uri="http://schemas.openxmlformats.org/drawingml/2006/picture">
                <pic:pic>
                  <pic:nvPicPr>
                    <pic:cNvPr descr="images/006_section_results-and-discussion/009_section_ct-profiles/010_section_model-building/6_time_profile_plot_Efavirenz_Mouly_2002__400mg_MD.png" id="85" name="Picture"/>
                    <pic:cNvPicPr>
                      <a:picLocks noChangeArrowheads="1" noChangeAspect="1"/>
                    </pic:cNvPicPr>
                  </pic:nvPicPr>
                  <pic:blipFill>
                    <a:blip r:embed="rId83"/>
                    <a:stretch>
                      <a:fillRect/>
                    </a:stretch>
                  </pic:blipFill>
                  <pic:spPr bwMode="auto">
                    <a:xfrm>
                      <a:off x="0" y="0"/>
                      <a:ext cx="5969000" cy="5464738"/>
                    </a:xfrm>
                    <a:prstGeom prst="rect">
                      <a:avLst/>
                    </a:prstGeom>
                    <a:noFill/>
                    <a:ln w="9525">
                      <a:noFill/>
                      <a:headEnd/>
                      <a:tailEnd/>
                    </a:ln>
                  </pic:spPr>
                </pic:pic>
              </a:graphicData>
            </a:graphic>
          </wp:inline>
        </w:drawing>
      </w:r>
    </w:p>
    <w:p>
      <w:pPr>
        <w:pStyle w:val="BodyText"/>
      </w:pPr>
      <w:r>
        <w:rPr>
          <w:bCs/>
          <w:b/>
        </w:rPr>
        <w:t xml:space="preserve">Figure 3-8: Mouly 2002, 400mg MD</w:t>
      </w:r>
    </w:p>
    <w:p>
      <w:pPr>
        <w:pStyle w:val="BodyText"/>
      </w:pPr>
      <w:r>
        <w:t xml:space="preserve"> </w:t>
      </w:r>
    </w:p>
    <w:br w:type="page"/>
    <w:p>
      <w:pPr>
        <w:pStyle w:val="BodyText"/>
      </w:pPr>
      <w:bookmarkStart w:id="figure-3-9" w:name="figure-3-9"/>
      <w:bookmarkEnd w:id="figure-3-9"/>
    </w:p>
    <w:p>
      <w:pPr>
        <w:pStyle w:val="BodyText"/>
      </w:pPr>
      <w:r>
        <w:drawing>
          <wp:inline>
            <wp:extent cx="5969000" cy="6075964"/>
            <wp:effectExtent b="0" l="0" r="0" t="0"/>
            <wp:docPr descr="" title="" id="87" name="Picture"/>
            <a:graphic>
              <a:graphicData uri="http://schemas.openxmlformats.org/drawingml/2006/picture">
                <pic:pic>
                  <pic:nvPicPr>
                    <pic:cNvPr descr="images/006_section_results-and-discussion/009_section_ct-profiles/010_section_model-building/7_time_profile_plot_Efavirenz_Liu_2008__400_mg_PO_OD.png" id="88" name="Picture"/>
                    <pic:cNvPicPr>
                      <a:picLocks noChangeArrowheads="1" noChangeAspect="1"/>
                    </pic:cNvPicPr>
                  </pic:nvPicPr>
                  <pic:blipFill>
                    <a:blip r:embed="rId86"/>
                    <a:stretch>
                      <a:fillRect/>
                    </a:stretch>
                  </pic:blipFill>
                  <pic:spPr bwMode="auto">
                    <a:xfrm>
                      <a:off x="0" y="0"/>
                      <a:ext cx="5969000" cy="6075964"/>
                    </a:xfrm>
                    <a:prstGeom prst="rect">
                      <a:avLst/>
                    </a:prstGeom>
                    <a:noFill/>
                    <a:ln w="9525">
                      <a:noFill/>
                      <a:headEnd/>
                      <a:tailEnd/>
                    </a:ln>
                  </pic:spPr>
                </pic:pic>
              </a:graphicData>
            </a:graphic>
          </wp:inline>
        </w:drawing>
      </w:r>
    </w:p>
    <w:p>
      <w:pPr>
        <w:pStyle w:val="BodyText"/>
      </w:pPr>
      <w:r>
        <w:rPr>
          <w:bCs/>
          <w:b/>
        </w:rPr>
        <w:t xml:space="preserve">Figure 3-9: Liu 2008, 400 mg PO OD</w:t>
      </w:r>
    </w:p>
    <w:p>
      <w:pPr>
        <w:pStyle w:val="BodyText"/>
      </w:pPr>
      <w:r>
        <w:t xml:space="preserve"> </w:t>
      </w:r>
    </w:p>
    <w:br w:type="page"/>
    <w:p>
      <w:pPr>
        <w:pStyle w:val="BodyText"/>
      </w:pPr>
      <w:bookmarkStart w:id="figure-3-10" w:name="figure-3-10"/>
      <w:bookmarkEnd w:id="figure-3-10"/>
    </w:p>
    <w:p>
      <w:pPr>
        <w:pStyle w:val="BodyText"/>
      </w:pPr>
      <w:r>
        <w:drawing>
          <wp:inline>
            <wp:extent cx="5969000" cy="4853513"/>
            <wp:effectExtent b="0" l="0" r="0" t="0"/>
            <wp:docPr descr="" title="" id="90" name="Picture"/>
            <a:graphic>
              <a:graphicData uri="http://schemas.openxmlformats.org/drawingml/2006/picture">
                <pic:pic>
                  <pic:nvPicPr>
                    <pic:cNvPr descr="images/006_section_results-and-discussion/009_section_ct-profiles/010_section_model-building/8_time_profile_plot_Efavirenz_Dooley_2012__600mg_MD_EM.png" id="91" name="Picture"/>
                    <pic:cNvPicPr>
                      <a:picLocks noChangeArrowheads="1" noChangeAspect="1"/>
                    </pic:cNvPicPr>
                  </pic:nvPicPr>
                  <pic:blipFill>
                    <a:blip r:embed="rId89"/>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3-10: Dooley 2012, 600mg MD EM</w:t>
      </w:r>
    </w:p>
    <w:p>
      <w:pPr>
        <w:pStyle w:val="BodyText"/>
      </w:pPr>
      <w:r>
        <w:t xml:space="preserve"> </w:t>
      </w:r>
    </w:p>
    <w:br w:type="page"/>
    <w:p>
      <w:pPr>
        <w:pStyle w:val="BodyText"/>
      </w:pPr>
      <w:bookmarkStart w:id="figure-3-11" w:name="figure-3-11"/>
      <w:bookmarkEnd w:id="figure-3-11"/>
    </w:p>
    <w:p>
      <w:pPr>
        <w:pStyle w:val="BodyText"/>
      </w:pPr>
      <w:r>
        <w:drawing>
          <wp:inline>
            <wp:extent cx="5969000" cy="4853513"/>
            <wp:effectExtent b="0" l="0" r="0" t="0"/>
            <wp:docPr descr="" title="" id="93" name="Picture"/>
            <a:graphic>
              <a:graphicData uri="http://schemas.openxmlformats.org/drawingml/2006/picture">
                <pic:pic>
                  <pic:nvPicPr>
                    <pic:cNvPr descr="images/006_section_results-and-discussion/009_section_ct-profiles/010_section_model-building/9_time_profile_plot_Efavirenz_Dooley_2012__600mg_MD_EM.png" id="94" name="Picture"/>
                    <pic:cNvPicPr>
                      <a:picLocks noChangeArrowheads="1" noChangeAspect="1"/>
                    </pic:cNvPicPr>
                  </pic:nvPicPr>
                  <pic:blipFill>
                    <a:blip r:embed="rId92"/>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3-11: Dooley 2012, 600mg MD EM</w:t>
      </w:r>
    </w:p>
    <w:p>
      <w:pPr>
        <w:pStyle w:val="BodyText"/>
      </w:pPr>
      <w:r>
        <w:t xml:space="preserve"> </w:t>
      </w:r>
    </w:p>
    <w:br w:type="page"/>
    <w:p>
      <w:pPr>
        <w:pStyle w:val="BodyText"/>
      </w:pPr>
      <w:bookmarkStart w:id="figure-3-12" w:name="figure-3-12"/>
      <w:bookmarkEnd w:id="figure-3-12"/>
    </w:p>
    <w:p>
      <w:pPr>
        <w:pStyle w:val="BodyText"/>
      </w:pPr>
      <w:r>
        <w:drawing>
          <wp:inline>
            <wp:extent cx="5969000" cy="4853513"/>
            <wp:effectExtent b="0" l="0" r="0" t="0"/>
            <wp:docPr descr="" title="" id="96" name="Picture"/>
            <a:graphic>
              <a:graphicData uri="http://schemas.openxmlformats.org/drawingml/2006/picture">
                <pic:pic>
                  <pic:nvPicPr>
                    <pic:cNvPr descr="images/006_section_results-and-discussion/009_section_ct-profiles/010_section_model-building/10_time_profile_plot_Efavirenz_Dooley_2012__600mg_MD_IM.png" id="97" name="Picture"/>
                    <pic:cNvPicPr>
                      <a:picLocks noChangeArrowheads="1" noChangeAspect="1"/>
                    </pic:cNvPicPr>
                  </pic:nvPicPr>
                  <pic:blipFill>
                    <a:blip r:embed="rId95"/>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3-12: Dooley 2012, 600mg MD IM</w:t>
      </w:r>
    </w:p>
    <w:p>
      <w:pPr>
        <w:pStyle w:val="BodyText"/>
      </w:pPr>
      <w:r>
        <w:t xml:space="preserve"> </w:t>
      </w:r>
    </w:p>
    <w:br w:type="page"/>
    <w:p>
      <w:pPr>
        <w:pStyle w:val="BodyText"/>
      </w:pPr>
      <w:bookmarkStart w:id="figure-3-13" w:name="figure-3-13"/>
      <w:bookmarkEnd w:id="figure-3-13"/>
    </w:p>
    <w:p>
      <w:pPr>
        <w:pStyle w:val="BodyText"/>
      </w:pPr>
      <w:r>
        <w:drawing>
          <wp:inline>
            <wp:extent cx="5969000" cy="4853513"/>
            <wp:effectExtent b="0" l="0" r="0" t="0"/>
            <wp:docPr descr="" title="" id="99" name="Picture"/>
            <a:graphic>
              <a:graphicData uri="http://schemas.openxmlformats.org/drawingml/2006/picture">
                <pic:pic>
                  <pic:nvPicPr>
                    <pic:cNvPr descr="images/006_section_results-and-discussion/009_section_ct-profiles/010_section_model-building/11_time_profile_plot_Efavirenz_Dooley_2012__600mg_MD_PM.png" id="100" name="Picture"/>
                    <pic:cNvPicPr>
                      <a:picLocks noChangeArrowheads="1" noChangeAspect="1"/>
                    </pic:cNvPicPr>
                  </pic:nvPicPr>
                  <pic:blipFill>
                    <a:blip r:embed="rId98"/>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3-13: Dooley 2012, 600mg MD PM</w:t>
      </w:r>
    </w:p>
    <w:p>
      <w:pPr>
        <w:pStyle w:val="BodyText"/>
      </w:pPr>
      <w:r>
        <w:t xml:space="preserve"> </w:t>
      </w:r>
    </w:p>
    <w:br w:type="page"/>
    <w:p>
      <w:pPr>
        <w:pStyle w:val="BodyText"/>
      </w:pPr>
      <w:bookmarkStart w:id="figure-3-14" w:name="figure-3-14"/>
      <w:bookmarkEnd w:id="figure-3-14"/>
    </w:p>
    <w:p>
      <w:pPr>
        <w:pStyle w:val="BodyText"/>
      </w:pPr>
      <w:r>
        <w:drawing>
          <wp:inline>
            <wp:extent cx="5969000" cy="4853513"/>
            <wp:effectExtent b="0" l="0" r="0" t="0"/>
            <wp:docPr descr="" title="" id="102" name="Picture"/>
            <a:graphic>
              <a:graphicData uri="http://schemas.openxmlformats.org/drawingml/2006/picture">
                <pic:pic>
                  <pic:nvPicPr>
                    <pic:cNvPr descr="images/006_section_results-and-discussion/009_section_ct-profiles/010_section_model-building/12_time_profile_plot_Efavirenz_Huang_2012__600mg_MD.png" id="103" name="Picture"/>
                    <pic:cNvPicPr>
                      <a:picLocks noChangeArrowheads="1" noChangeAspect="1"/>
                    </pic:cNvPicPr>
                  </pic:nvPicPr>
                  <pic:blipFill>
                    <a:blip r:embed="rId101"/>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3-14: Huang 2012, 600mg MD</w:t>
      </w:r>
    </w:p>
    <w:p>
      <w:pPr>
        <w:pStyle w:val="BodyText"/>
      </w:pPr>
      <w:r>
        <w:t xml:space="preserve"> </w:t>
      </w:r>
    </w:p>
    <w:br w:type="page"/>
    <w:p>
      <w:pPr>
        <w:pStyle w:val="BodyText"/>
      </w:pPr>
      <w:bookmarkStart w:id="figure-3-15" w:name="figure-3-15"/>
      <w:bookmarkEnd w:id="figure-3-15"/>
    </w:p>
    <w:p>
      <w:pPr>
        <w:pStyle w:val="BodyText"/>
      </w:pPr>
      <w:r>
        <w:drawing>
          <wp:inline>
            <wp:extent cx="5969000" cy="4853513"/>
            <wp:effectExtent b="0" l="0" r="0" t="0"/>
            <wp:docPr descr="" title="" id="105" name="Picture"/>
            <a:graphic>
              <a:graphicData uri="http://schemas.openxmlformats.org/drawingml/2006/picture">
                <pic:pic>
                  <pic:nvPicPr>
                    <pic:cNvPr descr="images/006_section_results-and-discussion/009_section_ct-profiles/010_section_model-building/13_time_profile_plot_Efavirenz_Garg_2013__600mg_MD.png" id="106" name="Picture"/>
                    <pic:cNvPicPr>
                      <a:picLocks noChangeArrowheads="1" noChangeAspect="1"/>
                    </pic:cNvPicPr>
                  </pic:nvPicPr>
                  <pic:blipFill>
                    <a:blip r:embed="rId104"/>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3-15: Garg 2013, 600mg MD</w:t>
      </w:r>
    </w:p>
    <w:p>
      <w:pPr>
        <w:pStyle w:val="BodyText"/>
      </w:pPr>
      <w:r>
        <w:t xml:space="preserve"> </w:t>
      </w:r>
    </w:p>
    <w:br w:type="page"/>
    <w:p>
      <w:pPr>
        <w:pStyle w:val="BodyText"/>
      </w:pPr>
      <w:bookmarkStart w:id="figure-3-16" w:name="figure-3-16"/>
      <w:bookmarkEnd w:id="figure-3-16"/>
    </w:p>
    <w:p>
      <w:pPr>
        <w:pStyle w:val="BodyText"/>
      </w:pPr>
      <w:r>
        <w:drawing>
          <wp:inline>
            <wp:extent cx="5969000" cy="4853513"/>
            <wp:effectExtent b="0" l="0" r="0" t="0"/>
            <wp:docPr descr="" title="" id="108" name="Picture"/>
            <a:graphic>
              <a:graphicData uri="http://schemas.openxmlformats.org/drawingml/2006/picture">
                <pic:pic>
                  <pic:nvPicPr>
                    <pic:cNvPr descr="images/006_section_results-and-discussion/009_section_ct-profiles/010_section_model-building/14_time_profile_plot_Efavirenz_Malvestutto_2014__600mg_PO_OD.png" id="109" name="Picture"/>
                    <pic:cNvPicPr>
                      <a:picLocks noChangeArrowheads="1" noChangeAspect="1"/>
                    </pic:cNvPicPr>
                  </pic:nvPicPr>
                  <pic:blipFill>
                    <a:blip r:embed="rId107"/>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3-16: Malvestutto 2014, 600mg PO OD</w:t>
      </w:r>
    </w:p>
    <w:p>
      <w:pPr>
        <w:pStyle w:val="BodyText"/>
      </w:pPr>
      <w:r>
        <w:t xml:space="preserve"> </w:t>
      </w:r>
    </w:p>
    <w:br w:type="page"/>
    <w:p>
      <w:pPr>
        <w:pStyle w:val="BodyText"/>
      </w:pPr>
      <w:bookmarkStart w:id="figure-3-17" w:name="figure-3-17"/>
      <w:bookmarkEnd w:id="figure-3-17"/>
    </w:p>
    <w:p>
      <w:pPr>
        <w:pStyle w:val="BodyText"/>
      </w:pPr>
      <w:r>
        <w:drawing>
          <wp:inline>
            <wp:extent cx="5969000" cy="4853513"/>
            <wp:effectExtent b="0" l="0" r="0" t="0"/>
            <wp:docPr descr="" title="" id="111" name="Picture"/>
            <a:graphic>
              <a:graphicData uri="http://schemas.openxmlformats.org/drawingml/2006/picture">
                <pic:pic>
                  <pic:nvPicPr>
                    <pic:cNvPr descr="images/006_section_results-and-discussion/009_section_ct-profiles/010_section_model-building/15_time_profile_plot_Efavirenz_Damle_2008__600_mg_PO_OD.png" id="112" name="Picture"/>
                    <pic:cNvPicPr>
                      <a:picLocks noChangeArrowheads="1" noChangeAspect="1"/>
                    </pic:cNvPicPr>
                  </pic:nvPicPr>
                  <pic:blipFill>
                    <a:blip r:embed="rId110"/>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3-17: Damle 2008, 600 mg PO OD</w:t>
      </w:r>
    </w:p>
    <w:p>
      <w:pPr>
        <w:pStyle w:val="BodyText"/>
      </w:pPr>
      <w:r>
        <w:t xml:space="preserve"> </w:t>
      </w:r>
    </w:p>
    <w:br w:type="page"/>
    <w:p>
      <w:pPr>
        <w:pStyle w:val="BodyText"/>
      </w:pPr>
      <w:bookmarkStart w:id="figure-3-18" w:name="figure-3-18"/>
      <w:bookmarkEnd w:id="figure-3-18"/>
    </w:p>
    <w:p>
      <w:pPr>
        <w:pStyle w:val="BodyText"/>
      </w:pPr>
      <w:r>
        <w:drawing>
          <wp:inline>
            <wp:extent cx="5969000" cy="4853513"/>
            <wp:effectExtent b="0" l="0" r="0" t="0"/>
            <wp:docPr descr="" title="" id="114" name="Picture"/>
            <a:graphic>
              <a:graphicData uri="http://schemas.openxmlformats.org/drawingml/2006/picture">
                <pic:pic>
                  <pic:nvPicPr>
                    <pic:cNvPr descr="images/006_section_results-and-discussion/009_section_ct-profiles/010_section_model-building/16_time_profile_plot_Efavirenz_Soon_2010__600mg_MD_over_28_days.png" id="115" name="Picture"/>
                    <pic:cNvPicPr>
                      <a:picLocks noChangeArrowheads="1" noChangeAspect="1"/>
                    </pic:cNvPicPr>
                  </pic:nvPicPr>
                  <pic:blipFill>
                    <a:blip r:embed="rId113"/>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3-18: Soon 2010, 600mg MD over 28 days</w:t>
      </w:r>
    </w:p>
    <w:p>
      <w:pPr>
        <w:pStyle w:val="BodyText"/>
      </w:pPr>
      <w:r>
        <w:t xml:space="preserve"> </w:t>
      </w:r>
    </w:p>
    <w:bookmarkEnd w:id="116"/>
    <w:bookmarkStart w:id="129" w:name="fitted-interaction-with-midazolam"/>
    <w:p>
      <w:pPr>
        <w:pStyle w:val="Heading3"/>
      </w:pPr>
      <w:r>
        <w:t xml:space="preserve">Fitted interaction with Midazolam</w:t>
      </w:r>
      <w:bookmarkStart w:id="fitted-interaction-with-midazolam" w:name="fitted-interaction-with-midazolam"/>
      <w:bookmarkEnd w:id="fitted-interaction-with-midazolam"/>
    </w:p>
    <w:br w:type="page"/>
    <w:p>
      <w:pPr>
        <w:pStyle w:val="FirstParagraph"/>
      </w:pPr>
      <w:bookmarkStart w:id="figure-3-19" w:name="figure-3-19"/>
      <w:bookmarkEnd w:id="figure-3-19"/>
    </w:p>
    <w:p>
      <w:pPr>
        <w:pStyle w:val="BodyText"/>
      </w:pPr>
      <w:r>
        <w:drawing>
          <wp:inline>
            <wp:extent cx="5969000" cy="5464738"/>
            <wp:effectExtent b="0" l="0" r="0" t="0"/>
            <wp:docPr descr="" title="" id="118" name="Picture"/>
            <a:graphic>
              <a:graphicData uri="http://schemas.openxmlformats.org/drawingml/2006/picture">
                <pic:pic>
                  <pic:nvPicPr>
                    <pic:cNvPr descr="images/006_section_results-and-discussion/009_section_ct-profiles/011_section_fitted-interaction-with-midazolam/17_time_profile_plot_Efavirenz_Mikus_2017__Midazolam_alone.png" id="119" name="Picture"/>
                    <pic:cNvPicPr>
                      <a:picLocks noChangeArrowheads="1" noChangeAspect="1"/>
                    </pic:cNvPicPr>
                  </pic:nvPicPr>
                  <pic:blipFill>
                    <a:blip r:embed="rId117"/>
                    <a:stretch>
                      <a:fillRect/>
                    </a:stretch>
                  </pic:blipFill>
                  <pic:spPr bwMode="auto">
                    <a:xfrm>
                      <a:off x="0" y="0"/>
                      <a:ext cx="5969000" cy="5464738"/>
                    </a:xfrm>
                    <a:prstGeom prst="rect">
                      <a:avLst/>
                    </a:prstGeom>
                    <a:noFill/>
                    <a:ln w="9525">
                      <a:noFill/>
                      <a:headEnd/>
                      <a:tailEnd/>
                    </a:ln>
                  </pic:spPr>
                </pic:pic>
              </a:graphicData>
            </a:graphic>
          </wp:inline>
        </w:drawing>
      </w:r>
    </w:p>
    <w:p>
      <w:pPr>
        <w:pStyle w:val="BodyText"/>
      </w:pPr>
      <w:r>
        <w:rPr>
          <w:bCs/>
          <w:b/>
        </w:rPr>
        <w:t xml:space="preserve">Figure 3-19: Mikus 2017, Midazolam alone</w:t>
      </w:r>
    </w:p>
    <w:p>
      <w:pPr>
        <w:pStyle w:val="BodyText"/>
      </w:pPr>
      <w:r>
        <w:t xml:space="preserve"> </w:t>
      </w:r>
    </w:p>
    <w:br w:type="page"/>
    <w:p>
      <w:pPr>
        <w:pStyle w:val="BodyText"/>
      </w:pPr>
      <w:bookmarkStart w:id="figure-3-20" w:name="figure-3-20"/>
      <w:bookmarkEnd w:id="figure-3-20"/>
    </w:p>
    <w:p>
      <w:pPr>
        <w:pStyle w:val="BodyText"/>
      </w:pPr>
      <w:r>
        <w:drawing>
          <wp:inline>
            <wp:extent cx="5969000" cy="4124210"/>
            <wp:effectExtent b="0" l="0" r="0" t="0"/>
            <wp:docPr descr="" title="" id="121" name="Picture"/>
            <a:graphic>
              <a:graphicData uri="http://schemas.openxmlformats.org/drawingml/2006/picture">
                <pic:pic>
                  <pic:nvPicPr>
                    <pic:cNvPr descr="images/006_section_results-and-discussion/009_section_ct-profiles/011_section_fitted-interaction-with-midazolam/18_time_profile_plot_Efavirenz_Mikus_2017__Midazolam___Efavirenz_400mg_SD.png" id="122" name="Picture"/>
                    <pic:cNvPicPr>
                      <a:picLocks noChangeArrowheads="1" noChangeAspect="1"/>
                    </pic:cNvPicPr>
                  </pic:nvPicPr>
                  <pic:blipFill>
                    <a:blip r:embed="rId120"/>
                    <a:stretch>
                      <a:fillRect/>
                    </a:stretch>
                  </pic:blipFill>
                  <pic:spPr bwMode="auto">
                    <a:xfrm>
                      <a:off x="0" y="0"/>
                      <a:ext cx="5969000" cy="4124210"/>
                    </a:xfrm>
                    <a:prstGeom prst="rect">
                      <a:avLst/>
                    </a:prstGeom>
                    <a:noFill/>
                    <a:ln w="9525">
                      <a:noFill/>
                      <a:headEnd/>
                      <a:tailEnd/>
                    </a:ln>
                  </pic:spPr>
                </pic:pic>
              </a:graphicData>
            </a:graphic>
          </wp:inline>
        </w:drawing>
      </w:r>
    </w:p>
    <w:p>
      <w:pPr>
        <w:pStyle w:val="BodyText"/>
      </w:pPr>
      <w:r>
        <w:rPr>
          <w:bCs/>
          <w:b/>
        </w:rPr>
        <w:t xml:space="preserve">Figure 3-20: Mikus 2017, Midazolam + Efavirenz 400mg SD</w:t>
      </w:r>
    </w:p>
    <w:p>
      <w:pPr>
        <w:pStyle w:val="BodyText"/>
      </w:pPr>
      <w:r>
        <w:t xml:space="preserve"> </w:t>
      </w:r>
    </w:p>
    <w:br w:type="page"/>
    <w:p>
      <w:pPr>
        <w:pStyle w:val="BodyText"/>
      </w:pPr>
      <w:bookmarkStart w:id="figure-3-21" w:name="figure-3-21"/>
      <w:bookmarkEnd w:id="figure-3-21"/>
    </w:p>
    <w:p>
      <w:pPr>
        <w:pStyle w:val="BodyText"/>
      </w:pPr>
      <w:r>
        <w:drawing>
          <wp:inline>
            <wp:extent cx="5969000" cy="4853513"/>
            <wp:effectExtent b="0" l="0" r="0" t="0"/>
            <wp:docPr descr="" title="" id="124" name="Picture"/>
            <a:graphic>
              <a:graphicData uri="http://schemas.openxmlformats.org/drawingml/2006/picture">
                <pic:pic>
                  <pic:nvPicPr>
                    <pic:cNvPr descr="images/006_section_results-and-discussion/009_section_ct-profiles/011_section_fitted-interaction-with-midazolam/19_time_profile_plot_Efavirenz_Katzenmaier_2010__Midazolam_alone.png" id="125" name="Picture"/>
                    <pic:cNvPicPr>
                      <a:picLocks noChangeArrowheads="1" noChangeAspect="1"/>
                    </pic:cNvPicPr>
                  </pic:nvPicPr>
                  <pic:blipFill>
                    <a:blip r:embed="rId123"/>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3-21: Katzenmaier 2010, Midazolam alone</w:t>
      </w:r>
    </w:p>
    <w:p>
      <w:pPr>
        <w:pStyle w:val="BodyText"/>
      </w:pPr>
      <w:r>
        <w:t xml:space="preserve"> </w:t>
      </w:r>
    </w:p>
    <w:br w:type="page"/>
    <w:p>
      <w:pPr>
        <w:pStyle w:val="BodyText"/>
      </w:pPr>
      <w:bookmarkStart w:id="figure-3-22" w:name="figure-3-22"/>
      <w:bookmarkEnd w:id="figure-3-22"/>
    </w:p>
    <w:p>
      <w:pPr>
        <w:pStyle w:val="BodyText"/>
      </w:pPr>
      <w:r>
        <w:drawing>
          <wp:inline>
            <wp:extent cx="5969000" cy="4991039"/>
            <wp:effectExtent b="0" l="0" r="0" t="0"/>
            <wp:docPr descr="" title="" id="127" name="Picture"/>
            <a:graphic>
              <a:graphicData uri="http://schemas.openxmlformats.org/drawingml/2006/picture">
                <pic:pic>
                  <pic:nvPicPr>
                    <pic:cNvPr descr="images/006_section_results-and-discussion/009_section_ct-profiles/011_section_fitted-interaction-with-midazolam/20_time_profile_plot_Efavirenz_Katzenmaier_2010__Midazolam____Efavirenz_400mg_MD.png" id="128" name="Picture"/>
                    <pic:cNvPicPr>
                      <a:picLocks noChangeArrowheads="1" noChangeAspect="1"/>
                    </pic:cNvPicPr>
                  </pic:nvPicPr>
                  <pic:blipFill>
                    <a:blip r:embed="rId126"/>
                    <a:stretch>
                      <a:fillRect/>
                    </a:stretch>
                  </pic:blipFill>
                  <pic:spPr bwMode="auto">
                    <a:xfrm>
                      <a:off x="0" y="0"/>
                      <a:ext cx="5969000" cy="4991039"/>
                    </a:xfrm>
                    <a:prstGeom prst="rect">
                      <a:avLst/>
                    </a:prstGeom>
                    <a:noFill/>
                    <a:ln w="9525">
                      <a:noFill/>
                      <a:headEnd/>
                      <a:tailEnd/>
                    </a:ln>
                  </pic:spPr>
                </pic:pic>
              </a:graphicData>
            </a:graphic>
          </wp:inline>
        </w:drawing>
      </w:r>
    </w:p>
    <w:p>
      <w:pPr>
        <w:pStyle w:val="BodyText"/>
      </w:pPr>
      <w:r>
        <w:rPr>
          <w:bCs/>
          <w:b/>
        </w:rPr>
        <w:t xml:space="preserve">Figure 3-22: Katzenmaier 2010, Midazolam + Efavirenz 400mg MD</w:t>
      </w:r>
    </w:p>
    <w:p>
      <w:pPr>
        <w:pStyle w:val="BodyText"/>
      </w:pPr>
      <w:r>
        <w:t xml:space="preserve"> </w:t>
      </w:r>
    </w:p>
    <w:bookmarkEnd w:id="129"/>
    <w:bookmarkEnd w:id="130"/>
    <w:bookmarkEnd w:id="131"/>
    <w:bookmarkStart w:id="132" w:name="conclusion"/>
    <w:p>
      <w:pPr>
        <w:pStyle w:val="Heading1"/>
      </w:pPr>
      <w:r>
        <w:t xml:space="preserve">Conclusion</w:t>
      </w:r>
      <w:bookmarkStart w:id="conclusion" w:name="conclusion"/>
      <w:bookmarkEnd w:id="conclusion"/>
    </w:p>
    <w:p>
      <w:pPr>
        <w:pStyle w:val="FirstParagraph"/>
      </w:pPr>
      <w:r>
        <w:t xml:space="preserve">The herein presented PBPK model adequately describes the pharmacokinetics of efavirenz after single and multiple oral administration of various doses to healthy adults.</w:t>
      </w:r>
    </w:p>
    <w:p>
      <w:pPr>
        <w:pStyle w:val="BodyText"/>
      </w:pPr>
      <w:r>
        <w:t xml:space="preserve">Apart from drug-drug interaction parameters, all optimized parameters are in a close range to the measured or calculated values. EC50 values for CYP3A4 and CYP2B6 were reduced approximately 100-fold in order to reach a relevant induction.</w:t>
      </w:r>
    </w:p>
    <w:p>
      <w:pPr>
        <w:pStyle w:val="BodyText"/>
      </w:pPr>
      <w:r>
        <w:t xml:space="preserve">In conclusion, the presented efavirenz PBPK model is well-suited to be applied in drug-drug-interaction scenarios.</w:t>
      </w:r>
    </w:p>
    <w:bookmarkEnd w:id="132"/>
    <w:bookmarkStart w:id="133" w:name="references"/>
    <w:p>
      <w:pPr>
        <w:pStyle w:val="Heading1"/>
      </w:pPr>
      <w:r>
        <w:t xml:space="preserve">References</w:t>
      </w:r>
      <w:bookmarkStart w:id="main-references" w:name="main-references"/>
      <w:bookmarkEnd w:id="main-references"/>
    </w:p>
    <w:p>
      <w:pPr>
        <w:pStyle w:val="FirstParagraph"/>
      </w:pPr>
      <w:r>
        <w:rPr>
          <w:bCs/>
          <w:b/>
        </w:rPr>
        <w:t xml:space="preserve">Almond 2005</w:t>
      </w:r>
      <w:r>
        <w:t xml:space="preserve"> </w:t>
      </w:r>
      <w:r>
        <w:t xml:space="preserve">Almond LM, Hoggard PG, Edirisinghe D, Khoo SH, Back DJ. Intracellular and plasma pharmacokinetics of efavirenz in HIV-infected individuals. J Antimicrob Chemother. 2005 Oct;56(4):738-44. Epub 2005 Sep 1. PubMed PMID: 16141277.</w:t>
      </w:r>
    </w:p>
    <w:p>
      <w:pPr>
        <w:pStyle w:val="BodyText"/>
      </w:pPr>
      <w:r>
        <w:rPr>
          <w:bCs/>
          <w:b/>
        </w:rPr>
        <w:t xml:space="preserve">Cristofoletti 2013</w:t>
      </w:r>
      <w:r>
        <w:t xml:space="preserve"> </w:t>
      </w:r>
      <w:r>
        <w:t xml:space="preserve">Cristofoletti R, Nair A, Abrahamsson B, Groot DW, Kopp S, Langguth P, Polli JE, Shah VP, Dressman JB. Biowaiver monographs for immediate release solid oral dosage forms: efavirenz. J Pharm Sci. 2013 Feb;102(2):318-29. doi: 10.1002/jps.23380. Epub 2012 Nov 22. Review. PubMed PMID: 23175470.</w:t>
      </w:r>
    </w:p>
    <w:p>
      <w:pPr>
        <w:pStyle w:val="BodyText"/>
      </w:pPr>
      <w:r>
        <w:rPr>
          <w:bCs/>
          <w:b/>
        </w:rPr>
        <w:t xml:space="preserve">Dooley 2012</w:t>
      </w:r>
      <w:r>
        <w:t xml:space="preserve"> </w:t>
      </w:r>
      <w:r>
        <w:t xml:space="preserve">Dooley KE, Park JG, Swindells S, Allen R, Haas DW, Cramer Y, Aweeka F, Wiggins I, Gupta A, Lizak P, Qasba S, van Heeswijk R, Flexner C; ACTG 5267 Study Team. Safety, tolerability, and pharmacokinetic interactions of the antituberculous agent TMC207 (bedaquiline) with efavirenz in healthy volunteers: AIDS Clinical Trials Group Study A5267. J Acquir Immune Defic Syndr. 2012 Apr 15;59(5):455-62. doi: 10.1097/QAI.0b013e3182410503. PubMed PMID: 22126739; PubMed Central PMCID: PMC3302922.</w:t>
      </w:r>
    </w:p>
    <w:p>
      <w:pPr>
        <w:pStyle w:val="BodyText"/>
      </w:pPr>
      <w:r>
        <w:rPr>
          <w:bCs/>
          <w:b/>
        </w:rPr>
        <w:t xml:space="preserve">DrugBank DB00625</w:t>
      </w:r>
      <w:r>
        <w:t xml:space="preserve"> </w:t>
      </w:r>
      <w:r>
        <w:t xml:space="preserve">(https://www.drugbank.ca/drugs/DB00625), accessed 05-15-2020.</w:t>
      </w:r>
    </w:p>
    <w:p>
      <w:pPr>
        <w:pStyle w:val="BodyText"/>
      </w:pPr>
      <w:r>
        <w:rPr>
          <w:bCs/>
          <w:b/>
        </w:rPr>
        <w:t xml:space="preserve">Garg 2013</w:t>
      </w:r>
      <w:r>
        <w:t xml:space="preserve"> </w:t>
      </w:r>
      <w:r>
        <w:t xml:space="preserve">Garg V, Chandorkar G, Yang Y, Adda N, McNair L, Alves K, Smith F, van Heeswijk RP. The effect of CYP3A inhibitors and inducers on the pharmacokinetics of telaprevir in healthy volunteers. Br J Clin Pharmacol. 2013 Feb;75(2):431-9. doi: 10.1111/j.1365-2125.2012.04345.x. PubMed PMID: 22642697; PubMed Central PMCID: PMC3579258.</w:t>
      </w:r>
    </w:p>
    <w:p>
      <w:pPr>
        <w:pStyle w:val="BodyText"/>
      </w:pPr>
      <w:r>
        <w:rPr>
          <w:bCs/>
          <w:b/>
        </w:rPr>
        <w:t xml:space="preserve">Hanke 2018</w:t>
      </w:r>
      <w:r>
        <w:t xml:space="preserve"> </w:t>
      </w:r>
      <w:r>
        <w:t xml:space="preserve">Hanke N, Frechen S, Moj D, Britz H, Eissing T, Wendl T, Lehr T. PBPK Models for CYP3A4 and P-gp DDI Prediction: A Modeling Network of Rifampicin, Itraconazole, Clarithromycin, Midazolam, Alfentanil, and Digoxin. CPT Pharmacometrics Syst Pharmacol. 2018 Oct;7(10):647-659. doi: 10.1002/psp4.12343. Epub 2018 Sep 7.</w:t>
      </w:r>
    </w:p>
    <w:p>
      <w:pPr>
        <w:pStyle w:val="BodyText"/>
      </w:pPr>
      <w:r>
        <w:rPr>
          <w:bCs/>
          <w:b/>
        </w:rPr>
        <w:t xml:space="preserve">Huang 2012</w:t>
      </w:r>
      <w:r>
        <w:t xml:space="preserve"> </w:t>
      </w:r>
      <w:r>
        <w:t xml:space="preserve">Huang L, Parikh S, Rosenthal PJ, Lizak P, Marzan F, Dorsey G, Havlir D, Aweeka FT. Concomitant efavirenz reduces pharmacokinetic exposure to the antimalarial drug artemether-lumefantrine in healthy volunteers. J Acquir Immune Defic Syndr. 2012 Nov 1;61(3):310-6. doi: 10.1097/QAI.0b013e31826ebb5c. PubMed PMID: 22918158; PubMed Central PMCID: PMC3511816.</w:t>
      </w:r>
    </w:p>
    <w:p>
      <w:pPr>
        <w:pStyle w:val="BodyText"/>
      </w:pPr>
      <w:r>
        <w:rPr>
          <w:bCs/>
          <w:b/>
        </w:rPr>
        <w:t xml:space="preserve">Janneh 2009</w:t>
      </w:r>
      <w:r>
        <w:t xml:space="preserve"> </w:t>
      </w:r>
      <w:r>
        <w:t xml:space="preserve">Janneh O, Chandler B, Hartkoorn R, Kwan WS, Jenkinson C, Evans S, Back DJ, Owen A, Khoo SH. Intracellular accumulation of efavirenz and nevirapine is independent of P-glycoprotein activity in cultured CD4 T cells and primary human lymphocytes. J Antimicrob Chemother. 2009 Nov;64(5):1002-7. doi: 10.1093/jac/dkp335. Epub 2009 Sep 11. PubMed PMID: 19748977.</w:t>
      </w:r>
    </w:p>
    <w:p>
      <w:pPr>
        <w:pStyle w:val="BodyText"/>
      </w:pPr>
      <w:r>
        <w:rPr>
          <w:bCs/>
          <w:b/>
        </w:rPr>
        <w:t xml:space="preserve">Katzenmaier 2010</w:t>
      </w:r>
      <w:r>
        <w:t xml:space="preserve"> </w:t>
      </w:r>
      <w:r>
        <w:t xml:space="preserve">Katzenmaier S, Markert C, Mikus G. Proposal of a new limited sampling strategy to predict CYP3A activity using a partial AUC of midazolam. Eur J Clin Pharmacol. 2010 Nov;66(11):1137-41. doi: 10.1007/s00228-010-0878-2. Epub 2010 Aug 3. PubMed PMID: 20680253.</w:t>
      </w:r>
    </w:p>
    <w:p>
      <w:pPr>
        <w:pStyle w:val="BodyText"/>
      </w:pPr>
      <w:r>
        <w:rPr>
          <w:bCs/>
          <w:b/>
        </w:rPr>
        <w:t xml:space="preserve">Ke 2016</w:t>
      </w:r>
      <w:r>
        <w:t xml:space="preserve"> </w:t>
      </w:r>
      <w:r>
        <w:t xml:space="preserve">Ke A, Barter Z, Rowland-Yeo K, Almond L. Towards a Best Practice Approach in PBPK Modeling: Case Example of Developing a Unified Efavirenz Model Accounting for Induction of CYPs 3A4 and 2B6. CPT Pharmacometrics Syst Pharmacol. 2016 Jul;5(7):367-76. doi: 10.1002/psp4.12088. Epub 2016 Jul 20. PubMed PMID: 27435752; PubMed Central PMCID: PMC4961080.</w:t>
      </w:r>
    </w:p>
    <w:p>
      <w:pPr>
        <w:pStyle w:val="BodyText"/>
      </w:pPr>
      <w:r>
        <w:rPr>
          <w:bCs/>
          <w:b/>
        </w:rPr>
        <w:t xml:space="preserve">Kharasch 2012</w:t>
      </w:r>
      <w:r>
        <w:t xml:space="preserve"> </w:t>
      </w:r>
      <w:r>
        <w:t xml:space="preserve">Kharasch ED, Whittington D, Ensign D, Hoffer C, Bedynek PS, Campbell S, Stubbert K, Crafford A, London A, Kim T. Mechanism of efavirenz influence on methadone pharmacokinetics and pharmacodynamics. Clin Pharmacol Ther. 2012 Apr;91(4):673-84. doi: 10.1038/clpt.2011.276. Epub 2012 Mar 7.</w:t>
      </w:r>
    </w:p>
    <w:p>
      <w:pPr>
        <w:pStyle w:val="BodyText"/>
      </w:pPr>
      <w:r>
        <w:rPr>
          <w:bCs/>
          <w:b/>
        </w:rPr>
        <w:t xml:space="preserve">Kuepfer 2016</w:t>
      </w:r>
      <w:r>
        <w:t xml:space="preserve"> </w:t>
      </w:r>
      <w:r>
        <w:t xml:space="preserve">Kuepfer L, Niederalt C, Wendl T, Schlender JF, Willmann S, Lippert J, Block M, Eissing T, Teutonico D. Applied Concepts in PBPK Modeling: How to Build a PBPK/PD Model. CPT Pharmacometrics Syst Pharmacol. 2016 Oct;5(10):516-531. doi: 10.1002/psp4.12134. Epub 2016 Oct 19.</w:t>
      </w:r>
    </w:p>
    <w:p>
      <w:pPr>
        <w:pStyle w:val="BodyText"/>
      </w:pPr>
      <w:r>
        <w:rPr>
          <w:bCs/>
          <w:b/>
        </w:rPr>
        <w:t xml:space="preserve">Meyer 2012</w:t>
      </w:r>
      <w:r>
        <w:t xml:space="preserve"> </w:t>
      </w:r>
      <w:r>
        <w:t xml:space="preserve">Meyer M, Schneckener S, Ludewig B, Kuepfer L, Lippert J. Using expression data for quantification of active processes in physiologically based pharmacokinetic modeling. Drug Metab Dispos. 2012 May;40(5):892-901.</w:t>
      </w:r>
    </w:p>
    <w:p>
      <w:pPr>
        <w:pStyle w:val="BodyText"/>
      </w:pPr>
      <w:r>
        <w:rPr>
          <w:bCs/>
          <w:b/>
        </w:rPr>
        <w:t xml:space="preserve">Mikus 2017</w:t>
      </w:r>
      <w:r>
        <w:t xml:space="preserve"> </w:t>
      </w:r>
      <w:r>
        <w:t xml:space="preserve">Mikus G, Heinrich T, Bödigheimer J, Röder C, Matthee AK, Weiss J, Burhenne J, Haefeli WE. Semisimultaneous Midazolam Administration to Evaluate the Time Course of CYP3A Activation by a Single Oral Dose of Efavirenz. J Clin Pharmacol. 2017 Jul;57(7):899-905. doi: 10.1002/jcph.879. Epub 2017 Feb 14. PubMed PMID: 28194792.</w:t>
      </w:r>
    </w:p>
    <w:p>
      <w:pPr>
        <w:pStyle w:val="BodyText"/>
      </w:pPr>
      <w:r>
        <w:rPr>
          <w:bCs/>
          <w:b/>
        </w:rPr>
        <w:t xml:space="preserve">Mouly 2002</w:t>
      </w:r>
      <w:r>
        <w:t xml:space="preserve"> </w:t>
      </w:r>
      <w:r>
        <w:t xml:space="preserve">Mouly S, Lown KS, Kornhauser D, Joseph JL, Fiske WD, Benedek IH, Watkins PB. Hepatic but not intestinal CYP3A4 displays dose-dependent induction by efavirenz in humans. Clin Pharmacol Ther. 2002 Jul;72(1):1-9. PubMed PMID: 12151999.</w:t>
      </w:r>
    </w:p>
    <w:p>
      <w:pPr>
        <w:pStyle w:val="BodyText"/>
      </w:pPr>
      <w:r>
        <w:rPr>
          <w:bCs/>
          <w:b/>
        </w:rPr>
        <w:t xml:space="preserve">Nishimura 2003</w:t>
      </w:r>
      <w:r>
        <w:t xml:space="preserve"> </w:t>
      </w:r>
      <w:r>
        <w:t xml:space="preserve">Nishimura, M., Yaguti, H., Yoshitsugu, H., Naito, S. &amp; Satoh, T. Tissue distribution of mRNA expression of human cytochrome P450 isoforms assessed by high-sensitivity real-time reverse transcription PCR. J. Pharm. Soc. Japan 123, 369–75 (2003).</w:t>
      </w:r>
    </w:p>
    <w:p>
      <w:pPr>
        <w:pStyle w:val="BodyText"/>
      </w:pPr>
      <w:r>
        <w:rPr>
          <w:bCs/>
          <w:b/>
        </w:rPr>
        <w:t xml:space="preserve">Ogburn 2010</w:t>
      </w:r>
      <w:r>
        <w:t xml:space="preserve"> </w:t>
      </w:r>
      <w:r>
        <w:t xml:space="preserve">Ogburn ET, Jones DR, Masters AR, Xu C, Guo Y, Desta Z. Efavirenz primary and secondary metabolism in vitro and in vivo: identification of novel metabolic pathways and cytochrome P450 2A6 as the principal catalyst of efavirenz 7-hydroxylation. Drug Metab Dispos. 2010 Jul;38(7):1218-29. doi: 10.1124/dmd.109.031393. Epub 2010 Mar 24. PubMed PMID: 20335270; PubMed Central PMCID: PMC2908985.</w:t>
      </w:r>
    </w:p>
    <w:p>
      <w:pPr>
        <w:pStyle w:val="BodyText"/>
      </w:pPr>
      <w:r>
        <w:rPr>
          <w:bCs/>
          <w:b/>
        </w:rPr>
        <w:t xml:space="preserve">PK-Sim Ontogeny Database Version 7.3</w:t>
      </w:r>
      <w:r>
        <w:t xml:space="preserve"> </w:t>
      </w:r>
      <w:r>
        <w:t xml:space="preserve">(https://github.com/Open-Systems-Pharmacology/OSPSuite.Documentation/blob/38cf71b384cfc25cfa0ce4d2f3addfd32757e13b/PK-Sim%20Ontogeny%20Database%20Version%207.3.pdf)</w:t>
      </w:r>
    </w:p>
    <w:p>
      <w:pPr>
        <w:pStyle w:val="BodyText"/>
      </w:pPr>
      <w:r>
        <w:rPr>
          <w:bCs/>
          <w:b/>
        </w:rPr>
        <w:t xml:space="preserve">Rabel 1996</w:t>
      </w:r>
      <w:r>
        <w:t xml:space="preserve"> </w:t>
      </w:r>
      <w:r>
        <w:t xml:space="preserve">Rabel SR, Maurin MB, Rowe SM, Hussain M. Determination of the pKa and pH-solubility behavior of an ionizable cyclic carbamate, (S)-6-chloro-4-(cyclopropylethynyl)-1,4-dihydro-4-</w:t>
      </w:r>
      <w:r>
        <w:t xml:space="preserve"> </w:t>
      </w:r>
      <w:r>
        <w:t xml:space="preserve">(trifluoromethyl)-2H-3,1-benzoxazin-2-one (DMP 266). Pharm Dev Technol. 1996 Apr;1(1):91-5. PubMed PMID: 9552335.</w:t>
      </w:r>
    </w:p>
    <w:p>
      <w:pPr>
        <w:pStyle w:val="BodyText"/>
      </w:pPr>
      <w:r>
        <w:rPr>
          <w:bCs/>
          <w:b/>
        </w:rPr>
        <w:t xml:space="preserve">Shou 2008</w:t>
      </w:r>
      <w:r>
        <w:t xml:space="preserve"> </w:t>
      </w:r>
      <w:r>
        <w:t xml:space="preserve">Shou M, Hayashi M, Pan Y, Xu Y, Morrissey K, Xu L, Skiles GL. Modeling, prediction, and in vitro in vivo correlation of CYP3A4 induction. Drug Metab Dispos. 2008 Nov;36(11):2355-70. doi: 0.1124/dmd.108.020602. Epub 2008 Jul 31. PubMed PMID: 18669588.</w:t>
      </w:r>
    </w:p>
    <w:p>
      <w:pPr>
        <w:pStyle w:val="BodyText"/>
      </w:pPr>
      <w:r>
        <w:rPr>
          <w:bCs/>
          <w:b/>
        </w:rPr>
        <w:t xml:space="preserve">Ward 2003</w:t>
      </w:r>
      <w:r>
        <w:t xml:space="preserve"> </w:t>
      </w:r>
      <w:r>
        <w:t xml:space="preserve">Ward BA, Gorski JC, Jones DR, Hall SD, Flockhart DA, Desta Z. The cytochrome P450 2B6 (CYP2B6) is the main catalyst of efavirenz primary and secondary metabolism: implication for HIV/AIDS therapy and utility of efavirenz as a substrate marker of CYP2B6 catalytic activity. J Pharmacol Exp Ther. 2003 Jul;306(1):287-300. Epub 2003 Apr 3. PubMed PMID: 12676886.</w:t>
      </w:r>
    </w:p>
    <w:p>
      <w:pPr>
        <w:pStyle w:val="BodyText"/>
      </w:pPr>
      <w:r>
        <w:rPr>
          <w:bCs/>
          <w:b/>
        </w:rPr>
        <w:t xml:space="preserve">Willmann 2007</w:t>
      </w:r>
      <w:r>
        <w:t xml:space="preserve"> </w:t>
      </w:r>
      <w:r>
        <w:t xml:space="preserve">Willmann S, Höhn K, Edginton A, Sevestre M, Solodenko J, Weiss W, Lippert J, Schmitt W. Development of a physiology-based whole-body population model for assessing the influence of individual variability on the pharmacokinetics of drugs. J Pharmacokinet Pharmacodyn. 2007, 34(3): 401-431.</w:t>
      </w:r>
    </w:p>
    <w:p>
      <w:pPr>
        <w:pStyle w:val="BodyText"/>
      </w:pPr>
      <w:r>
        <w:rPr>
          <w:bCs/>
          <w:b/>
        </w:rPr>
        <w:t xml:space="preserve">Xu 2013</w:t>
      </w:r>
      <w:r>
        <w:t xml:space="preserve"> </w:t>
      </w:r>
      <w:r>
        <w:t xml:space="preserve">Xu C, Quinney SK, Guo Y, Hall SD, Li L, Desta Z. CYP2B6 pharmacogenetics-based in vitro-in vivo extrapolation of efavirenz clearance by physiologically based pharmacokinetic modeling. Drug Metab Dispos. 2013 Dec;41(12):2004-11. doi: 10.1124/dmd.113.051755. Epub 2013 Jul 11. PubMed PMID: 23846872; PubMed Central PMCID: PMC3834132.</w:t>
      </w:r>
    </w:p>
    <w:bookmarkEnd w:id="133"/>
    <w:sectPr w:rsidR="00B470D9">
      <w:headerReference r:id="rId9" w:type="default"/>
      <w:footerReference r:id="rId10" w:type="default"/>
      <w:pgSz w:h="15840" w:w="12240"/>
      <w:pgMar w:bottom="1134" w:footer="720" w:gutter="0" w:header="720" w:left="1417" w:right="1417" w:top="1417"/>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37720" w:rsidRDefault="00237720">
    <w:pPr>
      <w:pStyle w:val="Footer"/>
      <w:jc w:val="center"/>
    </w:pPr>
  </w:p>
  <w:p w:rsidR="00237720" w:rsidRDefault="00237720">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rPr>
      <w:id w:val="-620381891"/>
      <w:docPartObj>
        <w:docPartGallery w:val="Page Numbers (Top of Page)"/>
        <w:docPartUnique/>
      </w:docPartObj>
    </w:sdtPr>
    <w:sdtEndPr/>
    <w:sdtContent>
      <w:p w:rsidR="000F07F1" w:rsidRPr="007E2361" w:rsidRDefault="000F07F1" w:rsidP="000F07F1">
        <w:pPr>
          <w:pStyle w:val="Header"/>
          <w:jc w:val="right"/>
          <w:rPr>
            <w:rFonts w:ascii="Times New Roman" w:hAnsi="Times New Roman" w:cs="Times New Roman"/>
          </w:rPr>
        </w:pPr>
        <w:r w:rsidRPr="007E2361">
          <w:rPr>
            <w:rFonts w:ascii="Times New Roman" w:hAnsi="Times New Roman" w:cs="Times New Roman"/>
            <w:lang w:val="de-DE"/>
          </w:rPr>
          <w:t xml:space="preserve">Page </w:t>
        </w:r>
        <w:r w:rsidRPr="007E2361">
          <w:rPr>
            <w:rFonts w:ascii="Times New Roman" w:hAnsi="Times New Roman" w:cs="Times New Roman"/>
          </w:rPr>
          <w:fldChar w:fldCharType="begin"/>
        </w:r>
        <w:r w:rsidRPr="007E2361">
          <w:rPr>
            <w:rFonts w:ascii="Times New Roman" w:hAnsi="Times New Roman" w:cs="Times New Roman"/>
          </w:rPr>
          <w:instrText>PAGE  \* Arabic  \* MERGEFORMAT</w:instrText>
        </w:r>
        <w:r w:rsidRPr="007E2361">
          <w:rPr>
            <w:rFonts w:ascii="Times New Roman" w:hAnsi="Times New Roman" w:cs="Times New Roman"/>
          </w:rPr>
          <w:fldChar w:fldCharType="separate"/>
        </w:r>
        <w:r w:rsidR="00B034F3">
          <w:rPr>
            <w:rFonts w:ascii="Times New Roman" w:hAnsi="Times New Roman" w:cs="Times New Roman"/>
            <w:noProof/>
          </w:rPr>
          <w:t>2</w:t>
        </w:r>
        <w:r w:rsidRPr="007E2361">
          <w:rPr>
            <w:rFonts w:ascii="Times New Roman" w:hAnsi="Times New Roman" w:cs="Times New Roman"/>
          </w:rPr>
          <w:fldChar w:fldCharType="end"/>
        </w:r>
        <w:r w:rsidRPr="007E2361">
          <w:rPr>
            <w:rFonts w:ascii="Times New Roman" w:hAnsi="Times New Roman" w:cs="Times New Roman"/>
            <w:lang w:val="de-DE"/>
          </w:rPr>
          <w:t xml:space="preserve"> of </w:t>
        </w:r>
        <w:r w:rsidRPr="007E2361">
          <w:rPr>
            <w:rFonts w:ascii="Times New Roman" w:hAnsi="Times New Roman" w:cs="Times New Roman"/>
          </w:rPr>
          <w:fldChar w:fldCharType="begin"/>
        </w:r>
        <w:r w:rsidRPr="007E2361">
          <w:rPr>
            <w:rFonts w:ascii="Times New Roman" w:hAnsi="Times New Roman" w:cs="Times New Roman"/>
          </w:rPr>
          <w:instrText>NUMPAGES  \* Arabic  \* MERGEFORMAT</w:instrText>
        </w:r>
        <w:r w:rsidRPr="007E2361">
          <w:rPr>
            <w:rFonts w:ascii="Times New Roman" w:hAnsi="Times New Roman" w:cs="Times New Roman"/>
          </w:rPr>
          <w:fldChar w:fldCharType="separate"/>
        </w:r>
        <w:r w:rsidR="00B034F3">
          <w:rPr>
            <w:rFonts w:ascii="Times New Roman" w:hAnsi="Times New Roman" w:cs="Times New Roman"/>
            <w:noProof/>
          </w:rPr>
          <w:t>2</w:t>
        </w:r>
        <w:r w:rsidRPr="007E2361">
          <w:rPr>
            <w:rFonts w:ascii="Times New Roman" w:hAnsi="Times New Roman" w:cs="Times New Roman"/>
            <w:lang w:val="de-DE"/>
          </w:rPr>
          <w:fldChar w:fldCharType="end"/>
        </w:r>
      </w:p>
    </w:sdtContent>
  </w:sdt>
  <w:p w:rsidR="000F07F1" w:rsidRDefault="000F07F1">
    <w:pPr>
      <w:pStyle w:val="Header"/>
    </w:pPr>
  </w:p>
</w:hdr>
</file>

<file path=word/numbering.xml><?xml version="1.0" encoding="utf-8"?>
<w:numbering xmlns:cx="http://schemas.microsoft.com/office/drawing/20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abstractNum w15:restartNumberingAfterBreak="0" w:abstractNumId="0">
    <w:nsid w:val="FFFFFF7C"/>
    <w:multiLevelType w:val="singleLevel"/>
    <w:tmpl w:val="52D2BCA0"/>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AD6823F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FD149514"/>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EB281228"/>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C966F838"/>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9746C576"/>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51D61164"/>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46DCFC36"/>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EB43C62"/>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83B06E4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0E7ACBA0"/>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1">
    <w:nsid w:val="2E6E7027"/>
    <w:multiLevelType w:val="multilevel"/>
    <w:tmpl w:val="CFB603AE"/>
    <w:styleLink w:val="REVersuch2"/>
    <w:lvl w:ilvl="0">
      <w:start w:val="1"/>
      <w:numFmt w:val="decimal"/>
      <w:lvlText w:val="%1"/>
      <w:lvlJc w:val="left"/>
      <w:pPr>
        <w:ind w:hanging="360" w:left="360"/>
      </w:pPr>
      <w:rPr>
        <w:rFonts w:hint="default"/>
      </w:rPr>
    </w:lvl>
    <w:lvl w:ilvl="1">
      <w:start w:val="1"/>
      <w:numFmt w:val="decimal"/>
      <w:lvlText w:val="%1.%2"/>
      <w:lvlJc w:val="left"/>
      <w:pPr>
        <w:ind w:hanging="360" w:left="720"/>
      </w:pPr>
      <w:rPr>
        <w:rFonts w:hint="default"/>
      </w:rPr>
    </w:lvl>
    <w:lvl w:ilvl="2">
      <w:start w:val="1"/>
      <w:numFmt w:val="decimal"/>
      <w:lvlText w:val="%1.%2.%3"/>
      <w:lvlJc w:val="left"/>
      <w:pPr>
        <w:ind w:hanging="360" w:left="1080"/>
      </w:pPr>
      <w:rPr>
        <w:rFonts w:hint="default"/>
      </w:rPr>
    </w:lvl>
    <w:lvl w:ilvl="3">
      <w:start w:val="1"/>
      <w:numFmt w:val="decimal"/>
      <w:lvlText w:val="%1.%2.%3.%4"/>
      <w:lvlJc w:val="left"/>
      <w:pPr>
        <w:ind w:hanging="360" w:left="1440"/>
      </w:pPr>
      <w:rPr>
        <w:rFonts w:hint="default"/>
      </w:rPr>
    </w:lvl>
    <w:lvl w:ilvl="4">
      <w:start w:val="1"/>
      <w:numFmt w:val="decimal"/>
      <w:lvlText w:val="%1.%2.%3.%4.%5"/>
      <w:lvlJc w:val="left"/>
      <w:pPr>
        <w:ind w:hanging="360" w:left="1800"/>
      </w:pPr>
      <w:rPr>
        <w:rFonts w:hint="default"/>
      </w:rPr>
    </w:lvl>
    <w:lvl w:ilvl="5">
      <w:start w:val="1"/>
      <w:numFmt w:val="decimal"/>
      <w:lvlText w:val="%1.%2.%3.%4.%5.%6"/>
      <w:lvlJc w:val="left"/>
      <w:pPr>
        <w:ind w:hanging="360" w:left="2160"/>
      </w:pPr>
      <w:rPr>
        <w:rFonts w:hint="default"/>
      </w:rPr>
    </w:lvl>
    <w:lvl w:ilvl="6">
      <w:start w:val="1"/>
      <w:numFmt w:val="decimal"/>
      <w:lvlText w:val="%1.%2.%3.%4.%5.%6.%7"/>
      <w:lvlJc w:val="left"/>
      <w:pPr>
        <w:ind w:hanging="360" w:left="2520"/>
      </w:pPr>
      <w:rPr>
        <w:rFonts w:hint="default"/>
      </w:rPr>
    </w:lvl>
    <w:lvl w:ilvl="7">
      <w:start w:val="1"/>
      <w:numFmt w:val="decimal"/>
      <w:lvlText w:val="%1.%2.%3.%4.%5.%6.%7.%8"/>
      <w:lvlJc w:val="left"/>
      <w:pPr>
        <w:ind w:hanging="360" w:left="2880"/>
      </w:pPr>
      <w:rPr>
        <w:rFonts w:hint="default"/>
      </w:rPr>
    </w:lvl>
    <w:lvl w:ilvl="8">
      <w:start w:val="1"/>
      <w:numFmt w:val="decimal"/>
      <w:lvlText w:val="%1.%2.%3.%4.%5.%6.%7.%8.%9"/>
      <w:lvlJc w:val="left"/>
      <w:pPr>
        <w:ind w:hanging="360" w:left="3240"/>
      </w:pPr>
      <w:rPr>
        <w:rFonts w:hint="default"/>
      </w:rPr>
    </w:lvl>
  </w:abstractNum>
  <w:abstractNum w15:restartNumberingAfterBreak="0" w:abstractNumId="12">
    <w:nsid w:val="2F4367A2"/>
    <w:multiLevelType w:val="hybridMultilevel"/>
    <w:tmpl w:val="0E94A3F2"/>
    <w:lvl w:ilvl="0" w:tplc="6FFEDB94">
      <w:start w:val="1"/>
      <w:numFmt w:val="decimal"/>
      <w:lvlText w:val="Figure %1: "/>
      <w:lvlJc w:val="left"/>
      <w:pPr>
        <w:ind w:hanging="360" w:left="720"/>
      </w:pPr>
      <w:rPr>
        <w:rFonts w:hint="default"/>
      </w:rPr>
    </w:lvl>
    <w:lvl w:ilvl="1" w:tentative="1" w:tplc="04070019">
      <w:start w:val="1"/>
      <w:numFmt w:val="lowerLetter"/>
      <w:lvlText w:val="%2."/>
      <w:lvlJc w:val="left"/>
      <w:pPr>
        <w:ind w:hanging="360" w:left="1440"/>
      </w:pPr>
    </w:lvl>
    <w:lvl w:ilvl="2" w:tentative="1" w:tplc="0407001B">
      <w:start w:val="1"/>
      <w:numFmt w:val="lowerRoman"/>
      <w:lvlText w:val="%3."/>
      <w:lvlJc w:val="right"/>
      <w:pPr>
        <w:ind w:hanging="180" w:left="2160"/>
      </w:pPr>
    </w:lvl>
    <w:lvl w:ilvl="3" w:tentative="1" w:tplc="0407000F">
      <w:start w:val="1"/>
      <w:numFmt w:val="decimal"/>
      <w:lvlText w:val="%4."/>
      <w:lvlJc w:val="left"/>
      <w:pPr>
        <w:ind w:hanging="360" w:left="2880"/>
      </w:pPr>
    </w:lvl>
    <w:lvl w:ilvl="4" w:tentative="1" w:tplc="04070019">
      <w:start w:val="1"/>
      <w:numFmt w:val="lowerLetter"/>
      <w:lvlText w:val="%5."/>
      <w:lvlJc w:val="left"/>
      <w:pPr>
        <w:ind w:hanging="360" w:left="3600"/>
      </w:pPr>
    </w:lvl>
    <w:lvl w:ilvl="5" w:tentative="1" w:tplc="0407001B">
      <w:start w:val="1"/>
      <w:numFmt w:val="lowerRoman"/>
      <w:lvlText w:val="%6."/>
      <w:lvlJc w:val="right"/>
      <w:pPr>
        <w:ind w:hanging="180" w:left="4320"/>
      </w:pPr>
    </w:lvl>
    <w:lvl w:ilvl="6" w:tentative="1" w:tplc="0407000F">
      <w:start w:val="1"/>
      <w:numFmt w:val="decimal"/>
      <w:lvlText w:val="%7."/>
      <w:lvlJc w:val="left"/>
      <w:pPr>
        <w:ind w:hanging="360" w:left="5040"/>
      </w:pPr>
    </w:lvl>
    <w:lvl w:ilvl="7" w:tentative="1" w:tplc="04070019">
      <w:start w:val="1"/>
      <w:numFmt w:val="lowerLetter"/>
      <w:lvlText w:val="%8."/>
      <w:lvlJc w:val="left"/>
      <w:pPr>
        <w:ind w:hanging="360" w:left="5760"/>
      </w:pPr>
    </w:lvl>
    <w:lvl w:ilvl="8" w:tentative="1" w:tplc="0407001B">
      <w:start w:val="1"/>
      <w:numFmt w:val="lowerRoman"/>
      <w:lvlText w:val="%9."/>
      <w:lvlJc w:val="right"/>
      <w:pPr>
        <w:ind w:hanging="180" w:left="6480"/>
      </w:pPr>
    </w:lvl>
  </w:abstractNum>
  <w:abstractNum w15:restartNumberingAfterBreak="0" w:abstractNumId="13">
    <w:nsid w:val="439D272C"/>
    <w:multiLevelType w:val="multilevel"/>
    <w:tmpl w:val="5E8A4980"/>
    <w:lvl w:ilvl="0">
      <w:start w:val="1"/>
      <w:numFmt w:val="decimal"/>
      <w:pStyle w:val="Heading1"/>
      <w:lvlText w:val="%1"/>
      <w:lvlJc w:val="left"/>
      <w:pPr>
        <w:ind w:hanging="1134" w:left="1134"/>
      </w:pPr>
      <w:rPr>
        <w:rFonts w:hint="default"/>
      </w:rPr>
    </w:lvl>
    <w:lvl w:ilvl="1">
      <w:start w:val="1"/>
      <w:numFmt w:val="decimal"/>
      <w:pStyle w:val="Heading2"/>
      <w:lvlText w:val="%1.%2"/>
      <w:lvlJc w:val="left"/>
      <w:pPr>
        <w:ind w:hanging="1134" w:left="1134"/>
      </w:pPr>
      <w:rPr>
        <w:rFonts w:hint="default"/>
      </w:rPr>
    </w:lvl>
    <w:lvl w:ilvl="2">
      <w:start w:val="1"/>
      <w:numFmt w:val="decimal"/>
      <w:pStyle w:val="Heading3"/>
      <w:lvlText w:val="%1.%2.%3"/>
      <w:lvlJc w:val="left"/>
      <w:pPr>
        <w:ind w:hanging="1134" w:left="1134"/>
      </w:pPr>
      <w:rPr>
        <w:rFonts w:hint="default"/>
      </w:rPr>
    </w:lvl>
    <w:lvl w:ilvl="3">
      <w:start w:val="1"/>
      <w:numFmt w:val="decimal"/>
      <w:pStyle w:val="Heading4"/>
      <w:lvlText w:val="%1.%2.%3.%4"/>
      <w:lvlJc w:val="left"/>
      <w:pPr>
        <w:ind w:hanging="1134" w:left="1134"/>
      </w:pPr>
      <w:rPr>
        <w:rFonts w:hint="default"/>
      </w:rPr>
    </w:lvl>
    <w:lvl w:ilvl="4">
      <w:start w:val="1"/>
      <w:numFmt w:val="decimal"/>
      <w:pStyle w:val="Heading5"/>
      <w:lvlText w:val="%1.%2.%3.%4.%5"/>
      <w:lvlJc w:val="left"/>
      <w:pPr>
        <w:ind w:hanging="1134" w:left="1134"/>
      </w:pPr>
      <w:rPr>
        <w:rFonts w:hint="default"/>
      </w:rPr>
    </w:lvl>
    <w:lvl w:ilvl="5">
      <w:start w:val="1"/>
      <w:numFmt w:val="decimal"/>
      <w:pStyle w:val="Heading6"/>
      <w:lvlText w:val="%1.%2.%3.%4.%5.%6"/>
      <w:lvlJc w:val="left"/>
      <w:pPr>
        <w:ind w:hanging="1134" w:left="1134"/>
      </w:pPr>
      <w:rPr>
        <w:rFonts w:hint="default"/>
      </w:rPr>
    </w:lvl>
    <w:lvl w:ilvl="6">
      <w:start w:val="1"/>
      <w:numFmt w:val="decimal"/>
      <w:pStyle w:val="Heading7"/>
      <w:lvlText w:val="%1.%2.%3.%4.%5.%6.%7"/>
      <w:lvlJc w:val="left"/>
      <w:pPr>
        <w:ind w:hanging="1134" w:left="1134"/>
      </w:pPr>
      <w:rPr>
        <w:rFonts w:hint="default"/>
      </w:rPr>
    </w:lvl>
    <w:lvl w:ilvl="7">
      <w:start w:val="1"/>
      <w:numFmt w:val="decimal"/>
      <w:pStyle w:val="Heading8"/>
      <w:lvlText w:val="%1.%2.%3.%4.%5.%6.%7.%8"/>
      <w:lvlJc w:val="left"/>
      <w:pPr>
        <w:ind w:hanging="1134" w:left="1134"/>
      </w:pPr>
      <w:rPr>
        <w:rFonts w:hint="default"/>
      </w:rPr>
    </w:lvl>
    <w:lvl w:ilvl="8">
      <w:start w:val="1"/>
      <w:numFmt w:val="decimal"/>
      <w:pStyle w:val="Heading9"/>
      <w:lvlText w:val="%1.%2.%3.%4.%5.%6.%7.%8.%9"/>
      <w:lvlJc w:val="left"/>
      <w:pPr>
        <w:ind w:hanging="1134" w:left="1134"/>
      </w:pPr>
      <w:rPr>
        <w:rFonts w:hint="default"/>
      </w:rPr>
    </w:lvl>
  </w:abstractNum>
  <w:abstractNum w15:restartNumberingAfterBreak="0" w:abstractNumId="14">
    <w:nsid w:val="4E027060"/>
    <w:multiLevelType w:val="hybridMultilevel"/>
    <w:tmpl w:val="BDE6AA42"/>
    <w:lvl w:ilvl="0" w:tplc="9976DFBA">
      <w:start w:val="1"/>
      <w:numFmt w:val="decimal"/>
      <w:lvlText w:val="Table %1: "/>
      <w:lvlJc w:val="left"/>
      <w:pPr>
        <w:ind w:hanging="360" w:left="720"/>
      </w:pPr>
      <w:rPr>
        <w:rFonts w:hint="default"/>
      </w:rPr>
    </w:lvl>
    <w:lvl w:ilvl="1" w:tentative="1" w:tplc="04070019">
      <w:start w:val="1"/>
      <w:numFmt w:val="lowerLetter"/>
      <w:lvlText w:val="%2."/>
      <w:lvlJc w:val="left"/>
      <w:pPr>
        <w:ind w:hanging="360" w:left="1440"/>
      </w:pPr>
    </w:lvl>
    <w:lvl w:ilvl="2" w:tentative="1" w:tplc="0407001B">
      <w:start w:val="1"/>
      <w:numFmt w:val="lowerRoman"/>
      <w:lvlText w:val="%3."/>
      <w:lvlJc w:val="right"/>
      <w:pPr>
        <w:ind w:hanging="180" w:left="2160"/>
      </w:pPr>
    </w:lvl>
    <w:lvl w:ilvl="3" w:tentative="1" w:tplc="0407000F">
      <w:start w:val="1"/>
      <w:numFmt w:val="decimal"/>
      <w:lvlText w:val="%4."/>
      <w:lvlJc w:val="left"/>
      <w:pPr>
        <w:ind w:hanging="360" w:left="2880"/>
      </w:pPr>
    </w:lvl>
    <w:lvl w:ilvl="4" w:tentative="1" w:tplc="04070019">
      <w:start w:val="1"/>
      <w:numFmt w:val="lowerLetter"/>
      <w:lvlText w:val="%5."/>
      <w:lvlJc w:val="left"/>
      <w:pPr>
        <w:ind w:hanging="360" w:left="3600"/>
      </w:pPr>
    </w:lvl>
    <w:lvl w:ilvl="5" w:tentative="1" w:tplc="0407001B">
      <w:start w:val="1"/>
      <w:numFmt w:val="lowerRoman"/>
      <w:lvlText w:val="%6."/>
      <w:lvlJc w:val="right"/>
      <w:pPr>
        <w:ind w:hanging="180" w:left="4320"/>
      </w:pPr>
    </w:lvl>
    <w:lvl w:ilvl="6" w:tentative="1" w:tplc="0407000F">
      <w:start w:val="1"/>
      <w:numFmt w:val="decimal"/>
      <w:lvlText w:val="%7."/>
      <w:lvlJc w:val="left"/>
      <w:pPr>
        <w:ind w:hanging="360" w:left="5040"/>
      </w:pPr>
    </w:lvl>
    <w:lvl w:ilvl="7" w:tentative="1" w:tplc="04070019">
      <w:start w:val="1"/>
      <w:numFmt w:val="lowerLetter"/>
      <w:lvlText w:val="%8."/>
      <w:lvlJc w:val="left"/>
      <w:pPr>
        <w:ind w:hanging="360" w:left="5760"/>
      </w:pPr>
    </w:lvl>
    <w:lvl w:ilvl="8" w:tentative="1" w:tplc="0407001B">
      <w:start w:val="1"/>
      <w:numFmt w:val="lowerRoman"/>
      <w:lvlText w:val="%9."/>
      <w:lvlJc w:val="right"/>
      <w:pPr>
        <w:ind w:hanging="180" w:left="6480"/>
      </w:pPr>
    </w:lvl>
  </w:abstractNum>
  <w:abstractNum w15:restartNumberingAfterBreak="0" w:abstractNumId="15">
    <w:nsid w:val="57675838"/>
    <w:multiLevelType w:val="multilevel"/>
    <w:tmpl w:val="CFB603AE"/>
    <w:numStyleLink w:val="REVersuch2"/>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10"/>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1"/>
  </w:num>
  <w:num w:numId="13">
    <w:abstractNumId w:val="15"/>
  </w:num>
  <w:num w:numId="14">
    <w:abstractNumId w:val="13"/>
  </w:num>
  <w:num w:numId="15">
    <w:abstractNumId w:val="12"/>
  </w:num>
  <w:num w:numId="16">
    <w:abstractNumId w:val="14"/>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defaultTabStop w:val="720"/>
  <w:hyphenationZone w:val="425"/>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
  <m:mathPr>
    <m:mathFont m:val="Cambria Math"/>
    <m:brkBin m:val="before"/>
    <m:brkBinSub m:val="--"/>
    <m:smallFrac m:val="0"/>
    <m:dispDef m:val="0"/>
    <m:lMargin m:val="0"/>
    <m:rMargin m:val="0"/>
    <m:defJc m:val="centerGroup"/>
    <m:wrapRight/>
    <m:intLim m:val="subSup"/>
    <m:naryLim m:val="subSup"/>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1" w:defLockedState="0" w:defQFormat="0" w:defSemiHidden="0" w:defUIPriority="0" w:defUnhideWhenUsed="0">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Normal" w:type="paragraph">
    <w:name w:val="Normal"/>
    <w:qFormat/>
  </w:style>
  <w:style w:styleId="Heading1" w:type="paragraph">
    <w:name w:val="heading 1"/>
    <w:basedOn w:val="Normal"/>
    <w:next w:val="BodyText"/>
    <w:uiPriority w:val="9"/>
    <w:qFormat/>
    <w:rsid w:val="00DF4C3C"/>
    <w:pPr>
      <w:keepNext/>
      <w:keepLines/>
      <w:pageBreakBefore/>
      <w:numPr>
        <w:numId w:val="14"/>
      </w:numPr>
      <w:spacing w:after="0" w:before="480"/>
      <w:outlineLvl w:val="0"/>
    </w:pPr>
    <w:rPr>
      <w:rFonts w:ascii="Times New Roman" w:cstheme="majorBidi" w:eastAsiaTheme="majorEastAsia" w:hAnsi="Times New Roman"/>
      <w:b/>
      <w:bCs/>
      <w:sz w:val="28"/>
      <w:szCs w:val="32"/>
    </w:rPr>
  </w:style>
  <w:style w:styleId="Heading2" w:type="paragraph">
    <w:name w:val="heading 2"/>
    <w:basedOn w:val="Normal"/>
    <w:next w:val="BodyText"/>
    <w:uiPriority w:val="9"/>
    <w:unhideWhenUsed/>
    <w:qFormat/>
    <w:rsid w:val="00D500C1"/>
    <w:pPr>
      <w:keepNext/>
      <w:keepLines/>
      <w:numPr>
        <w:ilvl w:val="1"/>
        <w:numId w:val="14"/>
      </w:numPr>
      <w:spacing w:after="0" w:before="200"/>
      <w:outlineLvl w:val="1"/>
    </w:pPr>
    <w:rPr>
      <w:rFonts w:ascii="Times New Roman" w:cstheme="majorBidi" w:eastAsiaTheme="majorEastAsia" w:hAnsi="Times New Roman"/>
      <w:b/>
      <w:bCs/>
      <w:sz w:val="26"/>
      <w:szCs w:val="28"/>
    </w:rPr>
  </w:style>
  <w:style w:styleId="Heading3" w:type="paragraph">
    <w:name w:val="heading 3"/>
    <w:basedOn w:val="Normal"/>
    <w:next w:val="BodyText"/>
    <w:uiPriority w:val="9"/>
    <w:unhideWhenUsed/>
    <w:qFormat/>
    <w:rsid w:val="00D500C1"/>
    <w:pPr>
      <w:keepNext/>
      <w:keepLines/>
      <w:numPr>
        <w:ilvl w:val="2"/>
        <w:numId w:val="14"/>
      </w:numPr>
      <w:spacing w:after="0" w:before="200"/>
      <w:outlineLvl w:val="2"/>
    </w:pPr>
    <w:rPr>
      <w:rFonts w:ascii="Times New Roman" w:cstheme="majorBidi" w:eastAsiaTheme="majorEastAsia" w:hAnsi="Times New Roman"/>
      <w:b/>
      <w:bCs/>
      <w:sz w:val="26"/>
    </w:rPr>
  </w:style>
  <w:style w:styleId="Heading4" w:type="paragraph">
    <w:name w:val="heading 4"/>
    <w:basedOn w:val="Normal"/>
    <w:next w:val="BodyText"/>
    <w:uiPriority w:val="9"/>
    <w:unhideWhenUsed/>
    <w:qFormat/>
    <w:rsid w:val="00D500C1"/>
    <w:pPr>
      <w:keepNext/>
      <w:keepLines/>
      <w:numPr>
        <w:ilvl w:val="3"/>
        <w:numId w:val="14"/>
      </w:numPr>
      <w:spacing w:after="0" w:before="200"/>
      <w:outlineLvl w:val="3"/>
    </w:pPr>
    <w:rPr>
      <w:rFonts w:ascii="Times New Roman" w:cstheme="majorBidi" w:eastAsiaTheme="majorEastAsia" w:hAnsi="Times New Roman"/>
      <w:b/>
      <w:bCs/>
      <w:sz w:val="26"/>
    </w:rPr>
  </w:style>
  <w:style w:styleId="Heading5" w:type="paragraph">
    <w:name w:val="heading 5"/>
    <w:basedOn w:val="Normal"/>
    <w:next w:val="BodyText"/>
    <w:uiPriority w:val="9"/>
    <w:unhideWhenUsed/>
    <w:qFormat/>
    <w:rsid w:val="00D500C1"/>
    <w:pPr>
      <w:keepNext/>
      <w:keepLines/>
      <w:numPr>
        <w:ilvl w:val="4"/>
        <w:numId w:val="14"/>
      </w:numPr>
      <w:spacing w:after="0" w:before="200"/>
      <w:outlineLvl w:val="4"/>
    </w:pPr>
    <w:rPr>
      <w:rFonts w:ascii="Times New Roman" w:cstheme="majorBidi" w:eastAsiaTheme="majorEastAsia" w:hAnsi="Times New Roman"/>
      <w:b/>
      <w:iCs/>
      <w:sz w:val="26"/>
    </w:rPr>
  </w:style>
  <w:style w:styleId="Heading6" w:type="paragraph">
    <w:name w:val="heading 6"/>
    <w:basedOn w:val="Normal"/>
    <w:next w:val="BodyText"/>
    <w:uiPriority w:val="9"/>
    <w:unhideWhenUsed/>
    <w:qFormat/>
    <w:rsid w:val="00D500C1"/>
    <w:pPr>
      <w:keepNext/>
      <w:keepLines/>
      <w:numPr>
        <w:ilvl w:val="5"/>
        <w:numId w:val="14"/>
      </w:numPr>
      <w:spacing w:after="0" w:before="200"/>
      <w:outlineLvl w:val="5"/>
    </w:pPr>
    <w:rPr>
      <w:rFonts w:ascii="Times New Roman" w:cstheme="majorBidi" w:eastAsiaTheme="majorEastAsia" w:hAnsi="Times New Roman"/>
      <w:b/>
      <w:sz w:val="26"/>
    </w:rPr>
  </w:style>
  <w:style w:styleId="Heading7" w:type="paragraph">
    <w:name w:val="heading 7"/>
    <w:basedOn w:val="Normal"/>
    <w:next w:val="BodyText"/>
    <w:uiPriority w:val="9"/>
    <w:unhideWhenUsed/>
    <w:qFormat/>
    <w:rsid w:val="00D500C1"/>
    <w:pPr>
      <w:keepNext/>
      <w:keepLines/>
      <w:numPr>
        <w:ilvl w:val="6"/>
        <w:numId w:val="14"/>
      </w:numPr>
      <w:spacing w:after="0" w:before="200"/>
      <w:outlineLvl w:val="6"/>
    </w:pPr>
    <w:rPr>
      <w:rFonts w:ascii="Times New Roman" w:cstheme="majorBidi" w:eastAsiaTheme="majorEastAsia" w:hAnsi="Times New Roman"/>
      <w:b/>
      <w:sz w:val="26"/>
    </w:rPr>
  </w:style>
  <w:style w:styleId="Heading8" w:type="paragraph">
    <w:name w:val="heading 8"/>
    <w:basedOn w:val="Normal"/>
    <w:next w:val="BodyText"/>
    <w:uiPriority w:val="9"/>
    <w:unhideWhenUsed/>
    <w:qFormat/>
    <w:rsid w:val="00D500C1"/>
    <w:pPr>
      <w:keepNext/>
      <w:keepLines/>
      <w:numPr>
        <w:ilvl w:val="7"/>
        <w:numId w:val="14"/>
      </w:numPr>
      <w:spacing w:after="0" w:before="200"/>
      <w:outlineLvl w:val="7"/>
    </w:pPr>
    <w:rPr>
      <w:rFonts w:ascii="Times New Roman" w:cstheme="majorBidi" w:eastAsiaTheme="majorEastAsia" w:hAnsi="Times New Roman"/>
      <w:b/>
      <w:sz w:val="26"/>
    </w:rPr>
  </w:style>
  <w:style w:styleId="Heading9" w:type="paragraph">
    <w:name w:val="heading 9"/>
    <w:basedOn w:val="Normal"/>
    <w:next w:val="BodyText"/>
    <w:uiPriority w:val="9"/>
    <w:unhideWhenUsed/>
    <w:qFormat/>
    <w:rsid w:val="00D500C1"/>
    <w:pPr>
      <w:keepNext/>
      <w:keepLines/>
      <w:numPr>
        <w:ilvl w:val="8"/>
        <w:numId w:val="14"/>
      </w:numPr>
      <w:spacing w:after="0" w:before="200"/>
      <w:outlineLvl w:val="8"/>
    </w:pPr>
    <w:rPr>
      <w:rFonts w:ascii="Times New Roman" w:cstheme="majorBidi" w:eastAsiaTheme="majorEastAsia" w:hAnsi="Times New Roman"/>
      <w:b/>
      <w:sz w:val="26"/>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autoRedefine/>
    <w:qFormat/>
    <w:rsid w:val="00B034F3"/>
    <w:pPr>
      <w:spacing w:after="180" w:before="180" w:line="360" w:lineRule="auto"/>
    </w:pPr>
    <w:rPr>
      <w:rFonts w:ascii="Arial" w:hAnsi="Arial"/>
      <w:sz w:val="20"/>
    </w:rPr>
  </w:style>
  <w:style w:customStyle="1" w:styleId="FirstParagraph" w:type="paragraph">
    <w:name w:val="First Paragraph"/>
    <w:basedOn w:val="BodyText"/>
    <w:next w:val="BodyText"/>
    <w:autoRedefine/>
    <w:qFormat/>
    <w:rsid w:val="008D31A4"/>
  </w:style>
  <w:style w:customStyle="1" w:styleId="Compact" w:type="paragraph">
    <w:name w:val="Compact"/>
    <w:basedOn w:val="BodyText"/>
    <w:autoRedefine/>
    <w:qFormat/>
    <w:rsid w:val="008D31A4"/>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autoRedefine/>
    <w:qFormat/>
    <w:rsid w:val="008D31A4"/>
    <w:pPr>
      <w:keepNext/>
      <w:keepLines/>
      <w:jc w:val="center"/>
    </w:pPr>
    <w:rPr>
      <w:rFonts w:ascii="Arial" w:hAnsi="Arial"/>
    </w:rPr>
  </w:style>
  <w:style w:styleId="Date" w:type="paragraph">
    <w:name w:val="Date"/>
    <w:next w:val="BodyText"/>
    <w:autoRedefine/>
    <w:qFormat/>
    <w:rsid w:val="008D31A4"/>
    <w:pPr>
      <w:keepNext/>
      <w:keepLines/>
      <w:jc w:val="center"/>
    </w:pPr>
    <w:rPr>
      <w:rFonts w:ascii="Arial" w:hAnsi="Arial"/>
    </w:rPr>
  </w:style>
  <w:style w:customStyle="1" w:styleId="Abstract" w:type="paragraph">
    <w:name w:val="Abstract"/>
    <w:basedOn w:val="Normal"/>
    <w:next w:val="BodyText"/>
    <w:autoRedefine/>
    <w:qFormat/>
    <w:rsid w:val="008D31A4"/>
    <w:pPr>
      <w:keepNext/>
      <w:keepLines/>
      <w:spacing w:after="300" w:before="300"/>
      <w:jc w:val="both"/>
    </w:pPr>
    <w:rPr>
      <w:rFonts w:ascii="Arial" w:hAnsi="Arial"/>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basedOn w:val="GridTable1Light"/>
    <w:semiHidden/>
    <w:unhideWhenUsed/>
    <w:qFormat/>
    <w:rsid w:val="008F3A26"/>
    <w:rPr>
      <w:rFonts w:ascii="Arial" w:hAnsi="Arial"/>
      <w:sz w:val="20"/>
      <w:szCs w:val="20"/>
      <w:lang w:eastAsia="en-CA" w:val="en-CA"/>
    </w:rPr>
    <w:tblPr/>
    <w:tcPr>
      <w:vAlign w:val="center"/>
    </w:tcPr>
    <w:tblStylePr w:type="firstRow">
      <w:rPr>
        <w:b/>
        <w:bCs/>
      </w:rPr>
      <w:tblPr/>
      <w:tcPr>
        <w:tcBorders>
          <w:bottom w:color="666666" w:space="0" w:sz="12" w:themeColor="text1" w:themeTint="99" w:val="single"/>
        </w:tcBorders>
      </w:tcPr>
    </w:tblStylePr>
    <w:tblStylePr w:type="lastRow">
      <w:rPr>
        <w:b w:val="0"/>
        <w:bCs/>
      </w:rPr>
      <w:tblPr/>
      <w:tcPr>
        <w:tcBorders>
          <w:top w:color="BFBFBF" w:space="0" w:sz="4" w:themeColor="background1" w:themeShade="BF" w:val="single"/>
        </w:tcBorders>
      </w:tcPr>
    </w:tblStylePr>
    <w:tblStylePr w:type="firstCol">
      <w:rPr>
        <w:b/>
        <w:bCs/>
      </w:rPr>
    </w:tblStylePr>
    <w:tblStylePr w:type="lastCol">
      <w:rPr>
        <w:b w:val="0"/>
        <w:bCs/>
      </w:rPr>
    </w:tblStylePr>
    <w:tblStylePr w:type="swCell">
      <w:rPr>
        <w:b/>
      </w:r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rsid w:val="00CB69FF"/>
    <w:pPr>
      <w:keepNext/>
      <w:spacing w:before="120"/>
    </w:pPr>
    <w:rPr>
      <w:rFonts w:ascii="Arial" w:hAnsi="Arial"/>
      <w:b/>
      <w:i w:val="0"/>
      <w:sz w:val="20"/>
    </w:rPr>
  </w:style>
  <w:style w:customStyle="1" w:styleId="ImageCaption" w:type="paragraph">
    <w:name w:val="Image Caption"/>
    <w:basedOn w:val="Caption"/>
    <w:rsid w:val="00CB69FF"/>
    <w:rPr>
      <w:rFonts w:ascii="Arial" w:hAnsi="Arial"/>
      <w:b/>
      <w:i w:val="0"/>
      <w:sz w:val="20"/>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styleId="FootnoteReference" w:type="character">
    <w:name w:val="footnote reference"/>
    <w:basedOn w:val="CaptionChar"/>
    <w:rPr>
      <w:vertAlign w:val="superscript"/>
    </w:rPr>
  </w:style>
  <w:style w:styleId="Hyperlink" w:type="character">
    <w:name w:val="Hyperlink"/>
    <w:uiPriority w:val="99"/>
    <w:rsid w:val="007E2361"/>
    <w:rPr>
      <w:color w:val="0000FF"/>
    </w:rPr>
  </w:style>
  <w:style w:styleId="TOCHeading" w:type="paragraph">
    <w:name w:val="TOC Heading"/>
    <w:aliases w:val="RE_TableOfContent"/>
    <w:next w:val="BodyText"/>
    <w:uiPriority w:val="39"/>
    <w:unhideWhenUsed/>
    <w:qFormat/>
    <w:rsid w:val="00D500C1"/>
    <w:pPr>
      <w:spacing w:before="240" w:line="259" w:lineRule="auto"/>
    </w:pPr>
    <w:rPr>
      <w:rFonts w:ascii="Times New Roman" w:cstheme="majorBidi" w:eastAsiaTheme="majorEastAsia" w:hAnsi="Times New Roman"/>
      <w:b/>
      <w:szCs w:val="32"/>
    </w:rPr>
  </w:style>
  <w:style w:styleId="Header" w:type="paragraph">
    <w:name w:val="header"/>
    <w:basedOn w:val="Normal"/>
    <w:link w:val="HeaderChar"/>
    <w:unhideWhenUsed/>
    <w:rsid w:val="00237720"/>
    <w:pPr>
      <w:tabs>
        <w:tab w:pos="4536" w:val="center"/>
        <w:tab w:pos="9072" w:val="right"/>
      </w:tabs>
      <w:spacing w:after="0"/>
    </w:pPr>
  </w:style>
  <w:style w:customStyle="1" w:styleId="HeaderChar" w:type="character">
    <w:name w:val="Header Char"/>
    <w:basedOn w:val="DefaultParagraphFont"/>
    <w:link w:val="Header"/>
    <w:rsid w:val="00237720"/>
  </w:style>
  <w:style w:styleId="Footer" w:type="paragraph">
    <w:name w:val="footer"/>
    <w:basedOn w:val="Normal"/>
    <w:link w:val="FooterChar"/>
    <w:uiPriority w:val="99"/>
    <w:unhideWhenUsed/>
    <w:rsid w:val="00237720"/>
    <w:pPr>
      <w:tabs>
        <w:tab w:pos="4536" w:val="center"/>
        <w:tab w:pos="9072" w:val="right"/>
      </w:tabs>
      <w:spacing w:after="0"/>
    </w:pPr>
  </w:style>
  <w:style w:customStyle="1" w:styleId="FooterChar" w:type="character">
    <w:name w:val="Footer Char"/>
    <w:basedOn w:val="DefaultParagraphFont"/>
    <w:link w:val="Footer"/>
    <w:uiPriority w:val="99"/>
    <w:rsid w:val="00237720"/>
  </w:style>
  <w:style w:customStyle="1" w:styleId="REVersuch2" w:type="numbering">
    <w:name w:val="RE_Versuch_2"/>
    <w:uiPriority w:val="99"/>
    <w:rsid w:val="00F5435A"/>
    <w:pPr>
      <w:numPr>
        <w:numId w:val="12"/>
      </w:numPr>
    </w:pPr>
  </w:style>
  <w:style w:customStyle="1" w:styleId="BodyTextChar" w:type="character">
    <w:name w:val="Body Text Char"/>
    <w:basedOn w:val="DefaultParagraphFont"/>
    <w:link w:val="BodyText"/>
    <w:rsid w:val="00B034F3"/>
    <w:rPr>
      <w:rFonts w:ascii="Arial" w:hAnsi="Arial"/>
      <w:sz w:val="20"/>
    </w:rPr>
  </w:style>
  <w:style w:styleId="TOC2" w:type="paragraph">
    <w:name w:val="toc 2"/>
    <w:basedOn w:val="Normal"/>
    <w:next w:val="Normal"/>
    <w:autoRedefine/>
    <w:uiPriority w:val="39"/>
    <w:unhideWhenUsed/>
    <w:rsid w:val="00F45D3A"/>
    <w:pPr>
      <w:tabs>
        <w:tab w:pos="880" w:val="left"/>
        <w:tab w:leader="dot" w:pos="9396" w:val="right"/>
      </w:tabs>
      <w:spacing w:after="0"/>
      <w:ind w:hanging="624" w:left="624" w:right="284"/>
    </w:pPr>
    <w:rPr>
      <w:rFonts w:ascii="Times New Roman" w:hAnsi="Times New Roman"/>
      <w:color w:val="0000FF"/>
    </w:rPr>
  </w:style>
  <w:style w:styleId="TOC1" w:type="paragraph">
    <w:name w:val="toc 1"/>
    <w:basedOn w:val="Normal"/>
    <w:next w:val="Normal"/>
    <w:autoRedefine/>
    <w:uiPriority w:val="39"/>
    <w:unhideWhenUsed/>
    <w:rsid w:val="00F45D3A"/>
    <w:pPr>
      <w:spacing w:after="0" w:before="120"/>
      <w:ind w:hanging="425" w:left="425" w:right="284"/>
    </w:pPr>
    <w:rPr>
      <w:rFonts w:ascii="Times New Roman" w:hAnsi="Times New Roman"/>
      <w:b/>
      <w:color w:val="0000FF"/>
    </w:rPr>
  </w:style>
  <w:style w:styleId="TOC3" w:type="paragraph">
    <w:name w:val="toc 3"/>
    <w:basedOn w:val="Normal"/>
    <w:next w:val="Normal"/>
    <w:autoRedefine/>
    <w:uiPriority w:val="39"/>
    <w:unhideWhenUsed/>
    <w:rsid w:val="00F45D3A"/>
    <w:pPr>
      <w:tabs>
        <w:tab w:pos="1320" w:val="left"/>
        <w:tab w:leader="dot" w:pos="9396" w:val="right"/>
      </w:tabs>
      <w:spacing w:after="0"/>
      <w:ind w:hanging="822" w:left="822" w:right="284"/>
    </w:pPr>
    <w:rPr>
      <w:rFonts w:ascii="Times New Roman" w:hAnsi="Times New Roman"/>
      <w:color w:val="0000FF"/>
    </w:rPr>
  </w:style>
  <w:style w:styleId="TOC4" w:type="paragraph">
    <w:name w:val="toc 4"/>
    <w:basedOn w:val="Normal"/>
    <w:next w:val="Normal"/>
    <w:autoRedefine/>
    <w:uiPriority w:val="39"/>
    <w:unhideWhenUsed/>
    <w:rsid w:val="00F45D3A"/>
    <w:pPr>
      <w:tabs>
        <w:tab w:pos="1540" w:val="left"/>
        <w:tab w:leader="dot" w:pos="9396" w:val="right"/>
      </w:tabs>
      <w:spacing w:after="0"/>
      <w:ind w:hanging="1021" w:left="1021" w:right="284"/>
    </w:pPr>
    <w:rPr>
      <w:rFonts w:ascii="Times New Roman" w:hAnsi="Times New Roman"/>
      <w:color w:val="0000FF"/>
    </w:rPr>
  </w:style>
  <w:style w:styleId="TOC5" w:type="paragraph">
    <w:name w:val="toc 5"/>
    <w:basedOn w:val="Normal"/>
    <w:next w:val="Normal"/>
    <w:autoRedefine/>
    <w:uiPriority w:val="39"/>
    <w:unhideWhenUsed/>
    <w:rsid w:val="00F45D3A"/>
    <w:pPr>
      <w:tabs>
        <w:tab w:pos="1880" w:val="left"/>
        <w:tab w:leader="dot" w:pos="9396" w:val="right"/>
      </w:tabs>
      <w:spacing w:after="0"/>
      <w:ind w:hanging="1219" w:left="1219" w:right="284"/>
    </w:pPr>
    <w:rPr>
      <w:rFonts w:ascii="Times New Roman" w:hAnsi="Times New Roman"/>
      <w:color w:val="0000FF"/>
    </w:rPr>
  </w:style>
  <w:style w:styleId="Index1" w:type="paragraph">
    <w:name w:val="index 1"/>
    <w:basedOn w:val="Normal"/>
    <w:next w:val="Normal"/>
    <w:autoRedefine/>
    <w:rsid w:val="00830389"/>
    <w:pPr>
      <w:spacing w:after="0"/>
      <w:ind w:hanging="240" w:left="240"/>
    </w:pPr>
  </w:style>
  <w:style w:styleId="TableofFigures" w:type="paragraph">
    <w:name w:val="table of figures"/>
    <w:basedOn w:val="Normal"/>
    <w:next w:val="Normal"/>
    <w:uiPriority w:val="99"/>
    <w:unhideWhenUsed/>
    <w:rsid w:val="00162E8B"/>
    <w:pPr>
      <w:spacing w:after="0"/>
    </w:pPr>
    <w:rPr>
      <w:rFonts w:ascii="Times New Roman" w:hAnsi="Times New Roman"/>
      <w:color w:val="0000FF"/>
    </w:rPr>
  </w:style>
  <w:style w:styleId="GridTable1Light" w:type="table">
    <w:name w:val="Grid Table 1 Light"/>
    <w:basedOn w:val="TableNormal"/>
    <w:rsid w:val="008D31A4"/>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61" Target="media/rId61.png" /><Relationship Type="http://schemas.openxmlformats.org/officeDocument/2006/relationships/image" Id="rId64" Target="media/rId64.png" /><Relationship Type="http://schemas.openxmlformats.org/officeDocument/2006/relationships/image" Id="rId95" Target="media/rId95.png" /><Relationship Type="http://schemas.openxmlformats.org/officeDocument/2006/relationships/image" Id="rId98" Target="media/rId98.png" /><Relationship Type="http://schemas.openxmlformats.org/officeDocument/2006/relationships/image" Id="rId101" Target="media/rId101.png" /><Relationship Type="http://schemas.openxmlformats.org/officeDocument/2006/relationships/image" Id="rId104" Target="media/rId104.png" /><Relationship Type="http://schemas.openxmlformats.org/officeDocument/2006/relationships/image" Id="rId107" Target="media/rId107.png" /><Relationship Type="http://schemas.openxmlformats.org/officeDocument/2006/relationships/image" Id="rId110" Target="media/rId110.png" /><Relationship Type="http://schemas.openxmlformats.org/officeDocument/2006/relationships/image" Id="rId113" Target="media/rId113.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74" Target="media/rId74.png" /><Relationship Type="http://schemas.openxmlformats.org/officeDocument/2006/relationships/image" Id="rId77" Target="media/rId77.png" /><Relationship Type="http://schemas.openxmlformats.org/officeDocument/2006/relationships/image" Id="rId80" Target="media/rId80.png" /><Relationship Type="http://schemas.openxmlformats.org/officeDocument/2006/relationships/image" Id="rId83" Target="media/rId83.png" /><Relationship Type="http://schemas.openxmlformats.org/officeDocument/2006/relationships/image" Id="rId86" Target="media/rId86.png" /><Relationship Type="http://schemas.openxmlformats.org/officeDocument/2006/relationships/image" Id="rId89" Target="media/rId89.png" /><Relationship Type="http://schemas.openxmlformats.org/officeDocument/2006/relationships/image" Id="rId92" Target="media/rId92.png" /><Relationship Type="http://schemas.openxmlformats.org/officeDocument/2006/relationships/image" Id="rId117" Target="media/rId117.png" /><Relationship Type="http://schemas.openxmlformats.org/officeDocument/2006/relationships/image" Id="rId120" Target="media/rId120.png" /><Relationship Type="http://schemas.openxmlformats.org/officeDocument/2006/relationships/image" Id="rId123" Target="media/rId123.png" /><Relationship Type="http://schemas.openxmlformats.org/officeDocument/2006/relationships/image" Id="rId126" Target="media/rId126.png" /><Relationship Type="http://schemas.openxmlformats.org/officeDocument/2006/relationships/hyperlink" Id="rId21" Target="https://github.com/Open-Systems-Pharmacology/Midazolam-Model/releases/tag/v1.0" TargetMode="External" /></Relationships>
</file>

<file path=word/_rels/footnotes.xml.rels><?xml version="1.0" encoding="UTF-8"?><Relationships xmlns="http://schemas.openxmlformats.org/package/2006/relationships"><Relationship Type="http://schemas.openxmlformats.org/officeDocument/2006/relationships/hyperlink" Id="rId21" Target="https://github.com/Open-Systems-Pharmacology/Midazolam-Model/releases/tag/v1.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2</Pages>
  <Words>118</Words>
  <Characters>679</Characters>
  <Application>Microsoft Office Word</Application>
  <DocSecurity>0</DocSecurity>
  <Lines>5</Lines>
  <Paragraphs>1</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Title</vt:lpstr>
      <vt:lpstr>Title</vt:lpstr>
    </vt:vector>
  </TitlesOfParts>
  <Company/>
  <LinksUpToDate>false</LinksUpToDate>
  <CharactersWithSpaces>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Building and evaluation of a PBPK model for efavirenz in healthy adults</dc:title>
  <dc:creator/>
  <cp:keywords/>
  <dcterms:created xsi:type="dcterms:W3CDTF">2025-03-18T10:24:57Z</dcterms:created>
  <dcterms:modified xsi:type="dcterms:W3CDTF">2025-03-18T10:24:57Z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Version1.0-OSP12.0Based on Model Snapshot and Evaluation Planhttps://github.com/Open-Systems-Pharmacology/Efavirenz-Model/releases/tag/v1.0OSP Version12.0Qualification Framework Version3.3This evaluation report and the corresponding PK-Sim project file are stored at:https://github.com/Open-Systems-Pharmacology/OSP-PBPK-Model-Library/</vt:lpwstr>
  </property>
  <property fmtid="{D5CDD505-2E9C-101B-9397-08002B2CF9AE}" pid="3" name="subtitle">
    <vt:lpwstr/>
  </property>
</Properties>
</file>