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61.png" ContentType="image/png"/>
  <Override PartName="/word/media/rId64.png" ContentType="image/png"/>
  <Override PartName="/word/media/rId80.png" ContentType="image/png"/>
  <Override PartName="/word/media/rId83.png" ContentType="image/png"/>
  <Override PartName="/word/media/rId86.png" ContentType="image/png"/>
  <Override PartName="/word/media/rId89.png" ContentType="image/png"/>
  <Override PartName="/word/media/rId92.png" ContentType="image/png"/>
  <Override PartName="/word/media/rId95.png" ContentType="image/png"/>
  <Override PartName="/word/media/rId98.png" ContentType="image/png"/>
  <Override PartName="/word/media/rId101.png" ContentType="image/png"/>
  <Override PartName="/word/media/rId104.png" ContentType="image/png"/>
  <Override PartName="/word/media/rId107.png" ContentType="image/png"/>
  <Override PartName="/word/media/rId110.png" ContentType="image/png"/>
  <Override PartName="/word/media/rId113.png" ContentType="image/png"/>
  <Override PartName="/word/media/rId116.png" ContentType="image/png"/>
  <Override PartName="/word/media/rId119.png" ContentType="image/png"/>
  <Override PartName="/word/media/rId122.png" ContentType="image/png"/>
  <Override PartName="/word/media/rId68.png" ContentType="image/png"/>
  <Override PartName="/word/media/rId125.png" ContentType="image/png"/>
  <Override PartName="/word/media/rId128.png" ContentType="image/png"/>
  <Override PartName="/word/media/rId71.png" ContentType="image/png"/>
  <Override PartName="/word/media/rId131.png" ContentType="image/png"/>
  <Override PartName="/word/media/rId134.png" ContentType="image/png"/>
  <Override PartName="/word/media/rId137.png" ContentType="image/png"/>
  <Override PartName="/word/media/rId140.png" ContentType="image/png"/>
  <Override PartName="/word/media/rId74.png" ContentType="image/png"/>
  <Override PartName="/word/media/rId143.png" ContentType="image/png"/>
  <Override PartName="/word/media/rId146.png" ContentType="image/png"/>
  <Override PartName="/word/media/rId149.png" ContentType="image/png"/>
  <Override PartName="/word/media/rId152.png" ContentType="image/png"/>
  <Override PartName="/word/media/rId77.png" ContentType="image/png"/>
  <Override PartName="/word/media/rId171.png" ContentType="image/png"/>
  <Override PartName="/word/media/rId174.png" ContentType="image/png"/>
  <Override PartName="/word/media/rId177.png" ContentType="image/png"/>
  <Override PartName="/word/media/rId180.png" ContentType="image/png"/>
  <Override PartName="/word/media/rId183.png" ContentType="image/png"/>
  <Override PartName="/word/media/rId186.png" ContentType="image/png"/>
  <Override PartName="/word/media/rId189.png" ContentType="image/png"/>
  <Override PartName="/word/media/rId156.png" ContentType="image/png"/>
  <Override PartName="/word/media/rId192.png" ContentType="image/png"/>
  <Override PartName="/word/media/rId195.png" ContentType="image/png"/>
  <Override PartName="/word/media/rId198.png" ContentType="image/png"/>
  <Override PartName="/word/media/rId201.png" ContentType="image/png"/>
  <Override PartName="/word/media/rId204.png" ContentType="image/png"/>
  <Override PartName="/word/media/rId207.png" ContentType="image/png"/>
  <Override PartName="/word/media/rId210.png" ContentType="image/png"/>
  <Override PartName="/word/media/rId213.png" ContentType="image/png"/>
  <Override PartName="/word/media/rId159.png" ContentType="image/png"/>
  <Override PartName="/word/media/rId216.png" ContentType="image/png"/>
  <Override PartName="/word/media/rId219.png" ContentType="image/png"/>
  <Override PartName="/word/media/rId222.png" ContentType="image/png"/>
  <Override PartName="/word/media/rId225.png" ContentType="image/png"/>
  <Override PartName="/word/media/rId228.png" ContentType="image/png"/>
  <Override PartName="/word/media/rId231.png" ContentType="image/png"/>
  <Override PartName="/word/media/rId162.png" ContentType="image/png"/>
  <Override PartName="/word/media/rId234.png" ContentType="image/png"/>
  <Override PartName="/word/media/rId237.png" ContentType="image/png"/>
  <Override PartName="/word/media/rId240.png" ContentType="image/png"/>
  <Override PartName="/word/media/rId243.png" ContentType="image/png"/>
  <Override PartName="/word/media/rId246.png" ContentType="image/png"/>
  <Override PartName="/word/media/rId249.png" ContentType="image/png"/>
  <Override PartName="/word/media/rId252.png" ContentType="image/png"/>
  <Override PartName="/word/media/rId255.png" ContentType="image/png"/>
  <Override PartName="/word/media/rId258.png" ContentType="image/png"/>
  <Override PartName="/word/media/rId261.png" ContentType="image/png"/>
  <Override PartName="/word/media/rId264.png" ContentType="image/png"/>
  <Override PartName="/word/media/rId267.png" ContentType="image/png"/>
  <Override PartName="/word/media/rId270.png" ContentType="image/png"/>
  <Override PartName="/word/media/rId273.png" ContentType="image/png"/>
  <Override PartName="/word/media/rId276.png" ContentType="image/png"/>
  <Override PartName="/word/media/rId279.png" ContentType="image/png"/>
  <Override PartName="/word/media/rId282.png" ContentType="image/png"/>
  <Override PartName="/word/media/rId285.png" ContentType="image/png"/>
  <Override PartName="/word/media/rId288.png" ContentType="image/png"/>
  <Override PartName="/word/media/rId291.png" ContentType="image/png"/>
  <Override PartName="/word/media/rId294.png" ContentType="image/png"/>
  <Override PartName="/word/media/rId297.png" ContentType="image/png"/>
  <Override PartName="/word/media/rId300.png" ContentType="image/png"/>
  <Override PartName="/word/media/rId165.png" ContentType="image/png"/>
  <Override PartName="/word/media/rId16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Building</w:t>
      </w:r>
      <w:r>
        <w:t xml:space="preserve"> </w:t>
      </w:r>
      <w:r>
        <w:t xml:space="preserve">and</w:t>
      </w:r>
      <w:r>
        <w:t xml:space="preserve"> </w:t>
      </w:r>
      <w:r>
        <w:t xml:space="preserve">evaluation</w:t>
      </w:r>
      <w:r>
        <w:t xml:space="preserve"> </w:t>
      </w:r>
      <w:r>
        <w:t xml:space="preserve">of</w:t>
      </w:r>
      <w:r>
        <w:t xml:space="preserve"> </w:t>
      </w:r>
      <w:r>
        <w:t xml:space="preserve">a</w:t>
      </w:r>
      <w:r>
        <w:t xml:space="preserve"> </w:t>
      </w:r>
      <w:r>
        <w:t xml:space="preserve">PBPK</w:t>
      </w:r>
      <w:r>
        <w:t xml:space="preserve"> </w:t>
      </w:r>
      <w:r>
        <w:t xml:space="preserve">model</w:t>
      </w:r>
      <w:r>
        <w:t xml:space="preserve"> </w:t>
      </w:r>
      <w:r>
        <w:t xml:space="preserve">for</w:t>
      </w:r>
      <w:r>
        <w:t xml:space="preserve"> </w:t>
      </w:r>
      <w:r>
        <w:t xml:space="preserve">erythromycin</w:t>
      </w:r>
      <w:r>
        <w:t xml:space="preserve"> </w:t>
      </w:r>
      <w:r>
        <w:t xml:space="preserve">in</w:t>
      </w:r>
      <w:r>
        <w:t xml:space="preserve"> </w:t>
      </w:r>
      <w:r>
        <w:t xml:space="preserve">healthy</w:t>
      </w:r>
      <w:r>
        <w:t xml:space="preserve"> </w:t>
      </w:r>
      <w:r>
        <w:t xml:space="preserve">adults</w:t>
      </w:r>
    </w:p>
    <w:p>
      <w:pPr>
        <w:pStyle w:val="AbstractTitle"/>
      </w:pPr>
      <w:r>
        <w:t xml:space="preserve">Abstract</w:t>
      </w:r>
    </w:p>
    <w:tbl>
      <w:tblPr>
        <w:tblStyle w:val="Table"/>
        <w:tblW w:type="pct" w:w="5000"/>
        <w:tblLook w:firstRow="1" w:lastRow="0" w:firstColumn="0" w:lastColumn="0" w:noHBand="0" w:noVBand="0" w:val="0020"/>
        <w:jc w:val="start"/>
      </w:tblPr>
      <w:tblGrid>
        <w:gridCol w:w="3478"/>
        <w:gridCol w:w="4441"/>
      </w:tblGrid>
      <w:tr>
        <w:trPr>
          <w:tblHeader w:val="true"/>
        </w:trPr>
        <w:tc>
          <w:tcPr/>
          <w:p>
            <w:pPr>
              <w:pStyle w:val="Compact"/>
              <w:jc w:val="left"/>
            </w:pPr>
            <w:r>
              <w:t xml:space="preserve">Version</w:t>
            </w:r>
          </w:p>
        </w:tc>
        <w:tc>
          <w:tcPr/>
          <w:p>
            <w:pPr>
              <w:pStyle w:val="Compact"/>
              <w:jc w:val="left"/>
            </w:pPr>
            <w:r>
              <w:t xml:space="preserve">1.0-OSP12.0</w:t>
            </w:r>
          </w:p>
        </w:tc>
      </w:tr>
      <w:tr>
        <w:tc>
          <w:tcPr/>
          <w:p>
            <w:pPr>
              <w:pStyle w:val="Compact"/>
              <w:jc w:val="left"/>
            </w:pPr>
            <w:r>
              <w:t xml:space="preserve">based</w:t>
            </w:r>
            <w:r>
              <w:t xml:space="preserve"> </w:t>
            </w:r>
            <w:r>
              <w:t xml:space="preserve">on</w:t>
            </w:r>
            <w:r>
              <w:t xml:space="preserve"> </w:t>
            </w:r>
            <w:r>
              <w:rPr>
                <w:iCs/>
                <w:i/>
              </w:rPr>
              <w:t xml:space="preserve">Model</w:t>
            </w:r>
            <w:r>
              <w:rPr>
                <w:iCs/>
                <w:i/>
              </w:rPr>
              <w:t xml:space="preserve"> </w:t>
            </w:r>
            <w:r>
              <w:rPr>
                <w:iCs/>
                <w:i/>
              </w:rPr>
              <w:t xml:space="preserve">Snapshot</w:t>
            </w:r>
            <w:r>
              <w:t xml:space="preserve"> </w:t>
            </w:r>
            <w:r>
              <w:t xml:space="preserve">and</w:t>
            </w:r>
            <w:r>
              <w:t xml:space="preserve"> </w:t>
            </w:r>
            <w:r>
              <w:rPr>
                <w:iCs/>
                <w:i/>
              </w:rPr>
              <w:t xml:space="preserve">Evaluation</w:t>
            </w:r>
            <w:r>
              <w:rPr>
                <w:iCs/>
                <w:i/>
              </w:rPr>
              <w:t xml:space="preserve"> </w:t>
            </w:r>
            <w:r>
              <w:rPr>
                <w:iCs/>
                <w:i/>
              </w:rPr>
              <w:t xml:space="preserve">Plan</w:t>
            </w:r>
          </w:p>
        </w:tc>
        <w:tc>
          <w:tcPr/>
          <w:p>
            <w:pPr>
              <w:pStyle w:val="Compact"/>
              <w:jc w:val="left"/>
            </w:pPr>
            <w:r>
              <w:t xml:space="preserve">https://github.com/Open-Systems-Pharmacology/Erythromycin-Model/releases/tag/v1.0</w:t>
            </w:r>
          </w:p>
        </w:tc>
      </w:tr>
      <w:tr>
        <w:tc>
          <w:tcPr/>
          <w:p>
            <w:pPr>
              <w:pStyle w:val="Compact"/>
              <w:jc w:val="left"/>
            </w:pPr>
            <w:r>
              <w:t xml:space="preserve">OSP</w:t>
            </w:r>
            <w:r>
              <w:t xml:space="preserve"> </w:t>
            </w:r>
            <w:r>
              <w:t xml:space="preserve">Version</w:t>
            </w:r>
          </w:p>
        </w:tc>
        <w:tc>
          <w:tcPr/>
          <w:p>
            <w:pPr>
              <w:pStyle w:val="Compact"/>
              <w:jc w:val="left"/>
            </w:pPr>
            <w:r>
              <w:t xml:space="preserve">12.0</w:t>
            </w:r>
          </w:p>
        </w:tc>
      </w:tr>
      <w:tr>
        <w:tc>
          <w:tcPr/>
          <w:p>
            <w:pPr>
              <w:pStyle w:val="Compact"/>
              <w:jc w:val="left"/>
            </w:pPr>
            <w:r>
              <w:t xml:space="preserve">Qualification</w:t>
            </w:r>
            <w:r>
              <w:t xml:space="preserve"> </w:t>
            </w:r>
            <w:r>
              <w:t xml:space="preserve">Framework</w:t>
            </w:r>
            <w:r>
              <w:t xml:space="preserve"> </w:t>
            </w:r>
            <w:r>
              <w:t xml:space="preserve">Version</w:t>
            </w:r>
          </w:p>
        </w:tc>
        <w:tc>
          <w:tcPr/>
          <w:p>
            <w:pPr>
              <w:pStyle w:val="Compact"/>
              <w:jc w:val="left"/>
            </w:pPr>
            <w:r>
              <w:t xml:space="preserve">3.3</w:t>
            </w:r>
          </w:p>
        </w:tc>
      </w:tr>
    </w:tbl>
    <w:p>
      <w:pPr>
        <w:pStyle w:val="Abstract"/>
      </w:pPr>
      <w:r>
        <w:t xml:space="preserve">This</w:t>
      </w:r>
      <w:r>
        <w:t xml:space="preserve"> </w:t>
      </w:r>
      <w:r>
        <w:t xml:space="preserve">evaluation</w:t>
      </w:r>
      <w:r>
        <w:t xml:space="preserve"> </w:t>
      </w:r>
      <w:r>
        <w:t xml:space="preserve">report</w:t>
      </w:r>
      <w:r>
        <w:t xml:space="preserve"> </w:t>
      </w:r>
      <w:r>
        <w:t xml:space="preserve">and</w:t>
      </w:r>
      <w:r>
        <w:t xml:space="preserve"> </w:t>
      </w:r>
      <w:r>
        <w:t xml:space="preserve">the</w:t>
      </w:r>
      <w:r>
        <w:t xml:space="preserve"> </w:t>
      </w:r>
      <w:r>
        <w:t xml:space="preserve">corresponding</w:t>
      </w:r>
      <w:r>
        <w:t xml:space="preserve"> </w:t>
      </w:r>
      <w:r>
        <w:t xml:space="preserve">PK-Sim</w:t>
      </w:r>
      <w:r>
        <w:t xml:space="preserve"> </w:t>
      </w:r>
      <w:r>
        <w:t xml:space="preserve">project</w:t>
      </w:r>
      <w:r>
        <w:t xml:space="preserve"> </w:t>
      </w:r>
      <w:r>
        <w:t xml:space="preserve">file</w:t>
      </w:r>
      <w:r>
        <w:t xml:space="preserve"> </w:t>
      </w:r>
      <w:r>
        <w:t xml:space="preserve">are</w:t>
      </w:r>
      <w:r>
        <w:t xml:space="preserve"> </w:t>
      </w:r>
      <w:r>
        <w:t xml:space="preserve">filed</w:t>
      </w:r>
      <w:r>
        <w:t xml:space="preserve"> </w:t>
      </w:r>
      <w:r>
        <w:t xml:space="preserve">at:</w:t>
      </w:r>
    </w:p>
    <w:p>
      <w:pPr>
        <w:pStyle w:val="Abstract"/>
      </w:pPr>
      <w:r>
        <w:t xml:space="preserve">https://github.com/Open-Systems-Pharmacology/OSP-PBPK-Model-Library/</w:t>
      </w:r>
    </w:p>
    <w:p>
      <w:pPr>
        <w:pStyle w:val="Abstract"/>
      </w:pPr>
      <w:br w:type="page"/>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introduction"/>
    <w:p>
      <w:pPr>
        <w:pStyle w:val="Heading1"/>
      </w:pPr>
      <w:r>
        <w:t xml:space="preserve">Introduction</w:t>
      </w:r>
      <w:bookmarkStart w:id="introduction" w:name="introduction"/>
      <w:bookmarkEnd w:id="introduction"/>
    </w:p>
    <w:p>
      <w:pPr>
        <w:pStyle w:val="FirstParagraph"/>
      </w:pPr>
      <w:r>
        <w:t xml:space="preserve">The presented model building and evaluation report evaluates the performance of a PBPK model for erythromycin in healthy adults.</w:t>
      </w:r>
    </w:p>
    <w:p>
      <w:pPr>
        <w:pStyle w:val="BodyText"/>
      </w:pPr>
      <w:r>
        <w:t xml:space="preserve">Erythromycin a macrolide antibiotic used for the treatment of a number of bacterial infections, including respiratory tract infections, skin infections, chlamydia infections, and others. Erythromycin is available in the form of various salts and formulations, for example as:</w:t>
      </w:r>
    </w:p>
    <w:p>
      <w:pPr>
        <w:numPr>
          <w:ilvl w:val="0"/>
          <w:numId w:val="1001"/>
        </w:numPr>
        <w:pStyle w:val="Compact"/>
      </w:pPr>
      <w:r>
        <w:t xml:space="preserve">erythromycin lactobionate for intravenous injection</w:t>
      </w:r>
    </w:p>
    <w:p>
      <w:pPr>
        <w:numPr>
          <w:ilvl w:val="0"/>
          <w:numId w:val="1001"/>
        </w:numPr>
        <w:pStyle w:val="Compact"/>
      </w:pPr>
      <w:r>
        <w:t xml:space="preserve">erythromycin base in enteric-coated capsules or tablets for oral administration</w:t>
      </w:r>
    </w:p>
    <w:p>
      <w:pPr>
        <w:numPr>
          <w:ilvl w:val="0"/>
          <w:numId w:val="1001"/>
        </w:numPr>
        <w:pStyle w:val="Compact"/>
      </w:pPr>
      <w:r>
        <w:t xml:space="preserve">erythromycin stearate in filmcoated tablets for oral administration</w:t>
      </w:r>
    </w:p>
    <w:p>
      <w:pPr>
        <w:numPr>
          <w:ilvl w:val="0"/>
          <w:numId w:val="1001"/>
        </w:numPr>
        <w:pStyle w:val="Compact"/>
      </w:pPr>
      <w:r>
        <w:t xml:space="preserve">erythromycin ethylsuccinate in suspension or in filmcoated tablets for oral administration</w:t>
      </w:r>
    </w:p>
    <w:p>
      <w:pPr>
        <w:pStyle w:val="FirstParagraph"/>
      </w:pPr>
      <w:r>
        <w:t xml:space="preserve">In its free form as base, erythromycin is easily hydrolyzed in acidic aqueous solution (</w:t>
      </w:r>
      <w:hyperlink w:anchor="Xa559bd5247f9128e74e6edcc17de37648e8cde6">
        <w:r>
          <w:rPr>
            <w:rStyle w:val="Hyperlink"/>
          </w:rPr>
          <w:t xml:space="preserve">Mordi 2000</w:t>
        </w:r>
      </w:hyperlink>
      <w:r>
        <w:t xml:space="preserve">). Therefore, orally administered erythromycin is given in the form of enteric-coated formulations or as more acid-stable salts or esters of erythromycin (e.g. erythromycin ethylsuccinate). Once in the small intestine, erythromycin is rapidly absorbed displaying a highly variable bioavailability (</w:t>
      </w:r>
      <w:hyperlink w:anchor="Xa559bd5247f9128e74e6edcc17de37648e8cde6">
        <w:r>
          <w:rPr>
            <w:rStyle w:val="Hyperlink"/>
          </w:rPr>
          <w:t xml:space="preserve">Chun 1977</w:t>
        </w:r>
      </w:hyperlink>
      <w:r>
        <w:t xml:space="preserve">,</w:t>
      </w:r>
      <w:r>
        <w:t xml:space="preserve"> </w:t>
      </w:r>
      <w:hyperlink w:anchor="Xa559bd5247f9128e74e6edcc17de37648e8cde6">
        <w:r>
          <w:rPr>
            <w:rStyle w:val="Hyperlink"/>
          </w:rPr>
          <w:t xml:space="preserve">Mather 1981</w:t>
        </w:r>
      </w:hyperlink>
      <w:r>
        <w:t xml:space="preserve">). Erythromycin diffuses in most tissues and accumulates in leukocytes and phagocytes (</w:t>
      </w:r>
      <w:hyperlink w:anchor="Xa559bd5247f9128e74e6edcc17de37648e8cde6">
        <w:r>
          <w:rPr>
            <w:rStyle w:val="Hyperlink"/>
          </w:rPr>
          <w:t xml:space="preserve">Miller 1984</w:t>
        </w:r>
      </w:hyperlink>
      <w:r>
        <w:t xml:space="preserve">,</w:t>
      </w:r>
      <w:r>
        <w:t xml:space="preserve"> </w:t>
      </w:r>
      <w:hyperlink w:anchor="Xa559bd5247f9128e74e6edcc17de37648e8cde6">
        <w:r>
          <w:rPr>
            <w:rStyle w:val="Hyperlink"/>
          </w:rPr>
          <w:t xml:space="preserve">Carlier 1987</w:t>
        </w:r>
      </w:hyperlink>
      <w:r>
        <w:t xml:space="preserve">). About 70% of erythromycin is bound to plasma proteins (</w:t>
      </w:r>
      <w:hyperlink w:anchor="Xa559bd5247f9128e74e6edcc17de37648e8cde6">
        <w:r>
          <w:rPr>
            <w:rStyle w:val="Hyperlink"/>
          </w:rPr>
          <w:t xml:space="preserve">Barre 1987</w:t>
        </w:r>
      </w:hyperlink>
      <w:r>
        <w:t xml:space="preserve">). Erythromycin has been shown to be a substrate for various transporters including P-gp and OATP1B1. The latter has been shown to critically affect erythromycin disposition (</w:t>
      </w:r>
      <w:hyperlink w:anchor="Xa559bd5247f9128e74e6edcc17de37648e8cde6">
        <w:r>
          <w:rPr>
            <w:rStyle w:val="Hyperlink"/>
          </w:rPr>
          <w:t xml:space="preserve">Lancaster 2012</w:t>
        </w:r>
      </w:hyperlink>
      <w:r>
        <w:t xml:space="preserve">). Erythromycin is extensively metabolized through N-demethylation catalyzed by CYP3A. Metabolism via CYP4F11 has also been suggested (</w:t>
      </w:r>
      <w:hyperlink w:anchor="Xa559bd5247f9128e74e6edcc17de37648e8cde6">
        <w:r>
          <w:rPr>
            <w:rStyle w:val="Hyperlink"/>
          </w:rPr>
          <w:t xml:space="preserve">Kalsotra 2004</w:t>
        </w:r>
      </w:hyperlink>
      <w:r>
        <w:t xml:space="preserve">). Biliary excretion also appears to play an important role in erythromycin clearance (</w:t>
      </w:r>
      <w:hyperlink w:anchor="Xa559bd5247f9128e74e6edcc17de37648e8cde6">
        <w:r>
          <w:rPr>
            <w:rStyle w:val="Hyperlink"/>
          </w:rPr>
          <w:t xml:space="preserve">Acocella 1968</w:t>
        </w:r>
      </w:hyperlink>
      <w:r>
        <w:t xml:space="preserve">,</w:t>
      </w:r>
      <w:r>
        <w:t xml:space="preserve"> </w:t>
      </w:r>
      <w:hyperlink w:anchor="Xa559bd5247f9128e74e6edcc17de37648e8cde6">
        <w:r>
          <w:rPr>
            <w:rStyle w:val="Hyperlink"/>
          </w:rPr>
          <w:t xml:space="preserve">Chelvan 1979</w:t>
        </w:r>
      </w:hyperlink>
      <w:r>
        <w:t xml:space="preserve">), but its contribution to total elimination remains unknown. The dose fraction excreted unchanged in urine is minimal and highly variable; reported fractions after IV administration range from 0.018 ± 0.005 to 0.171 ± 0.11 (mean ± SD) (</w:t>
      </w:r>
      <w:hyperlink w:anchor="Xa559bd5247f9128e74e6edcc17de37648e8cde6">
        <w:r>
          <w:rPr>
            <w:rStyle w:val="Hyperlink"/>
          </w:rPr>
          <w:t xml:space="preserve">Pasic 1987</w:t>
        </w:r>
      </w:hyperlink>
      <w:r>
        <w:t xml:space="preserve">,</w:t>
      </w:r>
      <w:r>
        <w:t xml:space="preserve"> </w:t>
      </w:r>
      <w:hyperlink w:anchor="Xa559bd5247f9128e74e6edcc17de37648e8cde6">
        <w:r>
          <w:rPr>
            <w:rStyle w:val="Hyperlink"/>
          </w:rPr>
          <w:t xml:space="preserve">Austin 1980</w:t>
        </w:r>
      </w:hyperlink>
      <w:r>
        <w:t xml:space="preserve">). There is abundant evidence from</w:t>
      </w:r>
      <w:r>
        <w:t xml:space="preserve"> </w:t>
      </w:r>
      <w:r>
        <w:rPr>
          <w:iCs/>
          <w:i/>
        </w:rPr>
        <w:t xml:space="preserve">in vitro</w:t>
      </w:r>
      <w:r>
        <w:t xml:space="preserve"> </w:t>
      </w:r>
      <w:r>
        <w:t xml:space="preserve">studies that erythromycin irreversibly inhibits CYP3A (e.g. </w:t>
      </w:r>
      <w:hyperlink w:anchor="Xa559bd5247f9128e74e6edcc17de37648e8cde6">
        <w:r>
          <w:rPr>
            <w:rStyle w:val="Hyperlink"/>
          </w:rPr>
          <w:t xml:space="preserve">Larrey 1983</w:t>
        </w:r>
      </w:hyperlink>
      <w:r>
        <w:t xml:space="preserve">) and the FDA lists erythromycin as moderate index inhibitor for CYP3A. Findings from</w:t>
      </w:r>
      <w:r>
        <w:t xml:space="preserve"> </w:t>
      </w:r>
      <w:r>
        <w:rPr>
          <w:iCs/>
          <w:i/>
        </w:rPr>
        <w:t xml:space="preserve">in vivo</w:t>
      </w:r>
      <w:r>
        <w:t xml:space="preserve"> </w:t>
      </w:r>
      <w:r>
        <w:t xml:space="preserve">studies investigating the dose linearity of erythromycin pharmacokinetics are not fully conclusive, but some studies observed a slight dose dependency (</w:t>
      </w:r>
      <w:hyperlink w:anchor="Xa559bd5247f9128e74e6edcc17de37648e8cde6">
        <w:r>
          <w:rPr>
            <w:rStyle w:val="Hyperlink"/>
          </w:rPr>
          <w:t xml:space="preserve">Austin 1980</w:t>
        </w:r>
      </w:hyperlink>
      <w:r>
        <w:t xml:space="preserve">,</w:t>
      </w:r>
      <w:r>
        <w:t xml:space="preserve"> </w:t>
      </w:r>
      <w:hyperlink w:anchor="Xa559bd5247f9128e74e6edcc17de37648e8cde6">
        <w:r>
          <w:rPr>
            <w:rStyle w:val="Hyperlink"/>
          </w:rPr>
          <w:t xml:space="preserve">Josefsson 1982</w:t>
        </w:r>
      </w:hyperlink>
      <w:r>
        <w:t xml:space="preserve">).</w:t>
      </w:r>
    </w:p>
    <w:bookmarkEnd w:id="20"/>
    <w:bookmarkStart w:id="37" w:name="methods"/>
    <w:p>
      <w:pPr>
        <w:pStyle w:val="Heading1"/>
      </w:pPr>
      <w:r>
        <w:t xml:space="preserve">Methods</w:t>
      </w:r>
      <w:bookmarkStart w:id="methods" w:name="methods"/>
      <w:bookmarkEnd w:id="methods"/>
    </w:p>
    <w:bookmarkStart w:id="21" w:name="modeling-strategy"/>
    <w:p>
      <w:pPr>
        <w:pStyle w:val="Heading2"/>
      </w:pPr>
      <w:r>
        <w:t xml:space="preserve">Modeling Strategy</w:t>
      </w:r>
      <w:bookmarkStart w:id="modeling-strategy" w:name="modeling-strategy"/>
      <w:bookmarkEnd w:id="modeling-strategy"/>
    </w:p>
    <w:p>
      <w:pPr>
        <w:pStyle w:val="FirstParagraph"/>
      </w:pPr>
      <w:r>
        <w:t xml:space="preserve">The general workflow for building an adult PBPK model has been described by Kuepfer et al. (</w:t>
      </w:r>
      <w:hyperlink w:anchor="Xa559bd5247f9128e74e6edcc17de37648e8cde6">
        <w:r>
          <w:rPr>
            <w:rStyle w:val="Hyperlink"/>
          </w:rPr>
          <w:t xml:space="preserve">Kuepfer 2016</w:t>
        </w:r>
      </w:hyperlink>
      <w:r>
        <w:t xml:space="preserve">). Relevant information on the anthropometry (height, weight) was gathered from the respective clinical study, if reported. Information on physiological parameters (e.g. blood flows, organ volumes, hematocrit) in adults was gathered from the literature and has been incorporated in PK-Sim® as described previously (</w:t>
      </w:r>
      <w:hyperlink w:anchor="Xa559bd5247f9128e74e6edcc17de37648e8cde6">
        <w:r>
          <w:rPr>
            <w:rStyle w:val="Hyperlink"/>
          </w:rPr>
          <w:t xml:space="preserve">Willmann 2007</w:t>
        </w:r>
      </w:hyperlink>
      <w:r>
        <w:t xml:space="preserve">). The applied activity and variability of plasma proteins and active processes that are integrated into PK-Sim® are described in the publicly available</w:t>
      </w:r>
      <w:r>
        <w:t xml:space="preserve"> </w:t>
      </w:r>
      <w:r>
        <w:t xml:space="preserve">‘</w:t>
      </w:r>
      <w:r>
        <w:t xml:space="preserve">PK-Sim® Ontogeny Database Version 7.3</w:t>
      </w:r>
      <w:r>
        <w:t xml:space="preserve">’</w:t>
      </w:r>
      <w:r>
        <w:t xml:space="preserve"> </w:t>
      </w:r>
      <w:r>
        <w:t xml:space="preserve">(</w:t>
      </w:r>
      <w:hyperlink w:anchor="Xa559bd5247f9128e74e6edcc17de37648e8cde6">
        <w:r>
          <w:rPr>
            <w:rStyle w:val="Hyperlink"/>
          </w:rPr>
          <w:t xml:space="preserve">PK-Sim Ontogeny Database Version 7.3</w:t>
        </w:r>
      </w:hyperlink>
      <w:r>
        <w:t xml:space="preserve">).</w:t>
      </w:r>
    </w:p>
    <w:p>
      <w:pPr>
        <w:pStyle w:val="BodyText"/>
      </w:pPr>
      <w:r>
        <w:t xml:space="preserve">The PBPK model was developed based on clinical data of healthy adult subjects obtained from the literature, covering different formulation types and erythromycin salts. Multiple doses and dosing schedules following intravenous (IV) and oral (PO) administration were included in model building. Mass balance information on urinary excretion of unchanged erythromycin after IV administration was also accounted for during the model building process.</w:t>
      </w:r>
    </w:p>
    <w:p>
      <w:pPr>
        <w:pStyle w:val="BodyText"/>
      </w:pPr>
      <w:r>
        <w:t xml:space="preserve">Unknown parameters were simultaneously optimized using all available PK data, in particular:</w:t>
      </w:r>
    </w:p>
    <w:p>
      <w:pPr>
        <w:numPr>
          <w:ilvl w:val="0"/>
          <w:numId w:val="1002"/>
        </w:numPr>
        <w:pStyle w:val="Compact"/>
      </w:pPr>
      <w:r>
        <w:t xml:space="preserve">4 data sets following single IV administration of 4 different doses of erythromycin (125 mg, 250 mg, 300 mg, 500 mg) as erythromycin lactobionate</w:t>
      </w:r>
    </w:p>
    <w:p>
      <w:pPr>
        <w:numPr>
          <w:ilvl w:val="0"/>
          <w:numId w:val="1002"/>
        </w:numPr>
        <w:pStyle w:val="Compact"/>
      </w:pPr>
      <w:r>
        <w:t xml:space="preserve">6 data sets following single and multiple PO administration of 3 different doses of erythromycin (250 mg, 500 mg, 1000 mg) as film-coated tablets containing erythromycin stearate</w:t>
      </w:r>
    </w:p>
    <w:p>
      <w:pPr>
        <w:numPr>
          <w:ilvl w:val="0"/>
          <w:numId w:val="1002"/>
        </w:numPr>
        <w:pStyle w:val="Compact"/>
      </w:pPr>
      <w:r>
        <w:t xml:space="preserve">2 data sets following single PO administration of 500 mg erythromycin as enteric-coated tablets containing erythromycin as base</w:t>
      </w:r>
    </w:p>
    <w:p>
      <w:pPr>
        <w:numPr>
          <w:ilvl w:val="0"/>
          <w:numId w:val="1002"/>
        </w:numPr>
        <w:pStyle w:val="Compact"/>
      </w:pPr>
      <w:r>
        <w:t xml:space="preserve">2 data sets following single and multiple PO administration of 2 different doses of erythromycin (250 mg, 500 mg) as enteric-coated capsules containing pellets of erythromycin as base</w:t>
      </w:r>
    </w:p>
    <w:p>
      <w:pPr>
        <w:pStyle w:val="FirstParagraph"/>
      </w:pPr>
      <w:r>
        <w:t xml:space="preserve">Structural model selection was mainly guided by visual inspection of the resulting description of data and biological plausibility. The following parameters were identified using the Parameter Identification module provided in PK-Sim® and MoBi® (</w:t>
      </w:r>
      <w:hyperlink w:anchor="Xa559bd5247f9128e74e6edcc17de37648e8cde6">
        <w:r>
          <w:rPr>
            <w:rStyle w:val="Hyperlink"/>
          </w:rPr>
          <w:t xml:space="preserve">Open Systems Pharmacology Documentation</w:t>
        </w:r>
      </w:hyperlink>
      <w:r>
        <w:t xml:space="preserve">):</w:t>
      </w:r>
    </w:p>
    <w:p>
      <w:pPr>
        <w:numPr>
          <w:ilvl w:val="0"/>
          <w:numId w:val="1003"/>
        </w:numPr>
        <w:pStyle w:val="Compact"/>
      </w:pPr>
      <w:r>
        <w:rPr>
          <w:rStyle w:val="VerbatimChar"/>
        </w:rPr>
        <w:t xml:space="preserve">Specific intestinal permeability (transcellular)</w:t>
      </w:r>
    </w:p>
    <w:p>
      <w:pPr>
        <w:numPr>
          <w:ilvl w:val="0"/>
          <w:numId w:val="1003"/>
        </w:numPr>
        <w:pStyle w:val="Compact"/>
      </w:pPr>
      <w:r>
        <w:rPr>
          <w:rStyle w:val="VerbatimChar"/>
        </w:rPr>
        <w:t xml:space="preserve">Transport Protein - OATP1B1 - kcat</w:t>
      </w:r>
    </w:p>
    <w:p>
      <w:pPr>
        <w:numPr>
          <w:ilvl w:val="0"/>
          <w:numId w:val="1003"/>
        </w:numPr>
        <w:pStyle w:val="Compact"/>
      </w:pPr>
      <w:r>
        <w:rPr>
          <w:rStyle w:val="VerbatimChar"/>
        </w:rPr>
        <w:t xml:space="preserve">Metabolizing Enzyme - CYP3A4 - kcat</w:t>
      </w:r>
    </w:p>
    <w:p>
      <w:pPr>
        <w:numPr>
          <w:ilvl w:val="0"/>
          <w:numId w:val="1003"/>
        </w:numPr>
        <w:pStyle w:val="Compact"/>
      </w:pPr>
      <w:r>
        <w:rPr>
          <w:rStyle w:val="VerbatimChar"/>
        </w:rPr>
        <w:t xml:space="preserve">Total Hepatic Clearance - Specific clearance</w:t>
      </w:r>
    </w:p>
    <w:p>
      <w:pPr>
        <w:numPr>
          <w:ilvl w:val="0"/>
          <w:numId w:val="1003"/>
        </w:numPr>
        <w:pStyle w:val="Compact"/>
      </w:pPr>
      <w:r>
        <w:rPr>
          <w:rStyle w:val="VerbatimChar"/>
        </w:rPr>
        <w:t xml:space="preserve">GFR fraction</w:t>
      </w:r>
    </w:p>
    <w:p>
      <w:pPr>
        <w:numPr>
          <w:ilvl w:val="0"/>
          <w:numId w:val="1003"/>
        </w:numPr>
        <w:pStyle w:val="Compact"/>
      </w:pPr>
      <w:r>
        <w:rPr>
          <w:rStyle w:val="VerbatimChar"/>
        </w:rPr>
        <w:t xml:space="preserve">K_kinact_half</w:t>
      </w:r>
    </w:p>
    <w:p>
      <w:pPr>
        <w:numPr>
          <w:ilvl w:val="0"/>
          <w:numId w:val="1003"/>
        </w:numPr>
        <w:pStyle w:val="Compact"/>
      </w:pPr>
      <w:r>
        <w:rPr>
          <w:rStyle w:val="VerbatimChar"/>
        </w:rPr>
        <w:t xml:space="preserve">kinact</w:t>
      </w:r>
    </w:p>
    <w:p>
      <w:pPr>
        <w:numPr>
          <w:ilvl w:val="0"/>
          <w:numId w:val="1003"/>
        </w:numPr>
        <w:pStyle w:val="Compact"/>
      </w:pPr>
      <w:r>
        <w:rPr>
          <w:rStyle w:val="VerbatimChar"/>
        </w:rPr>
        <w:t xml:space="preserve">Dissolution shape</w:t>
      </w:r>
      <w:r>
        <w:t xml:space="preserve"> </w:t>
      </w:r>
      <w:r>
        <w:t xml:space="preserve">(separately for the film-coated tablet containing erythromycin stearate, the enteric-coated tablet containing erythromycin as base, and the enteric-coated capsule containing pellets of erythromycin as base)</w:t>
      </w:r>
    </w:p>
    <w:p>
      <w:pPr>
        <w:numPr>
          <w:ilvl w:val="0"/>
          <w:numId w:val="1003"/>
        </w:numPr>
        <w:pStyle w:val="Compact"/>
      </w:pPr>
      <w:r>
        <w:rPr>
          <w:rStyle w:val="VerbatimChar"/>
        </w:rPr>
        <w:t xml:space="preserve">Dissolution time (50% dissolved)</w:t>
      </w:r>
      <w:r>
        <w:t xml:space="preserve"> </w:t>
      </w:r>
      <w:r>
        <w:t xml:space="preserve">(separately for the film-coated tablet containing erythromycin stearate, the enteric-coated tablet containing erythromycin as base, and the enteric-coated capsule containing pellets of erythromycin as base)</w:t>
      </w:r>
    </w:p>
    <w:p>
      <w:pPr>
        <w:numPr>
          <w:ilvl w:val="0"/>
          <w:numId w:val="1003"/>
        </w:numPr>
        <w:pStyle w:val="Compact"/>
      </w:pPr>
      <w:r>
        <w:rPr>
          <w:rStyle w:val="VerbatimChar"/>
        </w:rPr>
        <w:t xml:space="preserve">Dissolution lag time</w:t>
      </w:r>
      <w:r>
        <w:t xml:space="preserve"> </w:t>
      </w:r>
      <w:r>
        <w:t xml:space="preserve">(separately for the enteric-coated tablet containing erythromycin as base and the enteric-coated capsule containing pellets of erythromycin as base)</w:t>
      </w:r>
    </w:p>
    <w:p>
      <w:pPr>
        <w:numPr>
          <w:ilvl w:val="0"/>
          <w:numId w:val="1003"/>
        </w:numPr>
        <w:pStyle w:val="Compact"/>
      </w:pPr>
      <w:r>
        <w:rPr>
          <w:rStyle w:val="VerbatimChar"/>
        </w:rPr>
        <w:t xml:space="preserve">Solubility at reference pH</w:t>
      </w:r>
      <w:r>
        <w:t xml:space="preserve"> </w:t>
      </w:r>
      <w:r>
        <w:t xml:space="preserve">(only for the enteric-coated tablet containing erythromycin as base)</w:t>
      </w:r>
    </w:p>
    <w:p>
      <w:pPr>
        <w:pStyle w:val="FirstParagraph"/>
      </w:pPr>
      <w:r>
        <w:t xml:space="preserve">Details about input data (physicochemical,</w:t>
      </w:r>
      <w:r>
        <w:t xml:space="preserve"> </w:t>
      </w:r>
      <w:r>
        <w:rPr>
          <w:iCs/>
          <w:i/>
        </w:rPr>
        <w:t xml:space="preserve">in vitro</w:t>
      </w:r>
      <w:r>
        <w:t xml:space="preserve"> </w:t>
      </w:r>
      <w:r>
        <w:t xml:space="preserve">and clinical) can be found in</w:t>
      </w:r>
      <w:r>
        <w:t xml:space="preserve"> </w:t>
      </w:r>
      <w:hyperlink w:anchor="X681d1fae3f233cf07e1ee33c73d775b8586b96f">
        <w:r>
          <w:rPr>
            <w:rStyle w:val="Hyperlink"/>
          </w:rPr>
          <w:t xml:space="preserve">Section 2.2</w:t>
        </w:r>
      </w:hyperlink>
      <w:r>
        <w:t xml:space="preserve">.</w:t>
      </w:r>
    </w:p>
    <w:p>
      <w:pPr>
        <w:pStyle w:val="BodyText"/>
      </w:pPr>
      <w:r>
        <w:t xml:space="preserve">Details about the structural model and its parameters can be found in</w:t>
      </w:r>
      <w:r>
        <w:t xml:space="preserve"> </w:t>
      </w:r>
      <w:hyperlink w:anchor="X920e58f6eb345d17092abc826058b6950015cf7">
        <w:r>
          <w:rPr>
            <w:rStyle w:val="Hyperlink"/>
          </w:rPr>
          <w:t xml:space="preserve">Section 2.3</w:t>
        </w:r>
      </w:hyperlink>
      <w:r>
        <w:t xml:space="preserve">.</w:t>
      </w:r>
    </w:p>
    <w:bookmarkEnd w:id="21"/>
    <w:bookmarkStart w:id="25" w:name="data"/>
    <w:p>
      <w:pPr>
        <w:pStyle w:val="Heading2"/>
      </w:pPr>
      <w:r>
        <w:t xml:space="preserve">Data</w:t>
      </w:r>
      <w:bookmarkStart w:id="data" w:name="data"/>
      <w:bookmarkEnd w:id="data"/>
    </w:p>
    <w:bookmarkStart w:id="22" w:name="in-vitro-physicochemical-data"/>
    <w:p>
      <w:pPr>
        <w:pStyle w:val="Heading3"/>
      </w:pPr>
      <w:r>
        <w:t xml:space="preserve">2.2.1 In vitro / physicochemical data</w:t>
      </w:r>
    </w:p>
    <w:p>
      <w:pPr>
        <w:pStyle w:val="FirstParagraph"/>
      </w:pPr>
      <w:r>
        <w:t xml:space="preserve">A literature search was carried out to collect available information on physicochemical properties of erythromycin. The obtained information from the literature is summarized in the table below and is used for model building.</w:t>
      </w:r>
    </w:p>
    <w:tbl>
      <w:tblPr>
        <w:tblStyle w:val="Table"/>
        <w:tblW w:type="pct" w:w="5000"/>
        <w:tblLook w:firstRow="1" w:lastRow="0" w:firstColumn="0" w:lastColumn="0" w:noHBand="0" w:noVBand="0" w:val="0020"/>
        <w:jc w:val="start"/>
      </w:tblPr>
      <w:tblGrid>
        <w:gridCol w:w="2178"/>
        <w:gridCol w:w="396"/>
        <w:gridCol w:w="2970"/>
        <w:gridCol w:w="2376"/>
      </w:tblGrid>
      <w:tr>
        <w:trPr>
          <w:tblHeader w:val="true"/>
        </w:trPr>
        <w:tc>
          <w:tcPr/>
          <w:p>
            <w:pPr>
              <w:pStyle w:val="Compact"/>
              <w:jc w:val="left"/>
            </w:pPr>
            <w:r>
              <w:rPr>
                <w:bCs/>
                <w:b/>
              </w:rPr>
              <w:t xml:space="preserve">Parameter</w:t>
            </w:r>
          </w:p>
        </w:tc>
        <w:tc>
          <w:tcPr/>
          <w:p>
            <w:pPr>
              <w:pStyle w:val="Compact"/>
              <w:jc w:val="left"/>
            </w:pPr>
            <w:r>
              <w:rPr>
                <w:bCs/>
                <w:b/>
              </w:rPr>
              <w:t xml:space="preserve">Unit</w:t>
            </w:r>
          </w:p>
        </w:tc>
        <w:tc>
          <w:tcPr/>
          <w:p>
            <w:pPr>
              <w:pStyle w:val="Compact"/>
              <w:jc w:val="left"/>
            </w:pPr>
            <w:r>
              <w:rPr>
                <w:bCs/>
                <w:b/>
              </w:rPr>
              <w:t xml:space="preserve">Literature</w:t>
            </w:r>
          </w:p>
        </w:tc>
        <w:tc>
          <w:tcPr/>
          <w:p>
            <w:pPr>
              <w:pStyle w:val="Compact"/>
              <w:jc w:val="left"/>
            </w:pPr>
            <w:r>
              <w:rPr>
                <w:bCs/>
                <w:b/>
              </w:rPr>
              <w:t xml:space="preserve">Description</w:t>
            </w:r>
          </w:p>
        </w:tc>
      </w:tr>
      <w:tr>
        <w:tc>
          <w:tcPr/>
          <w:p>
            <w:pPr>
              <w:pStyle w:val="Compact"/>
              <w:jc w:val="left"/>
            </w:pPr>
            <w:r>
              <w:t xml:space="preserve">Molecular weight</w:t>
            </w:r>
          </w:p>
        </w:tc>
        <w:tc>
          <w:tcPr/>
          <w:p>
            <w:pPr>
              <w:pStyle w:val="Compact"/>
              <w:jc w:val="left"/>
            </w:pPr>
            <w:r>
              <w:t xml:space="preserve">g/mol</w:t>
            </w:r>
          </w:p>
        </w:tc>
        <w:tc>
          <w:tcPr/>
          <w:p>
            <w:pPr>
              <w:pStyle w:val="Compact"/>
              <w:jc w:val="left"/>
            </w:pPr>
            <w:r>
              <w:t xml:space="preserve">733.9 (</w:t>
            </w:r>
            <w:hyperlink w:anchor="Xa559bd5247f9128e74e6edcc17de37648e8cde6">
              <w:r>
                <w:rPr>
                  <w:rStyle w:val="Hyperlink"/>
                </w:rPr>
                <w:t xml:space="preserve">drugbank.ca</w:t>
              </w:r>
            </w:hyperlink>
            <w:r>
              <w:t xml:space="preserve">)</w:t>
            </w:r>
          </w:p>
        </w:tc>
        <w:tc>
          <w:tcPr/>
          <w:p>
            <w:pPr>
              <w:pStyle w:val="Compact"/>
              <w:jc w:val="left"/>
            </w:pPr>
            <w:r>
              <w:t xml:space="preserve">Molecular weight</w:t>
            </w:r>
          </w:p>
        </w:tc>
      </w:tr>
      <w:tr>
        <w:tc>
          <w:tcPr/>
          <w:p>
            <w:pPr>
              <w:pStyle w:val="Compact"/>
              <w:jc w:val="left"/>
            </w:pPr>
            <w:r>
              <w:t xml:space="preserve">pK</w:t>
            </w:r>
            <w:r>
              <w:rPr>
                <w:vertAlign w:val="subscript"/>
              </w:rPr>
              <w:t xml:space="preserve">a</w:t>
            </w:r>
            <w:r>
              <w:t xml:space="preserve"> </w:t>
            </w:r>
            <w:r>
              <w:t xml:space="preserve">(basic)</w:t>
            </w:r>
          </w:p>
        </w:tc>
        <w:tc>
          <w:tcPr/>
          <w:p>
            <w:pPr>
              <w:pStyle w:val="Compact"/>
            </w:pPr>
          </w:p>
        </w:tc>
        <w:tc>
          <w:tcPr/>
          <w:p>
            <w:pPr>
              <w:pStyle w:val="Compact"/>
              <w:jc w:val="left"/>
            </w:pPr>
            <w:r>
              <w:t xml:space="preserve">8.8 (</w:t>
            </w:r>
            <w:hyperlink w:anchor="Xa559bd5247f9128e74e6edcc17de37648e8cde6">
              <w:r>
                <w:rPr>
                  <w:rStyle w:val="Hyperlink"/>
                </w:rPr>
                <w:t xml:space="preserve">Lien 1974</w:t>
              </w:r>
            </w:hyperlink>
            <w:r>
              <w:t xml:space="preserve">); 8.88 (</w:t>
            </w:r>
            <w:hyperlink w:anchor="Xa559bd5247f9128e74e6edcc17de37648e8cde6">
              <w:r>
                <w:rPr>
                  <w:rStyle w:val="Hyperlink"/>
                </w:rPr>
                <w:t xml:space="preserve">McFarland 1997</w:t>
              </w:r>
            </w:hyperlink>
            <w:r>
              <w:t xml:space="preserve">)</w:t>
            </w:r>
          </w:p>
        </w:tc>
        <w:tc>
          <w:tcPr/>
          <w:p>
            <w:pPr>
              <w:pStyle w:val="Compact"/>
              <w:jc w:val="left"/>
            </w:pPr>
            <w:r>
              <w:t xml:space="preserve">Acid dissociation constant</w:t>
            </w:r>
          </w:p>
        </w:tc>
      </w:tr>
      <w:tr>
        <w:tc>
          <w:tcPr/>
          <w:p>
            <w:pPr>
              <w:pStyle w:val="Compact"/>
              <w:jc w:val="left"/>
            </w:pPr>
            <w:r>
              <w:t xml:space="preserve">logP</w:t>
            </w:r>
          </w:p>
        </w:tc>
        <w:tc>
          <w:tcPr/>
          <w:p>
            <w:pPr>
              <w:pStyle w:val="Compact"/>
            </w:pPr>
          </w:p>
        </w:tc>
        <w:tc>
          <w:tcPr/>
          <w:p>
            <w:pPr>
              <w:pStyle w:val="Compact"/>
              <w:jc w:val="left"/>
            </w:pPr>
            <w:r>
              <w:t xml:space="preserve">2.48 (</w:t>
            </w:r>
            <w:hyperlink w:anchor="Xa559bd5247f9128e74e6edcc17de37648e8cde6">
              <w:r>
                <w:rPr>
                  <w:rStyle w:val="Hyperlink"/>
                </w:rPr>
                <w:t xml:space="preserve">Lien 1974</w:t>
              </w:r>
            </w:hyperlink>
            <w:r>
              <w:t xml:space="preserve">); 2.92 (</w:t>
            </w:r>
            <w:hyperlink w:anchor="Xa559bd5247f9128e74e6edcc17de37648e8cde6">
              <w:r>
                <w:rPr>
                  <w:rStyle w:val="Hyperlink"/>
                </w:rPr>
                <w:t xml:space="preserve">Capobianco 1994</w:t>
              </w:r>
            </w:hyperlink>
            <w:r>
              <w:t xml:space="preserve">); 3.06 (</w:t>
            </w:r>
            <w:hyperlink w:anchor="Xa559bd5247f9128e74e6edcc17de37648e8cde6">
              <w:r>
                <w:rPr>
                  <w:rStyle w:val="Hyperlink"/>
                </w:rPr>
                <w:t xml:space="preserve">McFarland 1997</w:t>
              </w:r>
            </w:hyperlink>
            <w:r>
              <w:t xml:space="preserve">)</w:t>
            </w:r>
          </w:p>
        </w:tc>
        <w:tc>
          <w:tcPr/>
          <w:p>
            <w:pPr>
              <w:pStyle w:val="Compact"/>
              <w:jc w:val="left"/>
            </w:pPr>
            <w:r>
              <w:t xml:space="preserve">Partition coefficient between octanol and water</w:t>
            </w:r>
          </w:p>
        </w:tc>
      </w:tr>
      <w:tr>
        <w:tc>
          <w:tcPr/>
          <w:p>
            <w:pPr>
              <w:pStyle w:val="Compact"/>
              <w:jc w:val="left"/>
            </w:pPr>
            <w:r>
              <w:t xml:space="preserve">f</w:t>
            </w:r>
            <w:r>
              <w:rPr>
                <w:vertAlign w:val="subscript"/>
              </w:rPr>
              <w:t xml:space="preserve">u</w:t>
            </w:r>
          </w:p>
        </w:tc>
        <w:tc>
          <w:tcPr/>
          <w:p>
            <w:pPr>
              <w:pStyle w:val="Compact"/>
            </w:pPr>
          </w:p>
        </w:tc>
        <w:tc>
          <w:tcPr/>
          <w:p>
            <w:pPr>
              <w:pStyle w:val="Compact"/>
              <w:jc w:val="left"/>
            </w:pPr>
            <w:r>
              <w:t xml:space="preserve">0.27 ± 0.05</w:t>
            </w:r>
            <w:r>
              <w:rPr>
                <w:vertAlign w:val="superscript"/>
              </w:rPr>
              <w:t xml:space="preserve">a</w:t>
            </w:r>
            <w:r>
              <w:t xml:space="preserve"> </w:t>
            </w:r>
            <w:r>
              <w:t xml:space="preserve">(</w:t>
            </w:r>
            <w:hyperlink w:anchor="Xa559bd5247f9128e74e6edcc17de37648e8cde6">
              <w:r>
                <w:rPr>
                  <w:rStyle w:val="Hyperlink"/>
                </w:rPr>
                <w:t xml:space="preserve">Sun 2010</w:t>
              </w:r>
            </w:hyperlink>
            <w:r>
              <w:t xml:space="preserve">); 0.28 ± 0.04</w:t>
            </w:r>
            <w:r>
              <w:rPr>
                <w:vertAlign w:val="superscript"/>
              </w:rPr>
              <w:t xml:space="preserve">a</w:t>
            </w:r>
            <w:r>
              <w:t xml:space="preserve"> </w:t>
            </w:r>
            <w:r>
              <w:t xml:space="preserve">(</w:t>
            </w:r>
            <w:hyperlink w:anchor="Xa559bd5247f9128e74e6edcc17de37648e8cde6">
              <w:r>
                <w:rPr>
                  <w:rStyle w:val="Hyperlink"/>
                </w:rPr>
                <w:t xml:space="preserve">Iliopoulou 1982</w:t>
              </w:r>
            </w:hyperlink>
            <w:r>
              <w:t xml:space="preserve">); 0.305 ± 0.028</w:t>
            </w:r>
            <w:r>
              <w:rPr>
                <w:vertAlign w:val="superscript"/>
              </w:rPr>
              <w:t xml:space="preserve">a</w:t>
            </w:r>
            <w:r>
              <w:t xml:space="preserve"> </w:t>
            </w:r>
            <w:r>
              <w:t xml:space="preserve">(</w:t>
            </w:r>
            <w:hyperlink w:anchor="Xa559bd5247f9128e74e6edcc17de37648e8cde6">
              <w:r>
                <w:rPr>
                  <w:rStyle w:val="Hyperlink"/>
                </w:rPr>
                <w:t xml:space="preserve">Barre 1987</w:t>
              </w:r>
            </w:hyperlink>
            <w:r>
              <w:t xml:space="preserve">); 0.326 (</w:t>
            </w:r>
            <w:hyperlink w:anchor="Xa559bd5247f9128e74e6edcc17de37648e8cde6">
              <w:r>
                <w:rPr>
                  <w:rStyle w:val="Hyperlink"/>
                </w:rPr>
                <w:t xml:space="preserve">Xu 2009</w:t>
              </w:r>
            </w:hyperlink>
            <w:r>
              <w:t xml:space="preserve">)</w:t>
            </w:r>
          </w:p>
        </w:tc>
        <w:tc>
          <w:tcPr/>
          <w:p>
            <w:pPr>
              <w:pStyle w:val="Compact"/>
              <w:jc w:val="left"/>
            </w:pPr>
            <w:r>
              <w:t xml:space="preserve">Fraction unbound in human plasma</w:t>
            </w:r>
          </w:p>
        </w:tc>
      </w:tr>
      <w:tr>
        <w:tc>
          <w:tcPr/>
          <w:p>
            <w:pPr>
              <w:pStyle w:val="Compact"/>
              <w:jc w:val="left"/>
            </w:pPr>
            <w:r>
              <w:t xml:space="preserve">Water solubility (erythromycin lactobionate)</w:t>
            </w:r>
          </w:p>
        </w:tc>
        <w:tc>
          <w:tcPr/>
          <w:p>
            <w:pPr>
              <w:pStyle w:val="Compact"/>
              <w:jc w:val="left"/>
            </w:pPr>
            <w:r>
              <w:t xml:space="preserve">mg/L</w:t>
            </w:r>
          </w:p>
        </w:tc>
        <w:tc>
          <w:tcPr/>
          <w:p>
            <w:pPr>
              <w:pStyle w:val="Compact"/>
              <w:jc w:val="left"/>
            </w:pPr>
            <w:r>
              <w:t xml:space="preserve">200000 (</w:t>
            </w:r>
            <w:hyperlink w:anchor="Xa559bd5247f9128e74e6edcc17de37648e8cde6">
              <w:r>
                <w:rPr>
                  <w:rStyle w:val="Hyperlink"/>
                </w:rPr>
                <w:t xml:space="preserve">U.S. Patent 2,761,859</w:t>
              </w:r>
            </w:hyperlink>
            <w:r>
              <w:t xml:space="preserve">)</w:t>
            </w:r>
          </w:p>
        </w:tc>
        <w:tc>
          <w:tcPr/>
          <w:p>
            <w:pPr>
              <w:pStyle w:val="Compact"/>
              <w:jc w:val="left"/>
            </w:pPr>
            <w:r>
              <w:t xml:space="preserve">Solubility of erythromycin lactobionate in water</w:t>
            </w:r>
          </w:p>
        </w:tc>
      </w:tr>
      <w:tr>
        <w:tc>
          <w:tcPr/>
          <w:p>
            <w:pPr>
              <w:pStyle w:val="Compact"/>
              <w:jc w:val="left"/>
            </w:pPr>
            <w:r>
              <w:t xml:space="preserve">Water solubility (erythromycin stearate)</w:t>
            </w:r>
          </w:p>
        </w:tc>
        <w:tc>
          <w:tcPr/>
          <w:p>
            <w:pPr>
              <w:pStyle w:val="Compact"/>
              <w:jc w:val="left"/>
            </w:pPr>
            <w:r>
              <w:t xml:space="preserve">mg/L</w:t>
            </w:r>
          </w:p>
        </w:tc>
        <w:tc>
          <w:tcPr/>
          <w:p>
            <w:pPr>
              <w:pStyle w:val="Compact"/>
              <w:jc w:val="left"/>
            </w:pPr>
            <w:r>
              <w:t xml:space="preserve">182 (</w:t>
            </w:r>
            <w:hyperlink w:anchor="Xa559bd5247f9128e74e6edcc17de37648e8cde6">
              <w:r>
                <w:rPr>
                  <w:rStyle w:val="Hyperlink"/>
                </w:rPr>
                <w:t xml:space="preserve">Jones 1969</w:t>
              </w:r>
            </w:hyperlink>
            <w:r>
              <w:t xml:space="preserve">)</w:t>
            </w:r>
          </w:p>
        </w:tc>
        <w:tc>
          <w:tcPr/>
          <w:p>
            <w:pPr>
              <w:pStyle w:val="Compact"/>
              <w:jc w:val="left"/>
            </w:pPr>
            <w:r>
              <w:t xml:space="preserve">Solubility of erythromycin stearate in water</w:t>
            </w:r>
          </w:p>
        </w:tc>
      </w:tr>
      <w:tr>
        <w:tc>
          <w:tcPr/>
          <w:p>
            <w:pPr>
              <w:pStyle w:val="Compact"/>
              <w:jc w:val="left"/>
            </w:pPr>
            <w:r>
              <w:t xml:space="preserve">Water solubility (erythromycin base)</w:t>
            </w:r>
          </w:p>
        </w:tc>
        <w:tc>
          <w:tcPr/>
          <w:p>
            <w:pPr>
              <w:pStyle w:val="Compact"/>
              <w:jc w:val="left"/>
            </w:pPr>
            <w:r>
              <w:t xml:space="preserve">mg/L</w:t>
            </w:r>
          </w:p>
        </w:tc>
        <w:tc>
          <w:tcPr/>
          <w:p>
            <w:pPr>
              <w:pStyle w:val="Compact"/>
              <w:jc w:val="left"/>
            </w:pPr>
            <w:r>
              <w:t xml:space="preserve">2100 (</w:t>
            </w:r>
            <w:hyperlink w:anchor="Xa559bd5247f9128e74e6edcc17de37648e8cde6">
              <w:r>
                <w:rPr>
                  <w:rStyle w:val="Hyperlink"/>
                </w:rPr>
                <w:t xml:space="preserve">Manna 1998</w:t>
              </w:r>
            </w:hyperlink>
            <w:r>
              <w:t xml:space="preserve">)</w:t>
            </w:r>
          </w:p>
        </w:tc>
        <w:tc>
          <w:tcPr/>
          <w:p>
            <w:pPr>
              <w:pStyle w:val="Compact"/>
              <w:jc w:val="left"/>
            </w:pPr>
            <w:r>
              <w:t xml:space="preserve">Solubility of free erythromycin as base in water</w:t>
            </w:r>
          </w:p>
        </w:tc>
      </w:tr>
    </w:tbl>
    <w:p>
      <w:pPr>
        <w:pStyle w:val="BodyText"/>
      </w:pPr>
      <w:r>
        <w:rPr>
          <w:vertAlign w:val="superscript"/>
        </w:rPr>
        <w:t xml:space="preserve">a</w:t>
      </w:r>
      <w:r>
        <w:t xml:space="preserve"> </w:t>
      </w:r>
      <w:r>
        <w:t xml:space="preserve">mean ± SD</w:t>
      </w:r>
    </w:p>
    <w:bookmarkEnd w:id="22"/>
    <w:bookmarkStart w:id="23" w:name="X6e56b173ce29101083576c45e4b9a4954163f94"/>
    <w:p>
      <w:pPr>
        <w:pStyle w:val="Heading3"/>
      </w:pPr>
      <w:r>
        <w:t xml:space="preserve">2.2.2 In vitro data on mechanism-based inhibition of CYP3A</w:t>
      </w:r>
    </w:p>
    <w:p>
      <w:pPr>
        <w:pStyle w:val="FirstParagraph"/>
      </w:pPr>
      <w:r>
        <w:t xml:space="preserve">A literature search was carried out to collect quantitative information the kinetic parameters describing the mechanism-based inhibition of CYP3A by erythromycin, K</w:t>
      </w:r>
      <w:r>
        <w:rPr>
          <w:vertAlign w:val="subscript"/>
        </w:rPr>
        <w:t xml:space="preserve">I</w:t>
      </w:r>
      <w:r>
        <w:t xml:space="preserve"> </w:t>
      </w:r>
      <w:r>
        <w:t xml:space="preserve">and k</w:t>
      </w:r>
      <w:r>
        <w:rPr>
          <w:vertAlign w:val="subscript"/>
        </w:rPr>
        <w:t xml:space="preserve">inact</w:t>
      </w:r>
      <w:r>
        <w:t xml:space="preserve">. Ample data was collected from the literature and is summarized in the table below.</w:t>
      </w:r>
    </w:p>
    <w:tbl>
      <w:tblPr>
        <w:tblStyle w:val="Table"/>
        <w:tblW w:type="pct" w:w="5000"/>
        <w:tblLook w:firstRow="1" w:lastRow="0" w:firstColumn="0" w:lastColumn="0" w:noHBand="0" w:noVBand="0" w:val="0020"/>
        <w:jc w:val="start"/>
      </w:tblPr>
      <w:tblGrid>
        <w:gridCol w:w="629"/>
        <w:gridCol w:w="629"/>
        <w:gridCol w:w="222"/>
        <w:gridCol w:w="740"/>
        <w:gridCol w:w="1406"/>
        <w:gridCol w:w="1554"/>
        <w:gridCol w:w="1443"/>
        <w:gridCol w:w="1295"/>
      </w:tblGrid>
      <w:tr>
        <w:trPr>
          <w:tblHeader w:val="true"/>
        </w:trPr>
        <w:tc>
          <w:tcPr/>
          <w:p>
            <w:pPr>
              <w:pStyle w:val="Compact"/>
              <w:jc w:val="left"/>
            </w:pPr>
            <w:r>
              <w:t xml:space="preserve">Victim compound</w:t>
            </w:r>
          </w:p>
        </w:tc>
        <w:tc>
          <w:tcPr/>
          <w:p>
            <w:pPr>
              <w:pStyle w:val="Compact"/>
              <w:jc w:val="left"/>
            </w:pPr>
            <w:r>
              <w:t xml:space="preserve">In vitro system</w:t>
            </w:r>
          </w:p>
        </w:tc>
        <w:tc>
          <w:tcPr/>
          <w:p>
            <w:pPr>
              <w:pStyle w:val="Compact"/>
              <w:jc w:val="left"/>
            </w:pPr>
            <w:r>
              <w:t xml:space="preserve">Enzyme</w:t>
            </w:r>
          </w:p>
        </w:tc>
        <w:tc>
          <w:tcPr/>
          <w:p>
            <w:pPr>
              <w:pStyle w:val="Compact"/>
              <w:jc w:val="left"/>
            </w:pPr>
            <w:r>
              <w:t xml:space="preserve">K</w:t>
            </w:r>
            <w:r>
              <w:rPr>
                <w:vertAlign w:val="subscript"/>
              </w:rPr>
              <w:t xml:space="preserve">I</w:t>
            </w:r>
            <w:r>
              <w:t xml:space="preserve"> </w:t>
            </w:r>
            <w:r>
              <w:t xml:space="preserve">[µM]</w:t>
            </w:r>
          </w:p>
        </w:tc>
        <w:tc>
          <w:tcPr/>
          <w:p>
            <w:pPr>
              <w:pStyle w:val="Compact"/>
              <w:jc w:val="left"/>
            </w:pPr>
            <w:r>
              <w:t xml:space="preserve">k</w:t>
            </w:r>
            <w:r>
              <w:rPr>
                <w:vertAlign w:val="subscript"/>
              </w:rPr>
              <w:t xml:space="preserve">inact</w:t>
            </w:r>
            <w:r>
              <w:t xml:space="preserve"> </w:t>
            </w:r>
            <w:r>
              <w:t xml:space="preserve">[min</w:t>
            </w:r>
            <w:r>
              <w:rPr>
                <w:vertAlign w:val="superscript"/>
              </w:rPr>
              <w:t xml:space="preserve">-1</w:t>
            </w:r>
            <w:r>
              <w:t xml:space="preserve">]</w:t>
            </w:r>
          </w:p>
        </w:tc>
        <w:tc>
          <w:tcPr/>
          <w:p>
            <w:pPr>
              <w:pStyle w:val="Compact"/>
              <w:jc w:val="left"/>
            </w:pPr>
            <w:r>
              <w:t xml:space="preserve">Concentration range of erythromycin [µM]</w:t>
            </w:r>
          </w:p>
        </w:tc>
        <w:tc>
          <w:tcPr/>
          <w:p>
            <w:pPr>
              <w:pStyle w:val="Compact"/>
              <w:jc w:val="left"/>
            </w:pPr>
            <w:r>
              <w:t xml:space="preserve">Concentration of victim compound [µM]</w:t>
            </w:r>
          </w:p>
        </w:tc>
        <w:tc>
          <w:tcPr/>
          <w:p>
            <w:pPr>
              <w:pStyle w:val="Compact"/>
              <w:jc w:val="left"/>
            </w:pPr>
            <w:r>
              <w:t xml:space="preserve">Reference</w:t>
            </w:r>
          </w:p>
        </w:tc>
      </w:tr>
      <w:tr>
        <w:tc>
          <w:tcPr/>
          <w:p>
            <w:pPr>
              <w:pStyle w:val="Compact"/>
              <w:jc w:val="left"/>
            </w:pPr>
            <w:r>
              <w:t xml:space="preserve">testosterone</w:t>
            </w:r>
          </w:p>
        </w:tc>
        <w:tc>
          <w:tcPr/>
          <w:p>
            <w:pPr>
              <w:pStyle w:val="Compact"/>
              <w:jc w:val="left"/>
            </w:pPr>
            <w:r>
              <w:t xml:space="preserve">rec cDNA CYP3A4</w:t>
            </w:r>
          </w:p>
        </w:tc>
        <w:tc>
          <w:tcPr/>
          <w:p>
            <w:pPr>
              <w:pStyle w:val="Compact"/>
              <w:jc w:val="left"/>
            </w:pPr>
            <w:r>
              <w:t xml:space="preserve">CYP3A4</w:t>
            </w:r>
          </w:p>
        </w:tc>
        <w:tc>
          <w:tcPr/>
          <w:p>
            <w:pPr>
              <w:pStyle w:val="Compact"/>
              <w:jc w:val="left"/>
            </w:pPr>
            <w:r>
              <w:t xml:space="preserve">1.04</w:t>
            </w:r>
          </w:p>
        </w:tc>
        <w:tc>
          <w:tcPr/>
          <w:p>
            <w:pPr>
              <w:pStyle w:val="Compact"/>
              <w:jc w:val="left"/>
            </w:pPr>
            <w:r>
              <w:t xml:space="preserve">0.0293</w:t>
            </w:r>
          </w:p>
        </w:tc>
        <w:tc>
          <w:tcPr/>
          <w:p>
            <w:pPr>
              <w:pStyle w:val="Compact"/>
              <w:jc w:val="left"/>
            </w:pPr>
            <w:r>
              <w:t xml:space="preserve">0 - 20</w:t>
            </w:r>
          </w:p>
        </w:tc>
        <w:tc>
          <w:tcPr/>
          <w:p>
            <w:pPr>
              <w:pStyle w:val="Compact"/>
              <w:jc w:val="left"/>
            </w:pPr>
            <w:r>
              <w:t xml:space="preserve">100</w:t>
            </w:r>
          </w:p>
        </w:tc>
        <w:tc>
          <w:tcPr/>
          <w:p>
            <w:pPr>
              <w:pStyle w:val="Compact"/>
              <w:jc w:val="left"/>
            </w:pPr>
            <w:hyperlink w:anchor="Xa559bd5247f9128e74e6edcc17de37648e8cde6">
              <w:r>
                <w:rPr>
                  <w:rStyle w:val="Hyperlink"/>
                </w:rPr>
                <w:t xml:space="preserve">Akiyoshi 2013</w:t>
              </w:r>
            </w:hyperlink>
          </w:p>
        </w:tc>
      </w:tr>
      <w:tr>
        <w:tc>
          <w:tcPr/>
          <w:p>
            <w:pPr>
              <w:pStyle w:val="Compact"/>
              <w:jc w:val="left"/>
            </w:pPr>
            <w:r>
              <w:t xml:space="preserve">testosterone</w:t>
            </w:r>
          </w:p>
        </w:tc>
        <w:tc>
          <w:tcPr/>
          <w:p>
            <w:pPr>
              <w:pStyle w:val="Compact"/>
              <w:jc w:val="left"/>
            </w:pPr>
            <w:r>
              <w:t xml:space="preserve">rec cDNA CYP3A4</w:t>
            </w:r>
          </w:p>
        </w:tc>
        <w:tc>
          <w:tcPr/>
          <w:p>
            <w:pPr>
              <w:pStyle w:val="Compact"/>
              <w:jc w:val="left"/>
            </w:pPr>
            <w:r>
              <w:t xml:space="preserve">CYP3A4</w:t>
            </w:r>
          </w:p>
        </w:tc>
        <w:tc>
          <w:tcPr/>
          <w:p>
            <w:pPr>
              <w:pStyle w:val="Compact"/>
              <w:jc w:val="left"/>
            </w:pPr>
            <w:r>
              <w:t xml:space="preserve">1.21</w:t>
            </w:r>
          </w:p>
        </w:tc>
        <w:tc>
          <w:tcPr/>
          <w:p>
            <w:pPr>
              <w:pStyle w:val="Compact"/>
              <w:jc w:val="left"/>
            </w:pPr>
            <w:r>
              <w:t xml:space="preserve">0.0164</w:t>
            </w:r>
          </w:p>
        </w:tc>
        <w:tc>
          <w:tcPr/>
          <w:p>
            <w:pPr>
              <w:pStyle w:val="Compact"/>
              <w:jc w:val="left"/>
            </w:pPr>
            <w:r>
              <w:t xml:space="preserve">0 - 20</w:t>
            </w:r>
          </w:p>
        </w:tc>
        <w:tc>
          <w:tcPr/>
          <w:p>
            <w:pPr>
              <w:pStyle w:val="Compact"/>
              <w:jc w:val="left"/>
            </w:pPr>
            <w:r>
              <w:t xml:space="preserve">100</w:t>
            </w:r>
          </w:p>
        </w:tc>
        <w:tc>
          <w:tcPr/>
          <w:p>
            <w:pPr>
              <w:pStyle w:val="Compact"/>
              <w:jc w:val="left"/>
            </w:pPr>
            <w:hyperlink w:anchor="Xa559bd5247f9128e74e6edcc17de37648e8cde6">
              <w:r>
                <w:rPr>
                  <w:rStyle w:val="Hyperlink"/>
                </w:rPr>
                <w:t xml:space="preserve">Akiyoshi 2013</w:t>
              </w:r>
            </w:hyperlink>
          </w:p>
        </w:tc>
      </w:tr>
      <w:tr>
        <w:tc>
          <w:tcPr/>
          <w:p>
            <w:pPr>
              <w:pStyle w:val="Compact"/>
              <w:jc w:val="left"/>
            </w:pPr>
            <w:r>
              <w:t xml:space="preserve">testosterone</w:t>
            </w:r>
          </w:p>
        </w:tc>
        <w:tc>
          <w:tcPr/>
          <w:p>
            <w:pPr>
              <w:pStyle w:val="Compact"/>
              <w:jc w:val="left"/>
            </w:pPr>
            <w:r>
              <w:t xml:space="preserve">rec cDNA CYP3A4</w:t>
            </w:r>
          </w:p>
        </w:tc>
        <w:tc>
          <w:tcPr/>
          <w:p>
            <w:pPr>
              <w:pStyle w:val="Compact"/>
              <w:jc w:val="left"/>
            </w:pPr>
            <w:r>
              <w:t xml:space="preserve">CYP3A4</w:t>
            </w:r>
          </w:p>
        </w:tc>
        <w:tc>
          <w:tcPr/>
          <w:p>
            <w:pPr>
              <w:pStyle w:val="Compact"/>
              <w:jc w:val="left"/>
            </w:pPr>
            <w:r>
              <w:t xml:space="preserve">0.415</w:t>
            </w:r>
          </w:p>
        </w:tc>
        <w:tc>
          <w:tcPr/>
          <w:p>
            <w:pPr>
              <w:pStyle w:val="Compact"/>
              <w:jc w:val="left"/>
            </w:pPr>
            <w:r>
              <w:t xml:space="preserve">0.0159</w:t>
            </w:r>
          </w:p>
        </w:tc>
        <w:tc>
          <w:tcPr/>
          <w:p>
            <w:pPr>
              <w:pStyle w:val="Compact"/>
              <w:jc w:val="left"/>
            </w:pPr>
            <w:r>
              <w:t xml:space="preserve">0 - 20</w:t>
            </w:r>
          </w:p>
        </w:tc>
        <w:tc>
          <w:tcPr/>
          <w:p>
            <w:pPr>
              <w:pStyle w:val="Compact"/>
              <w:jc w:val="left"/>
            </w:pPr>
            <w:r>
              <w:t xml:space="preserve">100</w:t>
            </w:r>
          </w:p>
        </w:tc>
        <w:tc>
          <w:tcPr/>
          <w:p>
            <w:pPr>
              <w:pStyle w:val="Compact"/>
              <w:jc w:val="left"/>
            </w:pPr>
            <w:hyperlink w:anchor="Xa559bd5247f9128e74e6edcc17de37648e8cde6">
              <w:r>
                <w:rPr>
                  <w:rStyle w:val="Hyperlink"/>
                </w:rPr>
                <w:t xml:space="preserve">Akiyoshi 2013</w:t>
              </w:r>
            </w:hyperlink>
          </w:p>
        </w:tc>
      </w:tr>
      <w:tr>
        <w:tc>
          <w:tcPr/>
          <w:p>
            <w:pPr>
              <w:pStyle w:val="Compact"/>
              <w:jc w:val="left"/>
            </w:pPr>
            <w:r>
              <w:t xml:space="preserve">testosterone</w:t>
            </w:r>
          </w:p>
        </w:tc>
        <w:tc>
          <w:tcPr/>
          <w:p>
            <w:pPr>
              <w:pStyle w:val="Compact"/>
              <w:jc w:val="left"/>
            </w:pPr>
            <w:r>
              <w:t xml:space="preserve">rec cDNA CYP3A4</w:t>
            </w:r>
          </w:p>
        </w:tc>
        <w:tc>
          <w:tcPr/>
          <w:p>
            <w:pPr>
              <w:pStyle w:val="Compact"/>
              <w:jc w:val="left"/>
            </w:pPr>
            <w:r>
              <w:t xml:space="preserve">CYP3A4</w:t>
            </w:r>
          </w:p>
        </w:tc>
        <w:tc>
          <w:tcPr/>
          <w:p>
            <w:pPr>
              <w:pStyle w:val="Compact"/>
              <w:jc w:val="left"/>
            </w:pPr>
            <w:r>
              <w:t xml:space="preserve">2.24</w:t>
            </w:r>
          </w:p>
        </w:tc>
        <w:tc>
          <w:tcPr/>
          <w:p>
            <w:pPr>
              <w:pStyle w:val="Compact"/>
              <w:jc w:val="left"/>
            </w:pPr>
            <w:r>
              <w:t xml:space="preserve">0.0293</w:t>
            </w:r>
          </w:p>
        </w:tc>
        <w:tc>
          <w:tcPr/>
          <w:p>
            <w:pPr>
              <w:pStyle w:val="Compact"/>
              <w:jc w:val="left"/>
            </w:pPr>
            <w:r>
              <w:t xml:space="preserve">0 - 20</w:t>
            </w:r>
          </w:p>
        </w:tc>
        <w:tc>
          <w:tcPr/>
          <w:p>
            <w:pPr>
              <w:pStyle w:val="Compact"/>
              <w:jc w:val="left"/>
            </w:pPr>
            <w:r>
              <w:t xml:space="preserve">100</w:t>
            </w:r>
          </w:p>
        </w:tc>
        <w:tc>
          <w:tcPr/>
          <w:p>
            <w:pPr>
              <w:pStyle w:val="Compact"/>
              <w:jc w:val="left"/>
            </w:pPr>
            <w:hyperlink w:anchor="Xa559bd5247f9128e74e6edcc17de37648e8cde6">
              <w:r>
                <w:rPr>
                  <w:rStyle w:val="Hyperlink"/>
                </w:rPr>
                <w:t xml:space="preserve">Akiyoshi 2013</w:t>
              </w:r>
            </w:hyperlink>
          </w:p>
        </w:tc>
      </w:tr>
      <w:tr>
        <w:tc>
          <w:tcPr/>
          <w:p>
            <w:pPr>
              <w:pStyle w:val="Compact"/>
              <w:jc w:val="left"/>
            </w:pPr>
            <w:r>
              <w:t xml:space="preserve">testosterone</w:t>
            </w:r>
          </w:p>
        </w:tc>
        <w:tc>
          <w:tcPr/>
          <w:p>
            <w:pPr>
              <w:pStyle w:val="Compact"/>
              <w:jc w:val="left"/>
            </w:pPr>
            <w:r>
              <w:t xml:space="preserve">rec cDNA CYP3A4</w:t>
            </w:r>
          </w:p>
        </w:tc>
        <w:tc>
          <w:tcPr/>
          <w:p>
            <w:pPr>
              <w:pStyle w:val="Compact"/>
              <w:jc w:val="left"/>
            </w:pPr>
            <w:r>
              <w:t xml:space="preserve">CYP3A4</w:t>
            </w:r>
          </w:p>
        </w:tc>
        <w:tc>
          <w:tcPr/>
          <w:p>
            <w:pPr>
              <w:pStyle w:val="Compact"/>
              <w:jc w:val="left"/>
            </w:pPr>
            <w:r>
              <w:t xml:space="preserve">0.753</w:t>
            </w:r>
          </w:p>
        </w:tc>
        <w:tc>
          <w:tcPr/>
          <w:p>
            <w:pPr>
              <w:pStyle w:val="Compact"/>
              <w:jc w:val="left"/>
            </w:pPr>
            <w:r>
              <w:t xml:space="preserve">0.0248</w:t>
            </w:r>
          </w:p>
        </w:tc>
        <w:tc>
          <w:tcPr/>
          <w:p>
            <w:pPr>
              <w:pStyle w:val="Compact"/>
              <w:jc w:val="left"/>
            </w:pPr>
            <w:r>
              <w:t xml:space="preserve">0 - 20</w:t>
            </w:r>
          </w:p>
        </w:tc>
        <w:tc>
          <w:tcPr/>
          <w:p>
            <w:pPr>
              <w:pStyle w:val="Compact"/>
              <w:jc w:val="left"/>
            </w:pPr>
            <w:r>
              <w:t xml:space="preserve">100</w:t>
            </w:r>
          </w:p>
        </w:tc>
        <w:tc>
          <w:tcPr/>
          <w:p>
            <w:pPr>
              <w:pStyle w:val="Compact"/>
              <w:jc w:val="left"/>
            </w:pPr>
            <w:hyperlink w:anchor="Xa559bd5247f9128e74e6edcc17de37648e8cde6">
              <w:r>
                <w:rPr>
                  <w:rStyle w:val="Hyperlink"/>
                </w:rPr>
                <w:t xml:space="preserve">Akiyoshi 2013</w:t>
              </w:r>
            </w:hyperlink>
          </w:p>
        </w:tc>
      </w:tr>
      <w:tr>
        <w:tc>
          <w:tcPr/>
          <w:p>
            <w:pPr>
              <w:pStyle w:val="Compact"/>
              <w:jc w:val="left"/>
            </w:pPr>
            <w:r>
              <w:t xml:space="preserve">midazolam</w:t>
            </w:r>
          </w:p>
        </w:tc>
        <w:tc>
          <w:tcPr/>
          <w:p>
            <w:pPr>
              <w:pStyle w:val="Compact"/>
              <w:jc w:val="left"/>
            </w:pPr>
            <w:r>
              <w:t xml:space="preserve">rec cDNA CYP3A4</w:t>
            </w:r>
          </w:p>
        </w:tc>
        <w:tc>
          <w:tcPr/>
          <w:p>
            <w:pPr>
              <w:pStyle w:val="Compact"/>
              <w:jc w:val="left"/>
            </w:pPr>
            <w:r>
              <w:t xml:space="preserve">CYP3A</w:t>
            </w:r>
          </w:p>
        </w:tc>
        <w:tc>
          <w:tcPr/>
          <w:p>
            <w:pPr>
              <w:pStyle w:val="Compact"/>
              <w:jc w:val="left"/>
            </w:pPr>
            <w:r>
              <w:t xml:space="preserve">9.5</w:t>
            </w:r>
          </w:p>
        </w:tc>
        <w:tc>
          <w:tcPr/>
          <w:p>
            <w:pPr>
              <w:pStyle w:val="Compact"/>
              <w:jc w:val="left"/>
            </w:pPr>
            <w:r>
              <w:t xml:space="preserve">0.16</w:t>
            </w:r>
          </w:p>
        </w:tc>
        <w:tc>
          <w:tcPr/>
          <w:p>
            <w:pPr>
              <w:pStyle w:val="Compact"/>
              <w:jc w:val="left"/>
            </w:pPr>
            <w:r>
              <w:t xml:space="preserve">50-fold range</w:t>
            </w:r>
          </w:p>
        </w:tc>
        <w:tc>
          <w:tcPr/>
          <w:p>
            <w:pPr>
              <w:pStyle w:val="Compact"/>
              <w:jc w:val="left"/>
            </w:pPr>
            <w:r>
              <w:t xml:space="preserve">10</w:t>
            </w:r>
          </w:p>
        </w:tc>
        <w:tc>
          <w:tcPr/>
          <w:p>
            <w:pPr>
              <w:pStyle w:val="Compact"/>
              <w:jc w:val="left"/>
            </w:pPr>
            <w:hyperlink w:anchor="Xa559bd5247f9128e74e6edcc17de37648e8cde6">
              <w:r>
                <w:rPr>
                  <w:rStyle w:val="Hyperlink"/>
                </w:rPr>
                <w:t xml:space="preserve">Atkinson 2005</w:t>
              </w:r>
            </w:hyperlink>
          </w:p>
        </w:tc>
      </w:tr>
      <w:tr>
        <w:tc>
          <w:tcPr/>
          <w:p>
            <w:pPr>
              <w:pStyle w:val="Compact"/>
              <w:jc w:val="left"/>
            </w:pPr>
            <w:r>
              <w:t xml:space="preserve">midazolam</w:t>
            </w:r>
          </w:p>
        </w:tc>
        <w:tc>
          <w:tcPr/>
          <w:p>
            <w:pPr>
              <w:pStyle w:val="Compact"/>
              <w:jc w:val="left"/>
            </w:pPr>
            <w:r>
              <w:t xml:space="preserve">rec cDNA CYP3A4</w:t>
            </w:r>
          </w:p>
        </w:tc>
        <w:tc>
          <w:tcPr/>
          <w:p>
            <w:pPr>
              <w:pStyle w:val="Compact"/>
              <w:jc w:val="left"/>
            </w:pPr>
            <w:r>
              <w:t xml:space="preserve">CYP3A</w:t>
            </w:r>
          </w:p>
        </w:tc>
        <w:tc>
          <w:tcPr/>
          <w:p>
            <w:pPr>
              <w:pStyle w:val="Compact"/>
              <w:jc w:val="left"/>
            </w:pPr>
            <w:r>
              <w:t xml:space="preserve">8.82</w:t>
            </w:r>
          </w:p>
        </w:tc>
        <w:tc>
          <w:tcPr/>
          <w:p>
            <w:pPr>
              <w:pStyle w:val="Compact"/>
              <w:jc w:val="left"/>
            </w:pPr>
            <w:r>
              <w:t xml:space="preserve">0.12</w:t>
            </w:r>
          </w:p>
        </w:tc>
        <w:tc>
          <w:tcPr/>
          <w:p>
            <w:pPr>
              <w:pStyle w:val="Compact"/>
              <w:jc w:val="left"/>
            </w:pPr>
            <w:r>
              <w:t xml:space="preserve">50-fold range</w:t>
            </w:r>
          </w:p>
        </w:tc>
        <w:tc>
          <w:tcPr/>
          <w:p>
            <w:pPr>
              <w:pStyle w:val="Compact"/>
              <w:jc w:val="left"/>
            </w:pPr>
            <w:r>
              <w:t xml:space="preserve">10</w:t>
            </w:r>
          </w:p>
        </w:tc>
        <w:tc>
          <w:tcPr/>
          <w:p>
            <w:pPr>
              <w:pStyle w:val="Compact"/>
              <w:jc w:val="left"/>
            </w:pPr>
            <w:hyperlink w:anchor="Xa559bd5247f9128e74e6edcc17de37648e8cde6">
              <w:r>
                <w:rPr>
                  <w:rStyle w:val="Hyperlink"/>
                </w:rPr>
                <w:t xml:space="preserve">Atkinson 2005</w:t>
              </w:r>
            </w:hyperlink>
          </w:p>
        </w:tc>
      </w:tr>
      <w:tr>
        <w:tc>
          <w:tcPr/>
          <w:p>
            <w:pPr>
              <w:pStyle w:val="Compact"/>
              <w:jc w:val="left"/>
            </w:pPr>
            <w:r>
              <w:t xml:space="preserve">midazolam</w:t>
            </w:r>
          </w:p>
        </w:tc>
        <w:tc>
          <w:tcPr/>
          <w:p>
            <w:pPr>
              <w:pStyle w:val="Compact"/>
              <w:jc w:val="left"/>
            </w:pPr>
            <w:r>
              <w:t xml:space="preserve">rec cDNA CYP3A4</w:t>
            </w:r>
          </w:p>
        </w:tc>
        <w:tc>
          <w:tcPr/>
          <w:p>
            <w:pPr>
              <w:pStyle w:val="Compact"/>
              <w:jc w:val="left"/>
            </w:pPr>
            <w:r>
              <w:t xml:space="preserve">CYP3A</w:t>
            </w:r>
          </w:p>
        </w:tc>
        <w:tc>
          <w:tcPr/>
          <w:p>
            <w:pPr>
              <w:pStyle w:val="Compact"/>
              <w:jc w:val="left"/>
            </w:pPr>
            <w:r>
              <w:t xml:space="preserve">8.3</w:t>
            </w:r>
          </w:p>
        </w:tc>
        <w:tc>
          <w:tcPr/>
          <w:p>
            <w:pPr>
              <w:pStyle w:val="Compact"/>
              <w:jc w:val="left"/>
            </w:pPr>
            <w:r>
              <w:t xml:space="preserve">0.09</w:t>
            </w:r>
          </w:p>
        </w:tc>
        <w:tc>
          <w:tcPr/>
          <w:p>
            <w:pPr>
              <w:pStyle w:val="Compact"/>
              <w:jc w:val="left"/>
            </w:pPr>
            <w:r>
              <w:t xml:space="preserve">50-fold range</w:t>
            </w:r>
          </w:p>
        </w:tc>
        <w:tc>
          <w:tcPr/>
          <w:p>
            <w:pPr>
              <w:pStyle w:val="Compact"/>
              <w:jc w:val="left"/>
            </w:pPr>
            <w:r>
              <w:t xml:space="preserve">10</w:t>
            </w:r>
          </w:p>
        </w:tc>
        <w:tc>
          <w:tcPr/>
          <w:p>
            <w:pPr>
              <w:pStyle w:val="Compact"/>
              <w:jc w:val="left"/>
            </w:pPr>
            <w:hyperlink w:anchor="Xa559bd5247f9128e74e6edcc17de37648e8cde6">
              <w:r>
                <w:rPr>
                  <w:rStyle w:val="Hyperlink"/>
                </w:rPr>
                <w:t xml:space="preserve">Atkinson 2005</w:t>
              </w:r>
            </w:hyperlink>
          </w:p>
        </w:tc>
      </w:tr>
      <w:tr>
        <w:tc>
          <w:tcPr/>
          <w:p>
            <w:pPr>
              <w:pStyle w:val="Compact"/>
              <w:jc w:val="left"/>
            </w:pPr>
            <w:r>
              <w:t xml:space="preserve">testosterone</w:t>
            </w:r>
          </w:p>
        </w:tc>
        <w:tc>
          <w:tcPr/>
          <w:p>
            <w:pPr>
              <w:pStyle w:val="Compact"/>
              <w:jc w:val="left"/>
            </w:pPr>
            <w:r>
              <w:t xml:space="preserve">rec cDNA CYP3A4</w:t>
            </w:r>
          </w:p>
        </w:tc>
        <w:tc>
          <w:tcPr/>
          <w:p>
            <w:pPr>
              <w:pStyle w:val="Compact"/>
              <w:jc w:val="left"/>
            </w:pPr>
            <w:r>
              <w:t xml:space="preserve">CYP3A</w:t>
            </w:r>
          </w:p>
        </w:tc>
        <w:tc>
          <w:tcPr/>
          <w:p>
            <w:pPr>
              <w:pStyle w:val="Compact"/>
              <w:jc w:val="left"/>
            </w:pPr>
            <w:r>
              <w:t xml:space="preserve">9.5</w:t>
            </w:r>
          </w:p>
        </w:tc>
        <w:tc>
          <w:tcPr/>
          <w:p>
            <w:pPr>
              <w:pStyle w:val="Compact"/>
              <w:jc w:val="left"/>
            </w:pPr>
            <w:r>
              <w:t xml:space="preserve">0.06</w:t>
            </w:r>
          </w:p>
        </w:tc>
        <w:tc>
          <w:tcPr/>
          <w:p>
            <w:pPr>
              <w:pStyle w:val="Compact"/>
              <w:jc w:val="left"/>
            </w:pPr>
            <w:r>
              <w:t xml:space="preserve">4 - 200</w:t>
            </w:r>
          </w:p>
        </w:tc>
        <w:tc>
          <w:tcPr/>
          <w:p>
            <w:pPr>
              <w:pStyle w:val="Compact"/>
              <w:jc w:val="left"/>
            </w:pPr>
            <w:r>
              <w:t xml:space="preserve">16.7</w:t>
            </w:r>
          </w:p>
        </w:tc>
        <w:tc>
          <w:tcPr/>
          <w:p>
            <w:pPr>
              <w:pStyle w:val="Compact"/>
              <w:jc w:val="left"/>
            </w:pPr>
            <w:hyperlink w:anchor="Xa559bd5247f9128e74e6edcc17de37648e8cde6">
              <w:r>
                <w:rPr>
                  <w:rStyle w:val="Hyperlink"/>
                </w:rPr>
                <w:t xml:space="preserve">Atkinson 2005</w:t>
              </w:r>
            </w:hyperlink>
          </w:p>
        </w:tc>
      </w:tr>
      <w:tr>
        <w:tc>
          <w:tcPr/>
          <w:p>
            <w:pPr>
              <w:pStyle w:val="Compact"/>
              <w:jc w:val="left"/>
            </w:pPr>
            <w:r>
              <w:t xml:space="preserve">triazolam</w:t>
            </w:r>
          </w:p>
        </w:tc>
        <w:tc>
          <w:tcPr/>
          <w:p>
            <w:pPr>
              <w:pStyle w:val="Compact"/>
              <w:jc w:val="left"/>
            </w:pPr>
            <w:r>
              <w:t xml:space="preserve">HLM</w:t>
            </w:r>
          </w:p>
        </w:tc>
        <w:tc>
          <w:tcPr/>
          <w:p>
            <w:pPr>
              <w:pStyle w:val="Compact"/>
              <w:jc w:val="left"/>
            </w:pPr>
            <w:r>
              <w:t xml:space="preserve">CYP3A</w:t>
            </w:r>
          </w:p>
        </w:tc>
        <w:tc>
          <w:tcPr/>
          <w:p>
            <w:pPr>
              <w:pStyle w:val="Compact"/>
              <w:jc w:val="left"/>
            </w:pPr>
            <w:r>
              <w:t xml:space="preserve">5.4</w:t>
            </w:r>
          </w:p>
        </w:tc>
        <w:tc>
          <w:tcPr/>
          <w:p>
            <w:pPr>
              <w:pStyle w:val="Compact"/>
              <w:jc w:val="left"/>
            </w:pPr>
            <w:r>
              <w:t xml:space="preserve">0.069</w:t>
            </w:r>
          </w:p>
        </w:tc>
        <w:tc>
          <w:tcPr/>
          <w:p>
            <w:pPr>
              <w:pStyle w:val="Compact"/>
            </w:pPr>
          </w:p>
        </w:tc>
        <w:tc>
          <w:tcPr/>
          <w:p>
            <w:pPr>
              <w:pStyle w:val="Compact"/>
              <w:jc w:val="left"/>
            </w:pPr>
            <w:r>
              <w:t xml:space="preserve">400</w:t>
            </w:r>
          </w:p>
        </w:tc>
        <w:tc>
          <w:tcPr/>
          <w:p>
            <w:pPr>
              <w:pStyle w:val="Compact"/>
              <w:jc w:val="left"/>
            </w:pPr>
            <w:hyperlink w:anchor="Xa559bd5247f9128e74e6edcc17de37648e8cde6">
              <w:r>
                <w:rPr>
                  <w:rStyle w:val="Hyperlink"/>
                </w:rPr>
                <w:t xml:space="preserve">Aueviriyavit 2010</w:t>
              </w:r>
            </w:hyperlink>
          </w:p>
        </w:tc>
      </w:tr>
      <w:tr>
        <w:tc>
          <w:tcPr/>
          <w:p>
            <w:pPr>
              <w:pStyle w:val="Compact"/>
              <w:jc w:val="left"/>
            </w:pPr>
            <w:r>
              <w:t xml:space="preserve">testosterone</w:t>
            </w:r>
          </w:p>
        </w:tc>
        <w:tc>
          <w:tcPr/>
          <w:p>
            <w:pPr>
              <w:pStyle w:val="Compact"/>
              <w:jc w:val="left"/>
            </w:pPr>
            <w:r>
              <w:t xml:space="preserve">rec cDNA CYP3A4</w:t>
            </w:r>
          </w:p>
        </w:tc>
        <w:tc>
          <w:tcPr/>
          <w:p>
            <w:pPr>
              <w:pStyle w:val="Compact"/>
              <w:jc w:val="left"/>
            </w:pPr>
            <w:r>
              <w:t xml:space="preserve">CYP3A4</w:t>
            </w:r>
          </w:p>
        </w:tc>
        <w:tc>
          <w:tcPr/>
          <w:p>
            <w:pPr>
              <w:pStyle w:val="Compact"/>
              <w:jc w:val="left"/>
            </w:pPr>
            <w:r>
              <w:t xml:space="preserve">5.3</w:t>
            </w:r>
          </w:p>
        </w:tc>
        <w:tc>
          <w:tcPr/>
          <w:p>
            <w:pPr>
              <w:pStyle w:val="Compact"/>
              <w:jc w:val="left"/>
            </w:pPr>
            <w:r>
              <w:t xml:space="preserve">0.12</w:t>
            </w:r>
          </w:p>
        </w:tc>
        <w:tc>
          <w:tcPr/>
          <w:p>
            <w:pPr>
              <w:pStyle w:val="Compact"/>
              <w:jc w:val="left"/>
            </w:pPr>
            <w:r>
              <w:t xml:space="preserve">5 - 20</w:t>
            </w:r>
          </w:p>
        </w:tc>
        <w:tc>
          <w:tcPr/>
          <w:p>
            <w:pPr>
              <w:pStyle w:val="Compact"/>
              <w:jc w:val="left"/>
            </w:pPr>
            <w:r>
              <w:t xml:space="preserve">200</w:t>
            </w:r>
          </w:p>
        </w:tc>
        <w:tc>
          <w:tcPr/>
          <w:p>
            <w:pPr>
              <w:pStyle w:val="Compact"/>
              <w:jc w:val="left"/>
            </w:pPr>
            <w:hyperlink w:anchor="Xa559bd5247f9128e74e6edcc17de37648e8cde6">
              <w:r>
                <w:rPr>
                  <w:rStyle w:val="Hyperlink"/>
                </w:rPr>
                <w:t xml:space="preserve">Chan 2000</w:t>
              </w:r>
            </w:hyperlink>
          </w:p>
        </w:tc>
      </w:tr>
      <w:tr>
        <w:tc>
          <w:tcPr/>
          <w:p>
            <w:pPr>
              <w:pStyle w:val="Compact"/>
              <w:jc w:val="left"/>
            </w:pPr>
            <w:r>
              <w:t xml:space="preserve">midazolam</w:t>
            </w:r>
          </w:p>
        </w:tc>
        <w:tc>
          <w:tcPr/>
          <w:p>
            <w:pPr>
              <w:pStyle w:val="Compact"/>
              <w:jc w:val="left"/>
            </w:pPr>
            <w:r>
              <w:t xml:space="preserve">cryopreserved HEP</w:t>
            </w:r>
          </w:p>
        </w:tc>
        <w:tc>
          <w:tcPr/>
          <w:p>
            <w:pPr>
              <w:pStyle w:val="Compact"/>
              <w:jc w:val="left"/>
            </w:pPr>
            <w:r>
              <w:t xml:space="preserve">CYP3A</w:t>
            </w:r>
          </w:p>
        </w:tc>
        <w:tc>
          <w:tcPr/>
          <w:p>
            <w:pPr>
              <w:pStyle w:val="Compact"/>
              <w:jc w:val="left"/>
            </w:pPr>
            <w:r>
              <w:t xml:space="preserve">60</w:t>
            </w:r>
          </w:p>
        </w:tc>
        <w:tc>
          <w:tcPr/>
          <w:p>
            <w:pPr>
              <w:pStyle w:val="Compact"/>
              <w:jc w:val="left"/>
            </w:pPr>
            <w:r>
              <w:t xml:space="preserve">0.081</w:t>
            </w:r>
          </w:p>
        </w:tc>
        <w:tc>
          <w:tcPr/>
          <w:p>
            <w:pPr>
              <w:pStyle w:val="Compact"/>
              <w:jc w:val="left"/>
            </w:pPr>
            <w:r>
              <w:t xml:space="preserve">3 - 300</w:t>
            </w:r>
          </w:p>
        </w:tc>
        <w:tc>
          <w:tcPr/>
          <w:p>
            <w:pPr>
              <w:pStyle w:val="Compact"/>
              <w:jc w:val="left"/>
            </w:pPr>
            <w:r>
              <w:t xml:space="preserve">30</w:t>
            </w:r>
          </w:p>
        </w:tc>
        <w:tc>
          <w:tcPr/>
          <w:p>
            <w:pPr>
              <w:pStyle w:val="Compact"/>
              <w:jc w:val="left"/>
            </w:pPr>
            <w:hyperlink w:anchor="Xa559bd5247f9128e74e6edcc17de37648e8cde6">
              <w:r>
                <w:rPr>
                  <w:rStyle w:val="Hyperlink"/>
                </w:rPr>
                <w:t xml:space="preserve">Chen 2011</w:t>
              </w:r>
            </w:hyperlink>
          </w:p>
        </w:tc>
      </w:tr>
      <w:tr>
        <w:tc>
          <w:tcPr/>
          <w:p>
            <w:pPr>
              <w:pStyle w:val="Compact"/>
              <w:jc w:val="left"/>
            </w:pPr>
            <w:r>
              <w:t xml:space="preserve">midazolam</w:t>
            </w:r>
          </w:p>
        </w:tc>
        <w:tc>
          <w:tcPr/>
          <w:p>
            <w:pPr>
              <w:pStyle w:val="Compact"/>
              <w:jc w:val="left"/>
            </w:pPr>
            <w:r>
              <w:t xml:space="preserve">cryopreserved HEP</w:t>
            </w:r>
          </w:p>
        </w:tc>
        <w:tc>
          <w:tcPr/>
          <w:p>
            <w:pPr>
              <w:pStyle w:val="Compact"/>
              <w:jc w:val="left"/>
            </w:pPr>
            <w:r>
              <w:t xml:space="preserve">CYP3A</w:t>
            </w:r>
          </w:p>
        </w:tc>
        <w:tc>
          <w:tcPr/>
          <w:p>
            <w:pPr>
              <w:pStyle w:val="Compact"/>
              <w:jc w:val="left"/>
            </w:pPr>
            <w:r>
              <w:t xml:space="preserve">67.9</w:t>
            </w:r>
          </w:p>
        </w:tc>
        <w:tc>
          <w:tcPr/>
          <w:p>
            <w:pPr>
              <w:pStyle w:val="Compact"/>
              <w:jc w:val="left"/>
            </w:pPr>
            <w:r>
              <w:t xml:space="preserve">0.079</w:t>
            </w:r>
          </w:p>
        </w:tc>
        <w:tc>
          <w:tcPr/>
          <w:p>
            <w:pPr>
              <w:pStyle w:val="Compact"/>
              <w:jc w:val="left"/>
            </w:pPr>
            <w:r>
              <w:t xml:space="preserve">3 - 300</w:t>
            </w:r>
          </w:p>
        </w:tc>
        <w:tc>
          <w:tcPr/>
          <w:p>
            <w:pPr>
              <w:pStyle w:val="Compact"/>
              <w:jc w:val="left"/>
            </w:pPr>
            <w:r>
              <w:t xml:space="preserve">30</w:t>
            </w:r>
          </w:p>
        </w:tc>
        <w:tc>
          <w:tcPr/>
          <w:p>
            <w:pPr>
              <w:pStyle w:val="Compact"/>
              <w:jc w:val="left"/>
            </w:pPr>
            <w:hyperlink w:anchor="Xa559bd5247f9128e74e6edcc17de37648e8cde6">
              <w:r>
                <w:rPr>
                  <w:rStyle w:val="Hyperlink"/>
                </w:rPr>
                <w:t xml:space="preserve">Chen 2011</w:t>
              </w:r>
            </w:hyperlink>
          </w:p>
        </w:tc>
      </w:tr>
      <w:tr>
        <w:tc>
          <w:tcPr/>
          <w:p>
            <w:pPr>
              <w:pStyle w:val="Compact"/>
              <w:jc w:val="left"/>
            </w:pPr>
            <w:r>
              <w:t xml:space="preserve">midazolam</w:t>
            </w:r>
          </w:p>
        </w:tc>
        <w:tc>
          <w:tcPr/>
          <w:p>
            <w:pPr>
              <w:pStyle w:val="Compact"/>
              <w:jc w:val="left"/>
            </w:pPr>
            <w:r>
              <w:t xml:space="preserve">rec cDNA CYP3A4</w:t>
            </w:r>
          </w:p>
        </w:tc>
        <w:tc>
          <w:tcPr/>
          <w:p>
            <w:pPr>
              <w:pStyle w:val="Compact"/>
              <w:jc w:val="left"/>
            </w:pPr>
            <w:r>
              <w:t xml:space="preserve">CYP3A4</w:t>
            </w:r>
          </w:p>
        </w:tc>
        <w:tc>
          <w:tcPr/>
          <w:p>
            <w:pPr>
              <w:pStyle w:val="Compact"/>
              <w:jc w:val="left"/>
            </w:pPr>
            <w:r>
              <w:t xml:space="preserve">0.762</w:t>
            </w:r>
          </w:p>
        </w:tc>
        <w:tc>
          <w:tcPr/>
          <w:p>
            <w:pPr>
              <w:pStyle w:val="Compact"/>
              <w:jc w:val="left"/>
            </w:pPr>
            <w:r>
              <w:t xml:space="preserve">0.0648</w:t>
            </w:r>
          </w:p>
        </w:tc>
        <w:tc>
          <w:tcPr/>
          <w:p>
            <w:pPr>
              <w:pStyle w:val="Compact"/>
              <w:jc w:val="left"/>
            </w:pPr>
            <w:r>
              <w:t xml:space="preserve">0.1 - 30</w:t>
            </w:r>
          </w:p>
        </w:tc>
        <w:tc>
          <w:tcPr/>
          <w:p>
            <w:pPr>
              <w:pStyle w:val="Compact"/>
              <w:jc w:val="left"/>
            </w:pPr>
            <w:r>
              <w:t xml:space="preserve">4</w:t>
            </w:r>
          </w:p>
        </w:tc>
        <w:tc>
          <w:tcPr/>
          <w:p>
            <w:pPr>
              <w:pStyle w:val="Compact"/>
              <w:jc w:val="left"/>
            </w:pPr>
            <w:hyperlink w:anchor="Xa559bd5247f9128e74e6edcc17de37648e8cde6">
              <w:r>
                <w:rPr>
                  <w:rStyle w:val="Hyperlink"/>
                </w:rPr>
                <w:t xml:space="preserve">Ishikawa 2017</w:t>
              </w:r>
            </w:hyperlink>
          </w:p>
        </w:tc>
      </w:tr>
      <w:tr>
        <w:tc>
          <w:tcPr/>
          <w:p>
            <w:pPr>
              <w:pStyle w:val="Compact"/>
              <w:jc w:val="left"/>
            </w:pPr>
            <w:r>
              <w:t xml:space="preserve">testosterone</w:t>
            </w:r>
          </w:p>
        </w:tc>
        <w:tc>
          <w:tcPr/>
          <w:p>
            <w:pPr>
              <w:pStyle w:val="Compact"/>
              <w:jc w:val="left"/>
            </w:pPr>
            <w:r>
              <w:t xml:space="preserve">rec cDNA CYP3A4</w:t>
            </w:r>
          </w:p>
        </w:tc>
        <w:tc>
          <w:tcPr/>
          <w:p>
            <w:pPr>
              <w:pStyle w:val="Compact"/>
              <w:jc w:val="left"/>
            </w:pPr>
            <w:r>
              <w:t xml:space="preserve">CYP3A4</w:t>
            </w:r>
          </w:p>
        </w:tc>
        <w:tc>
          <w:tcPr/>
          <w:p>
            <w:pPr>
              <w:pStyle w:val="Compact"/>
              <w:jc w:val="left"/>
            </w:pPr>
            <w:r>
              <w:t xml:space="preserve">1.00</w:t>
            </w:r>
          </w:p>
        </w:tc>
        <w:tc>
          <w:tcPr/>
          <w:p>
            <w:pPr>
              <w:pStyle w:val="Compact"/>
              <w:jc w:val="left"/>
            </w:pPr>
            <w:r>
              <w:t xml:space="preserve">0.0604</w:t>
            </w:r>
          </w:p>
        </w:tc>
        <w:tc>
          <w:tcPr/>
          <w:p>
            <w:pPr>
              <w:pStyle w:val="Compact"/>
              <w:jc w:val="left"/>
            </w:pPr>
            <w:r>
              <w:t xml:space="preserve">0.1 - 30</w:t>
            </w:r>
          </w:p>
        </w:tc>
        <w:tc>
          <w:tcPr/>
          <w:p>
            <w:pPr>
              <w:pStyle w:val="Compact"/>
              <w:jc w:val="left"/>
            </w:pPr>
            <w:r>
              <w:t xml:space="preserve">150</w:t>
            </w:r>
          </w:p>
        </w:tc>
        <w:tc>
          <w:tcPr/>
          <w:p>
            <w:pPr>
              <w:pStyle w:val="Compact"/>
              <w:jc w:val="left"/>
            </w:pPr>
            <w:hyperlink w:anchor="Xa559bd5247f9128e74e6edcc17de37648e8cde6">
              <w:r>
                <w:rPr>
                  <w:rStyle w:val="Hyperlink"/>
                </w:rPr>
                <w:t xml:space="preserve">Ishikawa 2017</w:t>
              </w:r>
            </w:hyperlink>
          </w:p>
        </w:tc>
      </w:tr>
      <w:tr>
        <w:tc>
          <w:tcPr/>
          <w:p>
            <w:pPr>
              <w:pStyle w:val="Compact"/>
              <w:jc w:val="left"/>
            </w:pPr>
            <w:r>
              <w:t xml:space="preserve">nifedipine</w:t>
            </w:r>
          </w:p>
        </w:tc>
        <w:tc>
          <w:tcPr/>
          <w:p>
            <w:pPr>
              <w:pStyle w:val="Compact"/>
              <w:jc w:val="left"/>
            </w:pPr>
            <w:r>
              <w:t xml:space="preserve">rec cDNA CYP3A4</w:t>
            </w:r>
          </w:p>
        </w:tc>
        <w:tc>
          <w:tcPr/>
          <w:p>
            <w:pPr>
              <w:pStyle w:val="Compact"/>
              <w:jc w:val="left"/>
            </w:pPr>
            <w:r>
              <w:t xml:space="preserve">CYP3A4</w:t>
            </w:r>
          </w:p>
        </w:tc>
        <w:tc>
          <w:tcPr/>
          <w:p>
            <w:pPr>
              <w:pStyle w:val="Compact"/>
              <w:jc w:val="left"/>
            </w:pPr>
            <w:r>
              <w:t xml:space="preserve">0.794</w:t>
            </w:r>
          </w:p>
        </w:tc>
        <w:tc>
          <w:tcPr/>
          <w:p>
            <w:pPr>
              <w:pStyle w:val="Compact"/>
              <w:jc w:val="left"/>
            </w:pPr>
            <w:r>
              <w:t xml:space="preserve">0.0766</w:t>
            </w:r>
          </w:p>
        </w:tc>
        <w:tc>
          <w:tcPr/>
          <w:p>
            <w:pPr>
              <w:pStyle w:val="Compact"/>
              <w:jc w:val="left"/>
            </w:pPr>
            <w:r>
              <w:t xml:space="preserve">0.1 - 30</w:t>
            </w:r>
          </w:p>
        </w:tc>
        <w:tc>
          <w:tcPr/>
          <w:p>
            <w:pPr>
              <w:pStyle w:val="Compact"/>
              <w:jc w:val="left"/>
            </w:pPr>
            <w:r>
              <w:t xml:space="preserve">6</w:t>
            </w:r>
          </w:p>
        </w:tc>
        <w:tc>
          <w:tcPr/>
          <w:p>
            <w:pPr>
              <w:pStyle w:val="Compact"/>
              <w:jc w:val="left"/>
            </w:pPr>
            <w:hyperlink w:anchor="Xa559bd5247f9128e74e6edcc17de37648e8cde6">
              <w:r>
                <w:rPr>
                  <w:rStyle w:val="Hyperlink"/>
                </w:rPr>
                <w:t xml:space="preserve">Ishikawa 2017</w:t>
              </w:r>
            </w:hyperlink>
          </w:p>
        </w:tc>
      </w:tr>
      <w:tr>
        <w:tc>
          <w:tcPr/>
          <w:p>
            <w:pPr>
              <w:pStyle w:val="Compact"/>
              <w:jc w:val="left"/>
            </w:pPr>
            <w:r>
              <w:t xml:space="preserve">triazolam</w:t>
            </w:r>
          </w:p>
        </w:tc>
        <w:tc>
          <w:tcPr/>
          <w:p>
            <w:pPr>
              <w:pStyle w:val="Compact"/>
              <w:jc w:val="left"/>
            </w:pPr>
            <w:r>
              <w:t xml:space="preserve">HLM</w:t>
            </w:r>
          </w:p>
        </w:tc>
        <w:tc>
          <w:tcPr/>
          <w:p>
            <w:pPr>
              <w:pStyle w:val="Compact"/>
              <w:jc w:val="left"/>
            </w:pPr>
            <w:r>
              <w:t xml:space="preserve">CYP3A4</w:t>
            </w:r>
          </w:p>
        </w:tc>
        <w:tc>
          <w:tcPr/>
          <w:p>
            <w:pPr>
              <w:pStyle w:val="Compact"/>
              <w:jc w:val="left"/>
            </w:pPr>
            <w:r>
              <w:t xml:space="preserve">15.9</w:t>
            </w:r>
          </w:p>
        </w:tc>
        <w:tc>
          <w:tcPr/>
          <w:p>
            <w:pPr>
              <w:pStyle w:val="Compact"/>
              <w:jc w:val="left"/>
            </w:pPr>
            <w:r>
              <w:t xml:space="preserve">0.062</w:t>
            </w:r>
          </w:p>
        </w:tc>
        <w:tc>
          <w:tcPr/>
          <w:p>
            <w:pPr>
              <w:pStyle w:val="Compact"/>
              <w:jc w:val="left"/>
            </w:pPr>
            <w:r>
              <w:t xml:space="preserve">3 - 100</w:t>
            </w:r>
          </w:p>
        </w:tc>
        <w:tc>
          <w:tcPr/>
          <w:p>
            <w:pPr>
              <w:pStyle w:val="Compact"/>
              <w:jc w:val="left"/>
            </w:pPr>
            <w:r>
              <w:t xml:space="preserve">300</w:t>
            </w:r>
          </w:p>
        </w:tc>
        <w:tc>
          <w:tcPr/>
          <w:p>
            <w:pPr>
              <w:pStyle w:val="Compact"/>
              <w:jc w:val="left"/>
            </w:pPr>
            <w:hyperlink w:anchor="Xa559bd5247f9128e74e6edcc17de37648e8cde6">
              <w:r>
                <w:rPr>
                  <w:rStyle w:val="Hyperlink"/>
                </w:rPr>
                <w:t xml:space="preserve">Kanamitsu 2000</w:t>
              </w:r>
            </w:hyperlink>
          </w:p>
        </w:tc>
      </w:tr>
      <w:tr>
        <w:tc>
          <w:tcPr/>
          <w:p>
            <w:pPr>
              <w:pStyle w:val="Compact"/>
              <w:jc w:val="left"/>
            </w:pPr>
            <w:r>
              <w:t xml:space="preserve">triazolam</w:t>
            </w:r>
          </w:p>
        </w:tc>
        <w:tc>
          <w:tcPr/>
          <w:p>
            <w:pPr>
              <w:pStyle w:val="Compact"/>
              <w:jc w:val="left"/>
            </w:pPr>
            <w:r>
              <w:t xml:space="preserve">HLM</w:t>
            </w:r>
          </w:p>
        </w:tc>
        <w:tc>
          <w:tcPr/>
          <w:p>
            <w:pPr>
              <w:pStyle w:val="Compact"/>
              <w:jc w:val="left"/>
            </w:pPr>
            <w:r>
              <w:t xml:space="preserve">CYP3A4</w:t>
            </w:r>
          </w:p>
        </w:tc>
        <w:tc>
          <w:tcPr/>
          <w:p>
            <w:pPr>
              <w:pStyle w:val="Compact"/>
              <w:jc w:val="left"/>
            </w:pPr>
            <w:r>
              <w:t xml:space="preserve">17.4</w:t>
            </w:r>
          </w:p>
        </w:tc>
        <w:tc>
          <w:tcPr/>
          <w:p>
            <w:pPr>
              <w:pStyle w:val="Compact"/>
              <w:jc w:val="left"/>
            </w:pPr>
            <w:r>
              <w:t xml:space="preserve">0.055</w:t>
            </w:r>
          </w:p>
        </w:tc>
        <w:tc>
          <w:tcPr/>
          <w:p>
            <w:pPr>
              <w:pStyle w:val="Compact"/>
              <w:jc w:val="left"/>
            </w:pPr>
            <w:r>
              <w:t xml:space="preserve">3 - 100</w:t>
            </w:r>
          </w:p>
        </w:tc>
        <w:tc>
          <w:tcPr/>
          <w:p>
            <w:pPr>
              <w:pStyle w:val="Compact"/>
              <w:jc w:val="left"/>
            </w:pPr>
            <w:r>
              <w:t xml:space="preserve">300</w:t>
            </w:r>
          </w:p>
        </w:tc>
        <w:tc>
          <w:tcPr/>
          <w:p>
            <w:pPr>
              <w:pStyle w:val="Compact"/>
              <w:jc w:val="left"/>
            </w:pPr>
            <w:hyperlink w:anchor="Xa559bd5247f9128e74e6edcc17de37648e8cde6">
              <w:r>
                <w:rPr>
                  <w:rStyle w:val="Hyperlink"/>
                </w:rPr>
                <w:t xml:space="preserve">Kanamitsu 2000</w:t>
              </w:r>
            </w:hyperlink>
          </w:p>
        </w:tc>
      </w:tr>
      <w:tr>
        <w:tc>
          <w:tcPr/>
          <w:p>
            <w:pPr>
              <w:pStyle w:val="Compact"/>
              <w:jc w:val="left"/>
            </w:pPr>
            <w:r>
              <w:t xml:space="preserve">triazolam</w:t>
            </w:r>
          </w:p>
        </w:tc>
        <w:tc>
          <w:tcPr/>
          <w:p>
            <w:pPr>
              <w:pStyle w:val="Compact"/>
              <w:jc w:val="left"/>
            </w:pPr>
            <w:r>
              <w:t xml:space="preserve">rec cDNA CYP3A4</w:t>
            </w:r>
          </w:p>
        </w:tc>
        <w:tc>
          <w:tcPr/>
          <w:p>
            <w:pPr>
              <w:pStyle w:val="Compact"/>
              <w:jc w:val="left"/>
            </w:pPr>
            <w:r>
              <w:t xml:space="preserve">CYP3A4</w:t>
            </w:r>
          </w:p>
        </w:tc>
        <w:tc>
          <w:tcPr/>
          <w:p>
            <w:pPr>
              <w:pStyle w:val="Compact"/>
              <w:jc w:val="left"/>
            </w:pPr>
            <w:r>
              <w:t xml:space="preserve">19.1</w:t>
            </w:r>
          </w:p>
        </w:tc>
        <w:tc>
          <w:tcPr/>
          <w:p>
            <w:pPr>
              <w:pStyle w:val="Compact"/>
              <w:jc w:val="left"/>
            </w:pPr>
            <w:r>
              <w:t xml:space="preserve">0.173</w:t>
            </w:r>
          </w:p>
        </w:tc>
        <w:tc>
          <w:tcPr/>
          <w:p>
            <w:pPr>
              <w:pStyle w:val="Compact"/>
              <w:jc w:val="left"/>
            </w:pPr>
            <w:r>
              <w:t xml:space="preserve">3 - 100</w:t>
            </w:r>
          </w:p>
        </w:tc>
        <w:tc>
          <w:tcPr/>
          <w:p>
            <w:pPr>
              <w:pStyle w:val="Compact"/>
              <w:jc w:val="left"/>
            </w:pPr>
            <w:r>
              <w:t xml:space="preserve">300</w:t>
            </w:r>
          </w:p>
        </w:tc>
        <w:tc>
          <w:tcPr/>
          <w:p>
            <w:pPr>
              <w:pStyle w:val="Compact"/>
              <w:jc w:val="left"/>
            </w:pPr>
            <w:hyperlink w:anchor="Xa559bd5247f9128e74e6edcc17de37648e8cde6">
              <w:r>
                <w:rPr>
                  <w:rStyle w:val="Hyperlink"/>
                </w:rPr>
                <w:t xml:space="preserve">Kanamitsu 2000</w:t>
              </w:r>
            </w:hyperlink>
          </w:p>
        </w:tc>
      </w:tr>
      <w:tr>
        <w:tc>
          <w:tcPr/>
          <w:p>
            <w:pPr>
              <w:pStyle w:val="Compact"/>
              <w:jc w:val="left"/>
            </w:pPr>
            <w:r>
              <w:t xml:space="preserve">triazolam</w:t>
            </w:r>
          </w:p>
        </w:tc>
        <w:tc>
          <w:tcPr/>
          <w:p>
            <w:pPr>
              <w:pStyle w:val="Compact"/>
              <w:jc w:val="left"/>
            </w:pPr>
            <w:r>
              <w:t xml:space="preserve">rec cDNA CYP3A4</w:t>
            </w:r>
          </w:p>
        </w:tc>
        <w:tc>
          <w:tcPr/>
          <w:p>
            <w:pPr>
              <w:pStyle w:val="Compact"/>
              <w:jc w:val="left"/>
            </w:pPr>
            <w:r>
              <w:t xml:space="preserve">CYP3A4</w:t>
            </w:r>
          </w:p>
        </w:tc>
        <w:tc>
          <w:tcPr/>
          <w:p>
            <w:pPr>
              <w:pStyle w:val="Compact"/>
              <w:jc w:val="left"/>
            </w:pPr>
            <w:r>
              <w:t xml:space="preserve">18.9</w:t>
            </w:r>
          </w:p>
        </w:tc>
        <w:tc>
          <w:tcPr/>
          <w:p>
            <w:pPr>
              <w:pStyle w:val="Compact"/>
              <w:jc w:val="left"/>
            </w:pPr>
            <w:r>
              <w:t xml:space="preserve">0.097</w:t>
            </w:r>
          </w:p>
        </w:tc>
        <w:tc>
          <w:tcPr/>
          <w:p>
            <w:pPr>
              <w:pStyle w:val="Compact"/>
              <w:jc w:val="left"/>
            </w:pPr>
            <w:r>
              <w:t xml:space="preserve">3 - 100</w:t>
            </w:r>
          </w:p>
        </w:tc>
        <w:tc>
          <w:tcPr/>
          <w:p>
            <w:pPr>
              <w:pStyle w:val="Compact"/>
              <w:jc w:val="left"/>
            </w:pPr>
            <w:r>
              <w:t xml:space="preserve">300</w:t>
            </w:r>
          </w:p>
        </w:tc>
        <w:tc>
          <w:tcPr/>
          <w:p>
            <w:pPr>
              <w:pStyle w:val="Compact"/>
              <w:jc w:val="left"/>
            </w:pPr>
            <w:hyperlink w:anchor="Xa559bd5247f9128e74e6edcc17de37648e8cde6">
              <w:r>
                <w:rPr>
                  <w:rStyle w:val="Hyperlink"/>
                </w:rPr>
                <w:t xml:space="preserve">Kanamitsu 2000</w:t>
              </w:r>
            </w:hyperlink>
          </w:p>
        </w:tc>
      </w:tr>
      <w:tr>
        <w:tc>
          <w:tcPr/>
          <w:p>
            <w:pPr>
              <w:pStyle w:val="Compact"/>
              <w:jc w:val="left"/>
            </w:pPr>
            <w:r>
              <w:t xml:space="preserve">testosterone</w:t>
            </w:r>
          </w:p>
        </w:tc>
        <w:tc>
          <w:tcPr/>
          <w:p>
            <w:pPr>
              <w:pStyle w:val="Compact"/>
              <w:jc w:val="left"/>
            </w:pPr>
            <w:r>
              <w:t xml:space="preserve">HLM</w:t>
            </w:r>
          </w:p>
        </w:tc>
        <w:tc>
          <w:tcPr/>
          <w:p>
            <w:pPr>
              <w:pStyle w:val="Compact"/>
              <w:jc w:val="left"/>
            </w:pPr>
            <w:r>
              <w:t xml:space="preserve">CYP3A4</w:t>
            </w:r>
          </w:p>
        </w:tc>
        <w:tc>
          <w:tcPr/>
          <w:p>
            <w:pPr>
              <w:pStyle w:val="Compact"/>
              <w:jc w:val="left"/>
            </w:pPr>
            <w:r>
              <w:t xml:space="preserve">29.4</w:t>
            </w:r>
          </w:p>
        </w:tc>
        <w:tc>
          <w:tcPr/>
          <w:p>
            <w:pPr>
              <w:pStyle w:val="Compact"/>
              <w:jc w:val="left"/>
            </w:pPr>
            <w:r>
              <w:t xml:space="preserve">0.0271</w:t>
            </w:r>
          </w:p>
        </w:tc>
        <w:tc>
          <w:tcPr/>
          <w:p>
            <w:pPr>
              <w:pStyle w:val="Compact"/>
            </w:pPr>
          </w:p>
        </w:tc>
        <w:tc>
          <w:tcPr/>
          <w:p>
            <w:pPr>
              <w:pStyle w:val="Compact"/>
              <w:jc w:val="left"/>
            </w:pPr>
            <w:r>
              <w:t xml:space="preserve">250</w:t>
            </w:r>
          </w:p>
        </w:tc>
        <w:tc>
          <w:tcPr/>
          <w:p>
            <w:pPr>
              <w:pStyle w:val="Compact"/>
              <w:jc w:val="left"/>
            </w:pPr>
            <w:hyperlink w:anchor="Xa559bd5247f9128e74e6edcc17de37648e8cde6">
              <w:r>
                <w:rPr>
                  <w:rStyle w:val="Hyperlink"/>
                </w:rPr>
                <w:t xml:space="preserve">Kosaka 2017</w:t>
              </w:r>
            </w:hyperlink>
          </w:p>
        </w:tc>
      </w:tr>
      <w:tr>
        <w:tc>
          <w:tcPr/>
          <w:p>
            <w:pPr>
              <w:pStyle w:val="Compact"/>
              <w:jc w:val="left"/>
            </w:pPr>
            <w:r>
              <w:t xml:space="preserve">testosterone</w:t>
            </w:r>
          </w:p>
        </w:tc>
        <w:tc>
          <w:tcPr/>
          <w:p>
            <w:pPr>
              <w:pStyle w:val="Compact"/>
              <w:jc w:val="left"/>
            </w:pPr>
            <w:r>
              <w:t xml:space="preserve">HLM</w:t>
            </w:r>
          </w:p>
        </w:tc>
        <w:tc>
          <w:tcPr/>
          <w:p>
            <w:pPr>
              <w:pStyle w:val="Compact"/>
              <w:jc w:val="left"/>
            </w:pPr>
            <w:r>
              <w:t xml:space="preserve">CYP3A4</w:t>
            </w:r>
          </w:p>
        </w:tc>
        <w:tc>
          <w:tcPr/>
          <w:p>
            <w:pPr>
              <w:pStyle w:val="Compact"/>
              <w:jc w:val="left"/>
            </w:pPr>
            <w:r>
              <w:t xml:space="preserve">30</w:t>
            </w:r>
          </w:p>
        </w:tc>
        <w:tc>
          <w:tcPr/>
          <w:p>
            <w:pPr>
              <w:pStyle w:val="Compact"/>
              <w:jc w:val="left"/>
            </w:pPr>
            <w:r>
              <w:t xml:space="preserve">0.040</w:t>
            </w:r>
          </w:p>
        </w:tc>
        <w:tc>
          <w:tcPr/>
          <w:p>
            <w:pPr>
              <w:pStyle w:val="Compact"/>
              <w:jc w:val="left"/>
            </w:pPr>
            <w:r>
              <w:t xml:space="preserve">0.3 - 300</w:t>
            </w:r>
          </w:p>
        </w:tc>
        <w:tc>
          <w:tcPr/>
          <w:p>
            <w:pPr>
              <w:pStyle w:val="Compact"/>
            </w:pPr>
          </w:p>
        </w:tc>
        <w:tc>
          <w:tcPr/>
          <w:p>
            <w:pPr>
              <w:pStyle w:val="Compact"/>
              <w:jc w:val="left"/>
            </w:pPr>
            <w:hyperlink w:anchor="Xa559bd5247f9128e74e6edcc17de37648e8cde6">
              <w:r>
                <w:rPr>
                  <w:rStyle w:val="Hyperlink"/>
                </w:rPr>
                <w:t xml:space="preserve">Kozakai 2013</w:t>
              </w:r>
            </w:hyperlink>
          </w:p>
        </w:tc>
      </w:tr>
      <w:tr>
        <w:tc>
          <w:tcPr/>
          <w:p>
            <w:pPr>
              <w:pStyle w:val="Compact"/>
              <w:jc w:val="left"/>
            </w:pPr>
            <w:r>
              <w:t xml:space="preserve">midazolam</w:t>
            </w:r>
          </w:p>
        </w:tc>
        <w:tc>
          <w:tcPr/>
          <w:p>
            <w:pPr>
              <w:pStyle w:val="Compact"/>
              <w:jc w:val="left"/>
            </w:pPr>
            <w:r>
              <w:t xml:space="preserve">HLM</w:t>
            </w:r>
          </w:p>
        </w:tc>
        <w:tc>
          <w:tcPr/>
          <w:p>
            <w:pPr>
              <w:pStyle w:val="Compact"/>
              <w:jc w:val="left"/>
            </w:pPr>
            <w:r>
              <w:t xml:space="preserve">CYP3A4</w:t>
            </w:r>
          </w:p>
        </w:tc>
        <w:tc>
          <w:tcPr/>
          <w:p>
            <w:pPr>
              <w:pStyle w:val="Compact"/>
              <w:jc w:val="left"/>
            </w:pPr>
            <w:r>
              <w:t xml:space="preserve">12</w:t>
            </w:r>
          </w:p>
        </w:tc>
        <w:tc>
          <w:tcPr/>
          <w:p>
            <w:pPr>
              <w:pStyle w:val="Compact"/>
              <w:jc w:val="left"/>
            </w:pPr>
            <w:r>
              <w:t xml:space="preserve">0.035</w:t>
            </w:r>
          </w:p>
        </w:tc>
        <w:tc>
          <w:tcPr/>
          <w:p>
            <w:pPr>
              <w:pStyle w:val="Compact"/>
              <w:jc w:val="left"/>
            </w:pPr>
            <w:r>
              <w:t xml:space="preserve">0.3 - 300</w:t>
            </w:r>
          </w:p>
        </w:tc>
        <w:tc>
          <w:tcPr/>
          <w:p>
            <w:pPr>
              <w:pStyle w:val="Compact"/>
            </w:pPr>
          </w:p>
        </w:tc>
        <w:tc>
          <w:tcPr/>
          <w:p>
            <w:pPr>
              <w:pStyle w:val="Compact"/>
              <w:jc w:val="left"/>
            </w:pPr>
            <w:hyperlink w:anchor="Xa559bd5247f9128e74e6edcc17de37648e8cde6">
              <w:r>
                <w:rPr>
                  <w:rStyle w:val="Hyperlink"/>
                </w:rPr>
                <w:t xml:space="preserve">Kozakai 2013</w:t>
              </w:r>
            </w:hyperlink>
          </w:p>
        </w:tc>
      </w:tr>
      <w:tr>
        <w:tc>
          <w:tcPr/>
          <w:p>
            <w:pPr>
              <w:pStyle w:val="Compact"/>
              <w:jc w:val="left"/>
            </w:pPr>
            <w:r>
              <w:t xml:space="preserve">midazolam</w:t>
            </w:r>
          </w:p>
        </w:tc>
        <w:tc>
          <w:tcPr/>
          <w:p>
            <w:pPr>
              <w:pStyle w:val="Compact"/>
              <w:jc w:val="left"/>
            </w:pPr>
            <w:r>
              <w:t xml:space="preserve">HLM</w:t>
            </w:r>
          </w:p>
        </w:tc>
        <w:tc>
          <w:tcPr/>
          <w:p>
            <w:pPr>
              <w:pStyle w:val="Compact"/>
              <w:jc w:val="left"/>
            </w:pPr>
            <w:r>
              <w:t xml:space="preserve">CYP3A4</w:t>
            </w:r>
          </w:p>
        </w:tc>
        <w:tc>
          <w:tcPr/>
          <w:p>
            <w:pPr>
              <w:pStyle w:val="Compact"/>
              <w:jc w:val="left"/>
            </w:pPr>
            <w:r>
              <w:t xml:space="preserve">20</w:t>
            </w:r>
          </w:p>
        </w:tc>
        <w:tc>
          <w:tcPr/>
          <w:p>
            <w:pPr>
              <w:pStyle w:val="Compact"/>
              <w:jc w:val="left"/>
            </w:pPr>
            <w:r>
              <w:t xml:space="preserve">0.033</w:t>
            </w:r>
          </w:p>
        </w:tc>
        <w:tc>
          <w:tcPr/>
          <w:p>
            <w:pPr>
              <w:pStyle w:val="Compact"/>
              <w:jc w:val="left"/>
            </w:pPr>
            <w:r>
              <w:t xml:space="preserve">0.3 - 300</w:t>
            </w:r>
          </w:p>
        </w:tc>
        <w:tc>
          <w:tcPr/>
          <w:p>
            <w:pPr>
              <w:pStyle w:val="Compact"/>
            </w:pPr>
          </w:p>
        </w:tc>
        <w:tc>
          <w:tcPr/>
          <w:p>
            <w:pPr>
              <w:pStyle w:val="Compact"/>
              <w:jc w:val="left"/>
            </w:pPr>
            <w:hyperlink w:anchor="Xa559bd5247f9128e74e6edcc17de37648e8cde6">
              <w:r>
                <w:rPr>
                  <w:rStyle w:val="Hyperlink"/>
                </w:rPr>
                <w:t xml:space="preserve">Kozakai 2013</w:t>
              </w:r>
            </w:hyperlink>
          </w:p>
        </w:tc>
      </w:tr>
      <w:tr>
        <w:tc>
          <w:tcPr/>
          <w:p>
            <w:pPr>
              <w:pStyle w:val="Compact"/>
              <w:jc w:val="left"/>
            </w:pPr>
            <w:r>
              <w:t xml:space="preserve">midazolam</w:t>
            </w:r>
          </w:p>
        </w:tc>
        <w:tc>
          <w:tcPr/>
          <w:p>
            <w:pPr>
              <w:pStyle w:val="Compact"/>
              <w:jc w:val="left"/>
            </w:pPr>
            <w:r>
              <w:t xml:space="preserve">cryopreserved HEP</w:t>
            </w:r>
          </w:p>
        </w:tc>
        <w:tc>
          <w:tcPr/>
          <w:p>
            <w:pPr>
              <w:pStyle w:val="Compact"/>
              <w:jc w:val="left"/>
            </w:pPr>
            <w:r>
              <w:t xml:space="preserve">CYP3A</w:t>
            </w:r>
          </w:p>
        </w:tc>
        <w:tc>
          <w:tcPr/>
          <w:p>
            <w:pPr>
              <w:pStyle w:val="Compact"/>
              <w:jc w:val="left"/>
            </w:pPr>
            <w:r>
              <w:t xml:space="preserve">25.15</w:t>
            </w:r>
          </w:p>
        </w:tc>
        <w:tc>
          <w:tcPr/>
          <w:p>
            <w:pPr>
              <w:pStyle w:val="Compact"/>
              <w:jc w:val="left"/>
            </w:pPr>
            <w:r>
              <w:t xml:space="preserve">0.08</w:t>
            </w:r>
          </w:p>
        </w:tc>
        <w:tc>
          <w:tcPr/>
          <w:p>
            <w:pPr>
              <w:pStyle w:val="Compact"/>
              <w:jc w:val="left"/>
            </w:pPr>
            <w:r>
              <w:t xml:space="preserve">0.13 - 100</w:t>
            </w:r>
          </w:p>
        </w:tc>
        <w:tc>
          <w:tcPr/>
          <w:p>
            <w:pPr>
              <w:pStyle w:val="Compact"/>
              <w:jc w:val="left"/>
            </w:pPr>
            <w:r>
              <w:t xml:space="preserve">30</w:t>
            </w:r>
          </w:p>
        </w:tc>
        <w:tc>
          <w:tcPr/>
          <w:p>
            <w:pPr>
              <w:pStyle w:val="Compact"/>
              <w:jc w:val="left"/>
            </w:pPr>
            <w:hyperlink w:anchor="Xa559bd5247f9128e74e6edcc17de37648e8cde6">
              <w:r>
                <w:rPr>
                  <w:rStyle w:val="Hyperlink"/>
                </w:rPr>
                <w:t xml:space="preserve">Mao 2011</w:t>
              </w:r>
            </w:hyperlink>
          </w:p>
        </w:tc>
      </w:tr>
      <w:tr>
        <w:tc>
          <w:tcPr/>
          <w:p>
            <w:pPr>
              <w:pStyle w:val="Compact"/>
              <w:jc w:val="left"/>
            </w:pPr>
            <w:r>
              <w:t xml:space="preserve">midazolam</w:t>
            </w:r>
          </w:p>
        </w:tc>
        <w:tc>
          <w:tcPr/>
          <w:p>
            <w:pPr>
              <w:pStyle w:val="Compact"/>
              <w:jc w:val="left"/>
            </w:pPr>
            <w:r>
              <w:t xml:space="preserve">HLM</w:t>
            </w:r>
          </w:p>
        </w:tc>
        <w:tc>
          <w:tcPr/>
          <w:p>
            <w:pPr>
              <w:pStyle w:val="Compact"/>
              <w:jc w:val="left"/>
            </w:pPr>
            <w:r>
              <w:t xml:space="preserve">CYP3A</w:t>
            </w:r>
          </w:p>
        </w:tc>
        <w:tc>
          <w:tcPr/>
          <w:p>
            <w:pPr>
              <w:pStyle w:val="Compact"/>
              <w:jc w:val="left"/>
            </w:pPr>
            <w:r>
              <w:t xml:space="preserve">10.8</w:t>
            </w:r>
          </w:p>
        </w:tc>
        <w:tc>
          <w:tcPr/>
          <w:p>
            <w:pPr>
              <w:pStyle w:val="Compact"/>
              <w:jc w:val="left"/>
            </w:pPr>
            <w:r>
              <w:t xml:space="preserve">0.032</w:t>
            </w:r>
          </w:p>
        </w:tc>
        <w:tc>
          <w:tcPr/>
          <w:p>
            <w:pPr>
              <w:pStyle w:val="Compact"/>
            </w:pPr>
          </w:p>
        </w:tc>
        <w:tc>
          <w:tcPr/>
          <w:p>
            <w:pPr>
              <w:pStyle w:val="Compact"/>
            </w:pPr>
          </w:p>
        </w:tc>
        <w:tc>
          <w:tcPr/>
          <w:p>
            <w:pPr>
              <w:pStyle w:val="Compact"/>
              <w:jc w:val="left"/>
            </w:pPr>
            <w:hyperlink w:anchor="Xa559bd5247f9128e74e6edcc17de37648e8cde6">
              <w:r>
                <w:rPr>
                  <w:rStyle w:val="Hyperlink"/>
                </w:rPr>
                <w:t xml:space="preserve">Mao 2016</w:t>
              </w:r>
            </w:hyperlink>
          </w:p>
        </w:tc>
      </w:tr>
      <w:tr>
        <w:tc>
          <w:tcPr/>
          <w:p>
            <w:pPr>
              <w:pStyle w:val="Compact"/>
              <w:jc w:val="left"/>
            </w:pPr>
            <w:r>
              <w:t xml:space="preserve">midazolam</w:t>
            </w:r>
          </w:p>
        </w:tc>
        <w:tc>
          <w:tcPr/>
          <w:p>
            <w:pPr>
              <w:pStyle w:val="Compact"/>
              <w:jc w:val="left"/>
            </w:pPr>
            <w:r>
              <w:t xml:space="preserve">cryopreserved HEP</w:t>
            </w:r>
          </w:p>
        </w:tc>
        <w:tc>
          <w:tcPr/>
          <w:p>
            <w:pPr>
              <w:pStyle w:val="Compact"/>
              <w:jc w:val="left"/>
            </w:pPr>
            <w:r>
              <w:t xml:space="preserve">CYP3A</w:t>
            </w:r>
          </w:p>
        </w:tc>
        <w:tc>
          <w:tcPr/>
          <w:p>
            <w:pPr>
              <w:pStyle w:val="Compact"/>
              <w:jc w:val="left"/>
            </w:pPr>
            <w:r>
              <w:t xml:space="preserve">30.7</w:t>
            </w:r>
          </w:p>
        </w:tc>
        <w:tc>
          <w:tcPr/>
          <w:p>
            <w:pPr>
              <w:pStyle w:val="Compact"/>
              <w:jc w:val="left"/>
            </w:pPr>
            <w:r>
              <w:t xml:space="preserve">0.05</w:t>
            </w:r>
          </w:p>
        </w:tc>
        <w:tc>
          <w:tcPr/>
          <w:p>
            <w:pPr>
              <w:pStyle w:val="Compact"/>
              <w:jc w:val="left"/>
            </w:pPr>
            <w:r>
              <w:t xml:space="preserve">0 - 300</w:t>
            </w:r>
          </w:p>
        </w:tc>
        <w:tc>
          <w:tcPr/>
          <w:p>
            <w:pPr>
              <w:pStyle w:val="Compact"/>
              <w:jc w:val="left"/>
            </w:pPr>
            <w:r>
              <w:t xml:space="preserve">20</w:t>
            </w:r>
          </w:p>
        </w:tc>
        <w:tc>
          <w:tcPr/>
          <w:p>
            <w:pPr>
              <w:pStyle w:val="Compact"/>
              <w:jc w:val="left"/>
            </w:pPr>
            <w:hyperlink w:anchor="Xa559bd5247f9128e74e6edcc17de37648e8cde6">
              <w:r>
                <w:rPr>
                  <w:rStyle w:val="Hyperlink"/>
                </w:rPr>
                <w:t xml:space="preserve">Mao 2016</w:t>
              </w:r>
            </w:hyperlink>
          </w:p>
        </w:tc>
      </w:tr>
      <w:tr>
        <w:tc>
          <w:tcPr/>
          <w:p>
            <w:pPr>
              <w:pStyle w:val="Compact"/>
              <w:jc w:val="left"/>
            </w:pPr>
            <w:r>
              <w:t xml:space="preserve">midazolam</w:t>
            </w:r>
          </w:p>
        </w:tc>
        <w:tc>
          <w:tcPr/>
          <w:p>
            <w:pPr>
              <w:pStyle w:val="Compact"/>
              <w:jc w:val="left"/>
            </w:pPr>
            <w:r>
              <w:t xml:space="preserve">cryopreserved HEP</w:t>
            </w:r>
          </w:p>
        </w:tc>
        <w:tc>
          <w:tcPr/>
          <w:p>
            <w:pPr>
              <w:pStyle w:val="Compact"/>
              <w:jc w:val="left"/>
            </w:pPr>
            <w:r>
              <w:t xml:space="preserve">CYP3A</w:t>
            </w:r>
          </w:p>
        </w:tc>
        <w:tc>
          <w:tcPr/>
          <w:p>
            <w:pPr>
              <w:pStyle w:val="Compact"/>
              <w:jc w:val="left"/>
            </w:pPr>
            <w:r>
              <w:t xml:space="preserve">59.2</w:t>
            </w:r>
          </w:p>
        </w:tc>
        <w:tc>
          <w:tcPr/>
          <w:p>
            <w:pPr>
              <w:pStyle w:val="Compact"/>
              <w:jc w:val="left"/>
            </w:pPr>
            <w:r>
              <w:t xml:space="preserve">0.062</w:t>
            </w:r>
          </w:p>
        </w:tc>
        <w:tc>
          <w:tcPr/>
          <w:p>
            <w:pPr>
              <w:pStyle w:val="Compact"/>
              <w:jc w:val="left"/>
            </w:pPr>
            <w:r>
              <w:t xml:space="preserve">0 - 100</w:t>
            </w:r>
          </w:p>
        </w:tc>
        <w:tc>
          <w:tcPr/>
          <w:p>
            <w:pPr>
              <w:pStyle w:val="Compact"/>
              <w:jc w:val="left"/>
            </w:pPr>
            <w:r>
              <w:t xml:space="preserve">5</w:t>
            </w:r>
          </w:p>
        </w:tc>
        <w:tc>
          <w:tcPr/>
          <w:p>
            <w:pPr>
              <w:pStyle w:val="Compact"/>
              <w:jc w:val="left"/>
            </w:pPr>
            <w:hyperlink w:anchor="Xa559bd5247f9128e74e6edcc17de37648e8cde6">
              <w:r>
                <w:rPr>
                  <w:rStyle w:val="Hyperlink"/>
                </w:rPr>
                <w:t xml:space="preserve">Mao 2016</w:t>
              </w:r>
            </w:hyperlink>
          </w:p>
        </w:tc>
      </w:tr>
      <w:tr>
        <w:tc>
          <w:tcPr/>
          <w:p>
            <w:pPr>
              <w:pStyle w:val="Compact"/>
              <w:jc w:val="left"/>
            </w:pPr>
            <w:r>
              <w:t xml:space="preserve">midazolam</w:t>
            </w:r>
          </w:p>
        </w:tc>
        <w:tc>
          <w:tcPr/>
          <w:p>
            <w:pPr>
              <w:pStyle w:val="Compact"/>
              <w:jc w:val="left"/>
            </w:pPr>
            <w:r>
              <w:t xml:space="preserve">cryopreserved HEP</w:t>
            </w:r>
          </w:p>
        </w:tc>
        <w:tc>
          <w:tcPr/>
          <w:p>
            <w:pPr>
              <w:pStyle w:val="Compact"/>
              <w:jc w:val="left"/>
            </w:pPr>
            <w:r>
              <w:t xml:space="preserve">CYP3A</w:t>
            </w:r>
          </w:p>
        </w:tc>
        <w:tc>
          <w:tcPr/>
          <w:p>
            <w:pPr>
              <w:pStyle w:val="Compact"/>
              <w:jc w:val="left"/>
            </w:pPr>
            <w:r>
              <w:t xml:space="preserve">80.3</w:t>
            </w:r>
          </w:p>
        </w:tc>
        <w:tc>
          <w:tcPr/>
          <w:p>
            <w:pPr>
              <w:pStyle w:val="Compact"/>
              <w:jc w:val="left"/>
            </w:pPr>
            <w:r>
              <w:t xml:space="preserve">0.052</w:t>
            </w:r>
          </w:p>
        </w:tc>
        <w:tc>
          <w:tcPr/>
          <w:p>
            <w:pPr>
              <w:pStyle w:val="Compact"/>
              <w:jc w:val="left"/>
            </w:pPr>
            <w:r>
              <w:t xml:space="preserve">0 - 100</w:t>
            </w:r>
          </w:p>
        </w:tc>
        <w:tc>
          <w:tcPr/>
          <w:p>
            <w:pPr>
              <w:pStyle w:val="Compact"/>
              <w:jc w:val="left"/>
            </w:pPr>
            <w:r>
              <w:t xml:space="preserve">20</w:t>
            </w:r>
          </w:p>
        </w:tc>
        <w:tc>
          <w:tcPr/>
          <w:p>
            <w:pPr>
              <w:pStyle w:val="Compact"/>
              <w:jc w:val="left"/>
            </w:pPr>
            <w:hyperlink w:anchor="Xa559bd5247f9128e74e6edcc17de37648e8cde6">
              <w:r>
                <w:rPr>
                  <w:rStyle w:val="Hyperlink"/>
                </w:rPr>
                <w:t xml:space="preserve">Mao 2016</w:t>
              </w:r>
            </w:hyperlink>
          </w:p>
        </w:tc>
      </w:tr>
      <w:tr>
        <w:tc>
          <w:tcPr/>
          <w:p>
            <w:pPr>
              <w:pStyle w:val="Compact"/>
              <w:jc w:val="left"/>
            </w:pPr>
            <w:r>
              <w:t xml:space="preserve">midazolam</w:t>
            </w:r>
          </w:p>
        </w:tc>
        <w:tc>
          <w:tcPr/>
          <w:p>
            <w:pPr>
              <w:pStyle w:val="Compact"/>
              <w:jc w:val="left"/>
            </w:pPr>
            <w:r>
              <w:t xml:space="preserve">rec cDNA CYP3A4</w:t>
            </w:r>
          </w:p>
        </w:tc>
        <w:tc>
          <w:tcPr/>
          <w:p>
            <w:pPr>
              <w:pStyle w:val="Compact"/>
              <w:jc w:val="left"/>
            </w:pPr>
            <w:r>
              <w:t xml:space="preserve">CYP3A4</w:t>
            </w:r>
          </w:p>
        </w:tc>
        <w:tc>
          <w:tcPr/>
          <w:p>
            <w:pPr>
              <w:pStyle w:val="Compact"/>
              <w:jc w:val="left"/>
            </w:pPr>
            <w:r>
              <w:t xml:space="preserve">7.47</w:t>
            </w:r>
          </w:p>
        </w:tc>
        <w:tc>
          <w:tcPr/>
          <w:p>
            <w:pPr>
              <w:pStyle w:val="Compact"/>
              <w:jc w:val="left"/>
            </w:pPr>
            <w:r>
              <w:t xml:space="preserve">0.042</w:t>
            </w:r>
          </w:p>
        </w:tc>
        <w:tc>
          <w:tcPr/>
          <w:p>
            <w:pPr>
              <w:pStyle w:val="Compact"/>
              <w:jc w:val="left"/>
            </w:pPr>
            <w:r>
              <w:t xml:space="preserve">2 - 50</w:t>
            </w:r>
          </w:p>
        </w:tc>
        <w:tc>
          <w:tcPr/>
          <w:p>
            <w:pPr>
              <w:pStyle w:val="Compact"/>
              <w:jc w:val="left"/>
            </w:pPr>
            <w:r>
              <w:t xml:space="preserve">8</w:t>
            </w:r>
          </w:p>
        </w:tc>
        <w:tc>
          <w:tcPr/>
          <w:p>
            <w:pPr>
              <w:pStyle w:val="Compact"/>
              <w:jc w:val="left"/>
            </w:pPr>
            <w:hyperlink w:anchor="Xa559bd5247f9128e74e6edcc17de37648e8cde6">
              <w:r>
                <w:rPr>
                  <w:rStyle w:val="Hyperlink"/>
                </w:rPr>
                <w:t xml:space="preserve">McConn 2004</w:t>
              </w:r>
            </w:hyperlink>
          </w:p>
        </w:tc>
      </w:tr>
      <w:tr>
        <w:tc>
          <w:tcPr/>
          <w:p>
            <w:pPr>
              <w:pStyle w:val="Compact"/>
              <w:jc w:val="left"/>
            </w:pPr>
            <w:r>
              <w:t xml:space="preserve">midazolam</w:t>
            </w:r>
          </w:p>
        </w:tc>
        <w:tc>
          <w:tcPr/>
          <w:p>
            <w:pPr>
              <w:pStyle w:val="Compact"/>
              <w:jc w:val="left"/>
            </w:pPr>
            <w:r>
              <w:t xml:space="preserve">HLM</w:t>
            </w:r>
          </w:p>
        </w:tc>
        <w:tc>
          <w:tcPr/>
          <w:p>
            <w:pPr>
              <w:pStyle w:val="Compact"/>
              <w:jc w:val="left"/>
            </w:pPr>
            <w:r>
              <w:t xml:space="preserve">CYP3A4</w:t>
            </w:r>
          </w:p>
        </w:tc>
        <w:tc>
          <w:tcPr/>
          <w:p>
            <w:pPr>
              <w:pStyle w:val="Compact"/>
              <w:jc w:val="left"/>
            </w:pPr>
            <w:r>
              <w:t xml:space="preserve">10.9</w:t>
            </w:r>
          </w:p>
        </w:tc>
        <w:tc>
          <w:tcPr/>
          <w:p>
            <w:pPr>
              <w:pStyle w:val="Compact"/>
              <w:jc w:val="left"/>
            </w:pPr>
            <w:r>
              <w:t xml:space="preserve">0.046</w:t>
            </w:r>
          </w:p>
        </w:tc>
        <w:tc>
          <w:tcPr/>
          <w:p>
            <w:pPr>
              <w:pStyle w:val="Compact"/>
              <w:jc w:val="left"/>
            </w:pPr>
            <w:r>
              <w:t xml:space="preserve">2 - 100</w:t>
            </w:r>
          </w:p>
        </w:tc>
        <w:tc>
          <w:tcPr/>
          <w:p>
            <w:pPr>
              <w:pStyle w:val="Compact"/>
              <w:jc w:val="left"/>
            </w:pPr>
            <w:r>
              <w:t xml:space="preserve">8</w:t>
            </w:r>
          </w:p>
        </w:tc>
        <w:tc>
          <w:tcPr/>
          <w:p>
            <w:pPr>
              <w:pStyle w:val="Compact"/>
              <w:jc w:val="left"/>
            </w:pPr>
            <w:hyperlink w:anchor="Xa559bd5247f9128e74e6edcc17de37648e8cde6">
              <w:r>
                <w:rPr>
                  <w:rStyle w:val="Hyperlink"/>
                </w:rPr>
                <w:t xml:space="preserve">McConn 2004</w:t>
              </w:r>
            </w:hyperlink>
          </w:p>
        </w:tc>
      </w:tr>
      <w:tr>
        <w:tc>
          <w:tcPr/>
          <w:p>
            <w:pPr>
              <w:pStyle w:val="Compact"/>
              <w:jc w:val="left"/>
            </w:pPr>
            <w:r>
              <w:t xml:space="preserve">midazolam</w:t>
            </w:r>
          </w:p>
        </w:tc>
        <w:tc>
          <w:tcPr/>
          <w:p>
            <w:pPr>
              <w:pStyle w:val="Compact"/>
              <w:jc w:val="left"/>
            </w:pPr>
            <w:r>
              <w:t xml:space="preserve">primary HEP</w:t>
            </w:r>
          </w:p>
        </w:tc>
        <w:tc>
          <w:tcPr/>
          <w:p>
            <w:pPr>
              <w:pStyle w:val="Compact"/>
              <w:jc w:val="left"/>
            </w:pPr>
            <w:r>
              <w:t xml:space="preserve">CYP3A</w:t>
            </w:r>
          </w:p>
        </w:tc>
        <w:tc>
          <w:tcPr/>
          <w:p>
            <w:pPr>
              <w:pStyle w:val="Compact"/>
              <w:jc w:val="left"/>
            </w:pPr>
            <w:r>
              <w:t xml:space="preserve">11</w:t>
            </w:r>
          </w:p>
        </w:tc>
        <w:tc>
          <w:tcPr/>
          <w:p>
            <w:pPr>
              <w:pStyle w:val="Compact"/>
              <w:jc w:val="left"/>
            </w:pPr>
            <w:r>
              <w:t xml:space="preserve">0.07</w:t>
            </w:r>
          </w:p>
        </w:tc>
        <w:tc>
          <w:tcPr/>
          <w:p>
            <w:pPr>
              <w:pStyle w:val="Compact"/>
              <w:jc w:val="left"/>
            </w:pPr>
            <w:r>
              <w:t xml:space="preserve">0.1 - 10</w:t>
            </w:r>
          </w:p>
        </w:tc>
        <w:tc>
          <w:tcPr/>
          <w:p>
            <w:pPr>
              <w:pStyle w:val="Compact"/>
              <w:jc w:val="left"/>
            </w:pPr>
            <w:r>
              <w:t xml:space="preserve">3</w:t>
            </w:r>
          </w:p>
        </w:tc>
        <w:tc>
          <w:tcPr/>
          <w:p>
            <w:pPr>
              <w:pStyle w:val="Compact"/>
              <w:jc w:val="left"/>
            </w:pPr>
            <w:hyperlink w:anchor="Xa559bd5247f9128e74e6edcc17de37648e8cde6">
              <w:r>
                <w:rPr>
                  <w:rStyle w:val="Hyperlink"/>
                </w:rPr>
                <w:t xml:space="preserve">McGinnity 2006</w:t>
              </w:r>
            </w:hyperlink>
          </w:p>
        </w:tc>
      </w:tr>
      <w:tr>
        <w:tc>
          <w:tcPr/>
          <w:p>
            <w:pPr>
              <w:pStyle w:val="Compact"/>
              <w:jc w:val="left"/>
            </w:pPr>
            <w:r>
              <w:t xml:space="preserve">midazolam</w:t>
            </w:r>
          </w:p>
        </w:tc>
        <w:tc>
          <w:tcPr/>
          <w:p>
            <w:pPr>
              <w:pStyle w:val="Compact"/>
              <w:jc w:val="left"/>
            </w:pPr>
            <w:r>
              <w:t xml:space="preserve">HLM</w:t>
            </w:r>
          </w:p>
        </w:tc>
        <w:tc>
          <w:tcPr/>
          <w:p>
            <w:pPr>
              <w:pStyle w:val="Compact"/>
              <w:jc w:val="left"/>
            </w:pPr>
            <w:r>
              <w:t xml:space="preserve">CYP3A4</w:t>
            </w:r>
          </w:p>
        </w:tc>
        <w:tc>
          <w:tcPr/>
          <w:p>
            <w:pPr>
              <w:pStyle w:val="Compact"/>
              <w:jc w:val="left"/>
            </w:pPr>
            <w:r>
              <w:t xml:space="preserve">10</w:t>
            </w:r>
          </w:p>
        </w:tc>
        <w:tc>
          <w:tcPr/>
          <w:p>
            <w:pPr>
              <w:pStyle w:val="Compact"/>
              <w:jc w:val="left"/>
            </w:pPr>
            <w:r>
              <w:t xml:space="preserve">0.036</w:t>
            </w:r>
          </w:p>
        </w:tc>
        <w:tc>
          <w:tcPr/>
          <w:p>
            <w:pPr>
              <w:pStyle w:val="Compact"/>
              <w:jc w:val="left"/>
            </w:pPr>
            <w:r>
              <w:t xml:space="preserve">0 - 25</w:t>
            </w:r>
          </w:p>
        </w:tc>
        <w:tc>
          <w:tcPr/>
          <w:p>
            <w:pPr>
              <w:pStyle w:val="Compact"/>
            </w:pPr>
          </w:p>
        </w:tc>
        <w:tc>
          <w:tcPr/>
          <w:p>
            <w:pPr>
              <w:pStyle w:val="Compact"/>
              <w:jc w:val="left"/>
            </w:pPr>
            <w:hyperlink w:anchor="Xa559bd5247f9128e74e6edcc17de37648e8cde6">
              <w:r>
                <w:rPr>
                  <w:rStyle w:val="Hyperlink"/>
                </w:rPr>
                <w:t xml:space="preserve">Obach 2007</w:t>
              </w:r>
            </w:hyperlink>
          </w:p>
        </w:tc>
      </w:tr>
      <w:tr>
        <w:tc>
          <w:tcPr/>
          <w:p>
            <w:pPr>
              <w:pStyle w:val="Compact"/>
              <w:jc w:val="left"/>
            </w:pPr>
            <w:r>
              <w:t xml:space="preserve">testosterone</w:t>
            </w:r>
          </w:p>
        </w:tc>
        <w:tc>
          <w:tcPr/>
          <w:p>
            <w:pPr>
              <w:pStyle w:val="Compact"/>
              <w:jc w:val="left"/>
            </w:pPr>
            <w:r>
              <w:t xml:space="preserve">HLM</w:t>
            </w:r>
          </w:p>
        </w:tc>
        <w:tc>
          <w:tcPr/>
          <w:p>
            <w:pPr>
              <w:pStyle w:val="Compact"/>
              <w:jc w:val="left"/>
            </w:pPr>
            <w:r>
              <w:t xml:space="preserve">CYP3A4</w:t>
            </w:r>
          </w:p>
        </w:tc>
        <w:tc>
          <w:tcPr/>
          <w:p>
            <w:pPr>
              <w:pStyle w:val="Compact"/>
              <w:jc w:val="left"/>
            </w:pPr>
            <w:r>
              <w:t xml:space="preserve">9.8</w:t>
            </w:r>
          </w:p>
        </w:tc>
        <w:tc>
          <w:tcPr/>
          <w:p>
            <w:pPr>
              <w:pStyle w:val="Compact"/>
              <w:jc w:val="left"/>
            </w:pPr>
            <w:r>
              <w:t xml:space="preserve">0.039</w:t>
            </w:r>
          </w:p>
        </w:tc>
        <w:tc>
          <w:tcPr/>
          <w:p>
            <w:pPr>
              <w:pStyle w:val="Compact"/>
              <w:jc w:val="left"/>
            </w:pPr>
            <w:r>
              <w:t xml:space="preserve">0 - 25</w:t>
            </w:r>
          </w:p>
        </w:tc>
        <w:tc>
          <w:tcPr/>
          <w:p>
            <w:pPr>
              <w:pStyle w:val="Compact"/>
              <w:jc w:val="left"/>
            </w:pPr>
            <w:r>
              <w:t xml:space="preserve">500</w:t>
            </w:r>
          </w:p>
        </w:tc>
        <w:tc>
          <w:tcPr/>
          <w:p>
            <w:pPr>
              <w:pStyle w:val="Compact"/>
              <w:jc w:val="left"/>
            </w:pPr>
            <w:hyperlink w:anchor="Xa559bd5247f9128e74e6edcc17de37648e8cde6">
              <w:r>
                <w:rPr>
                  <w:rStyle w:val="Hyperlink"/>
                </w:rPr>
                <w:t xml:space="preserve">Obach 2007</w:t>
              </w:r>
            </w:hyperlink>
          </w:p>
        </w:tc>
      </w:tr>
      <w:tr>
        <w:tc>
          <w:tcPr/>
          <w:p>
            <w:pPr>
              <w:pStyle w:val="Compact"/>
              <w:jc w:val="left"/>
            </w:pPr>
            <w:r>
              <w:t xml:space="preserve">testosterone</w:t>
            </w:r>
          </w:p>
        </w:tc>
        <w:tc>
          <w:tcPr/>
          <w:p>
            <w:pPr>
              <w:pStyle w:val="Compact"/>
              <w:jc w:val="left"/>
            </w:pPr>
            <w:r>
              <w:t xml:space="preserve">rec cDNA CYP3A4</w:t>
            </w:r>
          </w:p>
        </w:tc>
        <w:tc>
          <w:tcPr/>
          <w:p>
            <w:pPr>
              <w:pStyle w:val="Compact"/>
              <w:jc w:val="left"/>
            </w:pPr>
            <w:r>
              <w:t xml:space="preserve">CYP3A4</w:t>
            </w:r>
          </w:p>
        </w:tc>
        <w:tc>
          <w:tcPr/>
          <w:p>
            <w:pPr>
              <w:pStyle w:val="Compact"/>
              <w:jc w:val="left"/>
            </w:pPr>
            <w:r>
              <w:t xml:space="preserve">0.92</w:t>
            </w:r>
          </w:p>
        </w:tc>
        <w:tc>
          <w:tcPr/>
          <w:p>
            <w:pPr>
              <w:pStyle w:val="Compact"/>
              <w:jc w:val="left"/>
            </w:pPr>
            <w:r>
              <w:t xml:space="preserve">0.058</w:t>
            </w:r>
          </w:p>
        </w:tc>
        <w:tc>
          <w:tcPr/>
          <w:p>
            <w:pPr>
              <w:pStyle w:val="Compact"/>
              <w:jc w:val="left"/>
            </w:pPr>
            <w:r>
              <w:t xml:space="preserve">5 - 100</w:t>
            </w:r>
          </w:p>
        </w:tc>
        <w:tc>
          <w:tcPr/>
          <w:p>
            <w:pPr>
              <w:pStyle w:val="Compact"/>
              <w:jc w:val="left"/>
            </w:pPr>
            <w:r>
              <w:t xml:space="preserve">250</w:t>
            </w:r>
          </w:p>
        </w:tc>
        <w:tc>
          <w:tcPr/>
          <w:p>
            <w:pPr>
              <w:pStyle w:val="Compact"/>
              <w:jc w:val="left"/>
            </w:pPr>
            <w:hyperlink w:anchor="Xa559bd5247f9128e74e6edcc17de37648e8cde6">
              <w:r>
                <w:rPr>
                  <w:rStyle w:val="Hyperlink"/>
                </w:rPr>
                <w:t xml:space="preserve">Polasek 2006</w:t>
              </w:r>
            </w:hyperlink>
          </w:p>
        </w:tc>
      </w:tr>
      <w:tr>
        <w:tc>
          <w:tcPr/>
          <w:p>
            <w:pPr>
              <w:pStyle w:val="Compact"/>
              <w:jc w:val="left"/>
            </w:pPr>
            <w:r>
              <w:t xml:space="preserve">testosterone</w:t>
            </w:r>
          </w:p>
        </w:tc>
        <w:tc>
          <w:tcPr/>
          <w:p>
            <w:pPr>
              <w:pStyle w:val="Compact"/>
              <w:jc w:val="left"/>
            </w:pPr>
            <w:r>
              <w:t xml:space="preserve">HLM</w:t>
            </w:r>
          </w:p>
        </w:tc>
        <w:tc>
          <w:tcPr/>
          <w:p>
            <w:pPr>
              <w:pStyle w:val="Compact"/>
              <w:jc w:val="left"/>
            </w:pPr>
            <w:r>
              <w:t xml:space="preserve">CYP3A4</w:t>
            </w:r>
          </w:p>
        </w:tc>
        <w:tc>
          <w:tcPr/>
          <w:p>
            <w:pPr>
              <w:pStyle w:val="Compact"/>
              <w:jc w:val="left"/>
            </w:pPr>
            <w:r>
              <w:t xml:space="preserve">12.8</w:t>
            </w:r>
          </w:p>
        </w:tc>
        <w:tc>
          <w:tcPr/>
          <w:p>
            <w:pPr>
              <w:pStyle w:val="Compact"/>
              <w:jc w:val="left"/>
            </w:pPr>
            <w:r>
              <w:t xml:space="preserve">0.037</w:t>
            </w:r>
          </w:p>
        </w:tc>
        <w:tc>
          <w:tcPr/>
          <w:p>
            <w:pPr>
              <w:pStyle w:val="Compact"/>
              <w:jc w:val="left"/>
            </w:pPr>
            <w:r>
              <w:t xml:space="preserve">5 - 100</w:t>
            </w:r>
          </w:p>
        </w:tc>
        <w:tc>
          <w:tcPr/>
          <w:p>
            <w:pPr>
              <w:pStyle w:val="Compact"/>
              <w:jc w:val="left"/>
            </w:pPr>
            <w:r>
              <w:t xml:space="preserve">250</w:t>
            </w:r>
          </w:p>
        </w:tc>
        <w:tc>
          <w:tcPr/>
          <w:p>
            <w:pPr>
              <w:pStyle w:val="Compact"/>
              <w:jc w:val="left"/>
            </w:pPr>
            <w:hyperlink w:anchor="Xa559bd5247f9128e74e6edcc17de37648e8cde6">
              <w:r>
                <w:rPr>
                  <w:rStyle w:val="Hyperlink"/>
                </w:rPr>
                <w:t xml:space="preserve">Polasek 2006</w:t>
              </w:r>
            </w:hyperlink>
          </w:p>
        </w:tc>
      </w:tr>
      <w:tr>
        <w:tc>
          <w:tcPr/>
          <w:p>
            <w:pPr>
              <w:pStyle w:val="Compact"/>
              <w:jc w:val="left"/>
            </w:pPr>
            <w:r>
              <w:t xml:space="preserve">midazolam</w:t>
            </w:r>
          </w:p>
        </w:tc>
        <w:tc>
          <w:tcPr/>
          <w:p>
            <w:pPr>
              <w:pStyle w:val="Compact"/>
              <w:jc w:val="left"/>
            </w:pPr>
            <w:r>
              <w:t xml:space="preserve">rec cDNA CYP3A4</w:t>
            </w:r>
          </w:p>
        </w:tc>
        <w:tc>
          <w:tcPr/>
          <w:p>
            <w:pPr>
              <w:pStyle w:val="Compact"/>
              <w:jc w:val="left"/>
            </w:pPr>
            <w:r>
              <w:t xml:space="preserve">CYP3A4</w:t>
            </w:r>
          </w:p>
        </w:tc>
        <w:tc>
          <w:tcPr/>
          <w:p>
            <w:pPr>
              <w:pStyle w:val="Compact"/>
              <w:jc w:val="left"/>
            </w:pPr>
            <w:r>
              <w:t xml:space="preserve">5.1</w:t>
            </w:r>
          </w:p>
        </w:tc>
        <w:tc>
          <w:tcPr/>
          <w:p>
            <w:pPr>
              <w:pStyle w:val="Compact"/>
              <w:jc w:val="left"/>
            </w:pPr>
            <w:r>
              <w:t xml:space="preserve">0.30</w:t>
            </w:r>
          </w:p>
        </w:tc>
        <w:tc>
          <w:tcPr/>
          <w:p>
            <w:pPr>
              <w:pStyle w:val="Compact"/>
              <w:jc w:val="left"/>
            </w:pPr>
            <w:r>
              <w:t xml:space="preserve">0.5 - 50</w:t>
            </w:r>
          </w:p>
        </w:tc>
        <w:tc>
          <w:tcPr/>
          <w:p>
            <w:pPr>
              <w:pStyle w:val="Compact"/>
              <w:jc w:val="left"/>
            </w:pPr>
            <w:r>
              <w:t xml:space="preserve">100</w:t>
            </w:r>
          </w:p>
        </w:tc>
        <w:tc>
          <w:tcPr/>
          <w:p>
            <w:pPr>
              <w:pStyle w:val="Compact"/>
              <w:jc w:val="left"/>
            </w:pPr>
            <w:hyperlink w:anchor="Xa559bd5247f9128e74e6edcc17de37648e8cde6">
              <w:r>
                <w:rPr>
                  <w:rStyle w:val="Hyperlink"/>
                </w:rPr>
                <w:t xml:space="preserve">Ring 2005</w:t>
              </w:r>
            </w:hyperlink>
          </w:p>
        </w:tc>
      </w:tr>
      <w:tr>
        <w:tc>
          <w:tcPr/>
          <w:p>
            <w:pPr>
              <w:pStyle w:val="Compact"/>
              <w:jc w:val="left"/>
            </w:pPr>
            <w:r>
              <w:t xml:space="preserve">testosterone</w:t>
            </w:r>
          </w:p>
        </w:tc>
        <w:tc>
          <w:tcPr/>
          <w:p>
            <w:pPr>
              <w:pStyle w:val="Compact"/>
              <w:jc w:val="left"/>
            </w:pPr>
            <w:r>
              <w:t xml:space="preserve">rec cDNA CYP3A4</w:t>
            </w:r>
          </w:p>
        </w:tc>
        <w:tc>
          <w:tcPr/>
          <w:p>
            <w:pPr>
              <w:pStyle w:val="Compact"/>
              <w:jc w:val="left"/>
            </w:pPr>
            <w:r>
              <w:t xml:space="preserve">CYP3A4</w:t>
            </w:r>
          </w:p>
        </w:tc>
        <w:tc>
          <w:tcPr/>
          <w:p>
            <w:pPr>
              <w:pStyle w:val="Compact"/>
              <w:jc w:val="left"/>
            </w:pPr>
            <w:r>
              <w:t xml:space="preserve">0.92</w:t>
            </w:r>
          </w:p>
        </w:tc>
        <w:tc>
          <w:tcPr/>
          <w:p>
            <w:pPr>
              <w:pStyle w:val="Compact"/>
              <w:jc w:val="left"/>
            </w:pPr>
            <w:r>
              <w:t xml:space="preserve">0.058</w:t>
            </w:r>
          </w:p>
        </w:tc>
        <w:tc>
          <w:tcPr/>
          <w:p>
            <w:pPr>
              <w:pStyle w:val="Compact"/>
            </w:pPr>
          </w:p>
        </w:tc>
        <w:tc>
          <w:tcPr/>
          <w:p>
            <w:pPr>
              <w:pStyle w:val="Compact"/>
            </w:pPr>
          </w:p>
        </w:tc>
        <w:tc>
          <w:tcPr/>
          <w:p>
            <w:pPr>
              <w:pStyle w:val="Compact"/>
              <w:jc w:val="left"/>
            </w:pPr>
            <w:hyperlink w:anchor="Xa559bd5247f9128e74e6edcc17de37648e8cde6">
              <w:r>
                <w:rPr>
                  <w:rStyle w:val="Hyperlink"/>
                </w:rPr>
                <w:t xml:space="preserve">Teng 2010</w:t>
              </w:r>
            </w:hyperlink>
          </w:p>
        </w:tc>
      </w:tr>
      <w:tr>
        <w:tc>
          <w:tcPr/>
          <w:p>
            <w:pPr>
              <w:pStyle w:val="Compact"/>
              <w:jc w:val="left"/>
            </w:pPr>
            <w:r>
              <w:t xml:space="preserve">testosterone</w:t>
            </w:r>
          </w:p>
        </w:tc>
        <w:tc>
          <w:tcPr/>
          <w:p>
            <w:pPr>
              <w:pStyle w:val="Compact"/>
              <w:jc w:val="left"/>
            </w:pPr>
            <w:r>
              <w:t xml:space="preserve">HLM</w:t>
            </w:r>
          </w:p>
        </w:tc>
        <w:tc>
          <w:tcPr/>
          <w:p>
            <w:pPr>
              <w:pStyle w:val="Compact"/>
              <w:jc w:val="left"/>
            </w:pPr>
            <w:r>
              <w:t xml:space="preserve">CYP3A4</w:t>
            </w:r>
          </w:p>
        </w:tc>
        <w:tc>
          <w:tcPr/>
          <w:p>
            <w:pPr>
              <w:pStyle w:val="Compact"/>
              <w:jc w:val="left"/>
            </w:pPr>
            <w:r>
              <w:t xml:space="preserve">4.579</w:t>
            </w:r>
          </w:p>
        </w:tc>
        <w:tc>
          <w:tcPr/>
          <w:p>
            <w:pPr>
              <w:pStyle w:val="Compact"/>
              <w:jc w:val="left"/>
            </w:pPr>
            <w:r>
              <w:t xml:space="preserve">0.0115</w:t>
            </w:r>
          </w:p>
        </w:tc>
        <w:tc>
          <w:tcPr/>
          <w:p>
            <w:pPr>
              <w:pStyle w:val="Compact"/>
            </w:pPr>
          </w:p>
        </w:tc>
        <w:tc>
          <w:tcPr/>
          <w:p>
            <w:pPr>
              <w:pStyle w:val="Compact"/>
            </w:pPr>
          </w:p>
        </w:tc>
        <w:tc>
          <w:tcPr/>
          <w:p>
            <w:pPr>
              <w:pStyle w:val="Compact"/>
              <w:jc w:val="left"/>
            </w:pPr>
            <w:hyperlink w:anchor="Xa559bd5247f9128e74e6edcc17de37648e8cde6">
              <w:r>
                <w:rPr>
                  <w:rStyle w:val="Hyperlink"/>
                </w:rPr>
                <w:t xml:space="preserve">Teng 2010</w:t>
              </w:r>
            </w:hyperlink>
          </w:p>
        </w:tc>
      </w:tr>
      <w:tr>
        <w:tc>
          <w:tcPr/>
          <w:p>
            <w:pPr>
              <w:pStyle w:val="Compact"/>
              <w:jc w:val="left"/>
            </w:pPr>
            <w:r>
              <w:t xml:space="preserve">domperidone</w:t>
            </w:r>
          </w:p>
        </w:tc>
        <w:tc>
          <w:tcPr/>
          <w:p>
            <w:pPr>
              <w:pStyle w:val="Compact"/>
              <w:jc w:val="left"/>
            </w:pPr>
            <w:r>
              <w:t xml:space="preserve">HLM</w:t>
            </w:r>
          </w:p>
        </w:tc>
        <w:tc>
          <w:tcPr/>
          <w:p>
            <w:pPr>
              <w:pStyle w:val="Compact"/>
              <w:jc w:val="left"/>
            </w:pPr>
            <w:r>
              <w:t xml:space="preserve">CYP3A4</w:t>
            </w:r>
          </w:p>
        </w:tc>
        <w:tc>
          <w:tcPr/>
          <w:p>
            <w:pPr>
              <w:pStyle w:val="Compact"/>
              <w:jc w:val="left"/>
            </w:pPr>
            <w:r>
              <w:t xml:space="preserve">18.4</w:t>
            </w:r>
          </w:p>
        </w:tc>
        <w:tc>
          <w:tcPr/>
          <w:p>
            <w:pPr>
              <w:pStyle w:val="Compact"/>
              <w:jc w:val="left"/>
            </w:pPr>
            <w:r>
              <w:t xml:space="preserve">0.022</w:t>
            </w:r>
          </w:p>
        </w:tc>
        <w:tc>
          <w:tcPr/>
          <w:p>
            <w:pPr>
              <w:pStyle w:val="Compact"/>
              <w:jc w:val="left"/>
            </w:pPr>
            <w:r>
              <w:t xml:space="preserve">2.5 - 200</w:t>
            </w:r>
          </w:p>
        </w:tc>
        <w:tc>
          <w:tcPr/>
          <w:p>
            <w:pPr>
              <w:pStyle w:val="Compact"/>
              <w:jc w:val="left"/>
            </w:pPr>
            <w:r>
              <w:t xml:space="preserve">500</w:t>
            </w:r>
          </w:p>
        </w:tc>
        <w:tc>
          <w:tcPr/>
          <w:p>
            <w:pPr>
              <w:pStyle w:val="Compact"/>
              <w:jc w:val="left"/>
            </w:pPr>
            <w:hyperlink w:anchor="Xa559bd5247f9128e74e6edcc17de37648e8cde6">
              <w:r>
                <w:rPr>
                  <w:rStyle w:val="Hyperlink"/>
                </w:rPr>
                <w:t xml:space="preserve">Ung 2009</w:t>
              </w:r>
            </w:hyperlink>
          </w:p>
        </w:tc>
      </w:tr>
      <w:tr>
        <w:tc>
          <w:tcPr/>
          <w:p>
            <w:pPr>
              <w:pStyle w:val="Compact"/>
              <w:jc w:val="left"/>
            </w:pPr>
            <w:r>
              <w:t xml:space="preserve">domperidone</w:t>
            </w:r>
          </w:p>
        </w:tc>
        <w:tc>
          <w:tcPr/>
          <w:p>
            <w:pPr>
              <w:pStyle w:val="Compact"/>
              <w:jc w:val="left"/>
            </w:pPr>
            <w:r>
              <w:t xml:space="preserve">rec cDNA CYP3A4</w:t>
            </w:r>
          </w:p>
        </w:tc>
        <w:tc>
          <w:tcPr/>
          <w:p>
            <w:pPr>
              <w:pStyle w:val="Compact"/>
              <w:jc w:val="left"/>
            </w:pPr>
            <w:r>
              <w:t xml:space="preserve">CYP3A4</w:t>
            </w:r>
          </w:p>
        </w:tc>
        <w:tc>
          <w:tcPr/>
          <w:p>
            <w:pPr>
              <w:pStyle w:val="Compact"/>
              <w:jc w:val="left"/>
            </w:pPr>
            <w:r>
              <w:t xml:space="preserve">4.1</w:t>
            </w:r>
          </w:p>
        </w:tc>
        <w:tc>
          <w:tcPr/>
          <w:p>
            <w:pPr>
              <w:pStyle w:val="Compact"/>
              <w:jc w:val="left"/>
            </w:pPr>
            <w:r>
              <w:t xml:space="preserve">0.026</w:t>
            </w:r>
          </w:p>
        </w:tc>
        <w:tc>
          <w:tcPr/>
          <w:p>
            <w:pPr>
              <w:pStyle w:val="Compact"/>
              <w:jc w:val="left"/>
            </w:pPr>
            <w:r>
              <w:t xml:space="preserve">2.5 - 200</w:t>
            </w:r>
          </w:p>
        </w:tc>
        <w:tc>
          <w:tcPr/>
          <w:p>
            <w:pPr>
              <w:pStyle w:val="Compact"/>
              <w:jc w:val="left"/>
            </w:pPr>
            <w:r>
              <w:t xml:space="preserve">500</w:t>
            </w:r>
          </w:p>
        </w:tc>
        <w:tc>
          <w:tcPr/>
          <w:p>
            <w:pPr>
              <w:pStyle w:val="Compact"/>
              <w:jc w:val="left"/>
            </w:pPr>
            <w:hyperlink w:anchor="Xa559bd5247f9128e74e6edcc17de37648e8cde6">
              <w:r>
                <w:rPr>
                  <w:rStyle w:val="Hyperlink"/>
                </w:rPr>
                <w:t xml:space="preserve">Ung 2009</w:t>
              </w:r>
            </w:hyperlink>
          </w:p>
        </w:tc>
      </w:tr>
      <w:tr>
        <w:tc>
          <w:tcPr/>
          <w:p>
            <w:pPr>
              <w:pStyle w:val="Compact"/>
              <w:jc w:val="left"/>
            </w:pPr>
            <w:r>
              <w:t xml:space="preserve">midazolam</w:t>
            </w:r>
          </w:p>
        </w:tc>
        <w:tc>
          <w:tcPr/>
          <w:p>
            <w:pPr>
              <w:pStyle w:val="Compact"/>
              <w:jc w:val="left"/>
            </w:pPr>
            <w:r>
              <w:t xml:space="preserve">HLM</w:t>
            </w:r>
          </w:p>
        </w:tc>
        <w:tc>
          <w:tcPr/>
          <w:p>
            <w:pPr>
              <w:pStyle w:val="Compact"/>
              <w:jc w:val="left"/>
            </w:pPr>
            <w:r>
              <w:t xml:space="preserve">CYP3A4</w:t>
            </w:r>
          </w:p>
        </w:tc>
        <w:tc>
          <w:tcPr/>
          <w:p>
            <w:pPr>
              <w:pStyle w:val="Compact"/>
              <w:jc w:val="left"/>
            </w:pPr>
            <w:r>
              <w:t xml:space="preserve">12.1</w:t>
            </w:r>
          </w:p>
        </w:tc>
        <w:tc>
          <w:tcPr/>
          <w:p>
            <w:pPr>
              <w:pStyle w:val="Compact"/>
              <w:jc w:val="left"/>
            </w:pPr>
            <w:r>
              <w:t xml:space="preserve">0.0215</w:t>
            </w:r>
          </w:p>
        </w:tc>
        <w:tc>
          <w:tcPr/>
          <w:p>
            <w:pPr>
              <w:pStyle w:val="Compact"/>
              <w:jc w:val="left"/>
            </w:pPr>
            <w:r>
              <w:t xml:space="preserve">0 - 100</w:t>
            </w:r>
          </w:p>
        </w:tc>
        <w:tc>
          <w:tcPr/>
          <w:p>
            <w:pPr>
              <w:pStyle w:val="Compact"/>
              <w:jc w:val="left"/>
            </w:pPr>
            <w:r>
              <w:t xml:space="preserve">25</w:t>
            </w:r>
          </w:p>
        </w:tc>
        <w:tc>
          <w:tcPr/>
          <w:p>
            <w:pPr>
              <w:pStyle w:val="Compact"/>
              <w:jc w:val="left"/>
            </w:pPr>
            <w:hyperlink w:anchor="Xa559bd5247f9128e74e6edcc17de37648e8cde6">
              <w:r>
                <w:rPr>
                  <w:rStyle w:val="Hyperlink"/>
                </w:rPr>
                <w:t xml:space="preserve">Watanabe 2007</w:t>
              </w:r>
            </w:hyperlink>
          </w:p>
        </w:tc>
      </w:tr>
      <w:tr>
        <w:tc>
          <w:tcPr/>
          <w:p>
            <w:pPr>
              <w:pStyle w:val="Compact"/>
              <w:jc w:val="left"/>
            </w:pPr>
            <w:r>
              <w:t xml:space="preserve">nifedipine</w:t>
            </w:r>
          </w:p>
        </w:tc>
        <w:tc>
          <w:tcPr/>
          <w:p>
            <w:pPr>
              <w:pStyle w:val="Compact"/>
              <w:jc w:val="left"/>
            </w:pPr>
            <w:r>
              <w:t xml:space="preserve">HLM</w:t>
            </w:r>
          </w:p>
        </w:tc>
        <w:tc>
          <w:tcPr/>
          <w:p>
            <w:pPr>
              <w:pStyle w:val="Compact"/>
              <w:jc w:val="left"/>
            </w:pPr>
            <w:r>
              <w:t xml:space="preserve">CYP3A4</w:t>
            </w:r>
          </w:p>
        </w:tc>
        <w:tc>
          <w:tcPr/>
          <w:p>
            <w:pPr>
              <w:pStyle w:val="Compact"/>
              <w:jc w:val="left"/>
            </w:pPr>
            <w:r>
              <w:t xml:space="preserve">11.3</w:t>
            </w:r>
          </w:p>
        </w:tc>
        <w:tc>
          <w:tcPr/>
          <w:p>
            <w:pPr>
              <w:pStyle w:val="Compact"/>
              <w:jc w:val="left"/>
            </w:pPr>
            <w:r>
              <w:t xml:space="preserve">0.0295</w:t>
            </w:r>
          </w:p>
        </w:tc>
        <w:tc>
          <w:tcPr/>
          <w:p>
            <w:pPr>
              <w:pStyle w:val="Compact"/>
              <w:jc w:val="left"/>
            </w:pPr>
            <w:r>
              <w:t xml:space="preserve">0 - 100</w:t>
            </w:r>
          </w:p>
        </w:tc>
        <w:tc>
          <w:tcPr/>
          <w:p>
            <w:pPr>
              <w:pStyle w:val="Compact"/>
              <w:jc w:val="left"/>
            </w:pPr>
            <w:r>
              <w:t xml:space="preserve">50</w:t>
            </w:r>
          </w:p>
        </w:tc>
        <w:tc>
          <w:tcPr/>
          <w:p>
            <w:pPr>
              <w:pStyle w:val="Compact"/>
              <w:jc w:val="left"/>
            </w:pPr>
            <w:hyperlink w:anchor="Xa559bd5247f9128e74e6edcc17de37648e8cde6">
              <w:r>
                <w:rPr>
                  <w:rStyle w:val="Hyperlink"/>
                </w:rPr>
                <w:t xml:space="preserve">Watanabe 2007</w:t>
              </w:r>
            </w:hyperlink>
          </w:p>
        </w:tc>
      </w:tr>
      <w:tr>
        <w:tc>
          <w:tcPr/>
          <w:p>
            <w:pPr>
              <w:pStyle w:val="Compact"/>
              <w:jc w:val="left"/>
            </w:pPr>
            <w:r>
              <w:t xml:space="preserve">testosterone</w:t>
            </w:r>
          </w:p>
        </w:tc>
        <w:tc>
          <w:tcPr/>
          <w:p>
            <w:pPr>
              <w:pStyle w:val="Compact"/>
              <w:jc w:val="left"/>
            </w:pPr>
            <w:r>
              <w:t xml:space="preserve">HLM</w:t>
            </w:r>
          </w:p>
        </w:tc>
        <w:tc>
          <w:tcPr/>
          <w:p>
            <w:pPr>
              <w:pStyle w:val="Compact"/>
              <w:jc w:val="left"/>
            </w:pPr>
            <w:r>
              <w:t xml:space="preserve">CYP3A4</w:t>
            </w:r>
          </w:p>
        </w:tc>
        <w:tc>
          <w:tcPr/>
          <w:p>
            <w:pPr>
              <w:pStyle w:val="Compact"/>
              <w:jc w:val="left"/>
            </w:pPr>
            <w:r>
              <w:t xml:space="preserve">10.9</w:t>
            </w:r>
          </w:p>
        </w:tc>
        <w:tc>
          <w:tcPr/>
          <w:p>
            <w:pPr>
              <w:pStyle w:val="Compact"/>
              <w:jc w:val="left"/>
            </w:pPr>
            <w:r>
              <w:t xml:space="preserve">0.0352</w:t>
            </w:r>
          </w:p>
        </w:tc>
        <w:tc>
          <w:tcPr/>
          <w:p>
            <w:pPr>
              <w:pStyle w:val="Compact"/>
              <w:jc w:val="left"/>
            </w:pPr>
            <w:r>
              <w:t xml:space="preserve">0 - 100</w:t>
            </w:r>
          </w:p>
        </w:tc>
        <w:tc>
          <w:tcPr/>
          <w:p>
            <w:pPr>
              <w:pStyle w:val="Compact"/>
              <w:jc w:val="left"/>
            </w:pPr>
            <w:r>
              <w:t xml:space="preserve">200</w:t>
            </w:r>
          </w:p>
        </w:tc>
        <w:tc>
          <w:tcPr/>
          <w:p>
            <w:pPr>
              <w:pStyle w:val="Compact"/>
              <w:jc w:val="left"/>
            </w:pPr>
            <w:hyperlink w:anchor="Xa559bd5247f9128e74e6edcc17de37648e8cde6">
              <w:r>
                <w:rPr>
                  <w:rStyle w:val="Hyperlink"/>
                </w:rPr>
                <w:t xml:space="preserve">Watanabe 2007</w:t>
              </w:r>
            </w:hyperlink>
          </w:p>
        </w:tc>
      </w:tr>
      <w:tr>
        <w:tc>
          <w:tcPr/>
          <w:p>
            <w:pPr>
              <w:pStyle w:val="Compact"/>
              <w:jc w:val="left"/>
            </w:pPr>
            <w:r>
              <w:t xml:space="preserve">midazolam</w:t>
            </w:r>
          </w:p>
        </w:tc>
        <w:tc>
          <w:tcPr/>
          <w:p>
            <w:pPr>
              <w:pStyle w:val="Compact"/>
              <w:jc w:val="left"/>
            </w:pPr>
            <w:r>
              <w:t xml:space="preserve">HLM</w:t>
            </w:r>
          </w:p>
        </w:tc>
        <w:tc>
          <w:tcPr/>
          <w:p>
            <w:pPr>
              <w:pStyle w:val="Compact"/>
              <w:jc w:val="left"/>
            </w:pPr>
            <w:r>
              <w:t xml:space="preserve">CYP3A</w:t>
            </w:r>
          </w:p>
        </w:tc>
        <w:tc>
          <w:tcPr/>
          <w:p>
            <w:pPr>
              <w:pStyle w:val="Compact"/>
              <w:jc w:val="left"/>
            </w:pPr>
            <w:r>
              <w:t xml:space="preserve">1.48</w:t>
            </w:r>
          </w:p>
        </w:tc>
        <w:tc>
          <w:tcPr/>
          <w:p>
            <w:pPr>
              <w:pStyle w:val="Compact"/>
              <w:jc w:val="left"/>
            </w:pPr>
            <w:r>
              <w:t xml:space="preserve">0.017</w:t>
            </w:r>
          </w:p>
        </w:tc>
        <w:tc>
          <w:tcPr/>
          <w:p>
            <w:pPr>
              <w:pStyle w:val="Compact"/>
              <w:jc w:val="left"/>
            </w:pPr>
            <w:r>
              <w:t xml:space="preserve">0.5 - 500</w:t>
            </w:r>
          </w:p>
        </w:tc>
        <w:tc>
          <w:tcPr/>
          <w:p>
            <w:pPr>
              <w:pStyle w:val="Compact"/>
              <w:jc w:val="left"/>
            </w:pPr>
            <w:r>
              <w:t xml:space="preserve">20</w:t>
            </w:r>
          </w:p>
        </w:tc>
        <w:tc>
          <w:tcPr/>
          <w:p>
            <w:pPr>
              <w:pStyle w:val="Compact"/>
              <w:jc w:val="left"/>
            </w:pPr>
            <w:hyperlink w:anchor="Xa559bd5247f9128e74e6edcc17de37648e8cde6">
              <w:r>
                <w:rPr>
                  <w:rStyle w:val="Hyperlink"/>
                </w:rPr>
                <w:t xml:space="preserve">Xu 2009</w:t>
              </w:r>
            </w:hyperlink>
          </w:p>
        </w:tc>
      </w:tr>
      <w:tr>
        <w:tc>
          <w:tcPr/>
          <w:p>
            <w:pPr>
              <w:pStyle w:val="Compact"/>
              <w:jc w:val="left"/>
            </w:pPr>
            <w:r>
              <w:t xml:space="preserve">midazolam</w:t>
            </w:r>
          </w:p>
        </w:tc>
        <w:tc>
          <w:tcPr/>
          <w:p>
            <w:pPr>
              <w:pStyle w:val="Compact"/>
              <w:jc w:val="left"/>
            </w:pPr>
            <w:r>
              <w:t xml:space="preserve">cryopreserved HEP</w:t>
            </w:r>
          </w:p>
        </w:tc>
        <w:tc>
          <w:tcPr/>
          <w:p>
            <w:pPr>
              <w:pStyle w:val="Compact"/>
              <w:jc w:val="left"/>
            </w:pPr>
            <w:r>
              <w:t xml:space="preserve">CYP3A</w:t>
            </w:r>
          </w:p>
        </w:tc>
        <w:tc>
          <w:tcPr/>
          <w:p>
            <w:pPr>
              <w:pStyle w:val="Compact"/>
              <w:jc w:val="left"/>
            </w:pPr>
            <w:r>
              <w:t xml:space="preserve">20.0</w:t>
            </w:r>
          </w:p>
        </w:tc>
        <w:tc>
          <w:tcPr/>
          <w:p>
            <w:pPr>
              <w:pStyle w:val="Compact"/>
              <w:jc w:val="left"/>
            </w:pPr>
            <w:r>
              <w:t xml:space="preserve">0.016</w:t>
            </w:r>
          </w:p>
        </w:tc>
        <w:tc>
          <w:tcPr/>
          <w:p>
            <w:pPr>
              <w:pStyle w:val="Compact"/>
              <w:jc w:val="left"/>
            </w:pPr>
            <w:r>
              <w:t xml:space="preserve">0.5 - 500</w:t>
            </w:r>
          </w:p>
        </w:tc>
        <w:tc>
          <w:tcPr/>
          <w:p>
            <w:pPr>
              <w:pStyle w:val="Compact"/>
              <w:jc w:val="left"/>
            </w:pPr>
            <w:r>
              <w:t xml:space="preserve">20</w:t>
            </w:r>
          </w:p>
        </w:tc>
        <w:tc>
          <w:tcPr/>
          <w:p>
            <w:pPr>
              <w:pStyle w:val="Compact"/>
              <w:jc w:val="left"/>
            </w:pPr>
            <w:hyperlink w:anchor="Xa559bd5247f9128e74e6edcc17de37648e8cde6">
              <w:r>
                <w:rPr>
                  <w:rStyle w:val="Hyperlink"/>
                </w:rPr>
                <w:t xml:space="preserve">Xu 2009</w:t>
              </w:r>
            </w:hyperlink>
          </w:p>
        </w:tc>
      </w:tr>
      <w:tr>
        <w:tc>
          <w:tcPr/>
          <w:p>
            <w:pPr>
              <w:pStyle w:val="Compact"/>
              <w:jc w:val="left"/>
            </w:pPr>
            <w:r>
              <w:t xml:space="preserve">midazolam</w:t>
            </w:r>
          </w:p>
        </w:tc>
        <w:tc>
          <w:tcPr/>
          <w:p>
            <w:pPr>
              <w:pStyle w:val="Compact"/>
              <w:jc w:val="left"/>
            </w:pPr>
            <w:r>
              <w:t xml:space="preserve">cryopreserved HEP</w:t>
            </w:r>
          </w:p>
        </w:tc>
        <w:tc>
          <w:tcPr/>
          <w:p>
            <w:pPr>
              <w:pStyle w:val="Compact"/>
              <w:jc w:val="left"/>
            </w:pPr>
            <w:r>
              <w:t xml:space="preserve">CYP3A</w:t>
            </w:r>
          </w:p>
        </w:tc>
        <w:tc>
          <w:tcPr/>
          <w:p>
            <w:pPr>
              <w:pStyle w:val="Compact"/>
              <w:jc w:val="left"/>
            </w:pPr>
            <w:r>
              <w:t xml:space="preserve">109</w:t>
            </w:r>
          </w:p>
        </w:tc>
        <w:tc>
          <w:tcPr/>
          <w:p>
            <w:pPr>
              <w:pStyle w:val="Compact"/>
              <w:jc w:val="left"/>
            </w:pPr>
            <w:r>
              <w:t xml:space="preserve">0.055</w:t>
            </w:r>
          </w:p>
        </w:tc>
        <w:tc>
          <w:tcPr/>
          <w:p>
            <w:pPr>
              <w:pStyle w:val="Compact"/>
              <w:jc w:val="left"/>
            </w:pPr>
            <w:r>
              <w:t xml:space="preserve">0.5 - 500</w:t>
            </w:r>
          </w:p>
        </w:tc>
        <w:tc>
          <w:tcPr/>
          <w:p>
            <w:pPr>
              <w:pStyle w:val="Compact"/>
              <w:jc w:val="left"/>
            </w:pPr>
            <w:r>
              <w:t xml:space="preserve">20</w:t>
            </w:r>
          </w:p>
        </w:tc>
        <w:tc>
          <w:tcPr/>
          <w:p>
            <w:pPr>
              <w:pStyle w:val="Compact"/>
              <w:jc w:val="left"/>
            </w:pPr>
            <w:hyperlink w:anchor="Xa559bd5247f9128e74e6edcc17de37648e8cde6">
              <w:r>
                <w:rPr>
                  <w:rStyle w:val="Hyperlink"/>
                </w:rPr>
                <w:t xml:space="preserve">Xu 2009</w:t>
              </w:r>
            </w:hyperlink>
          </w:p>
        </w:tc>
      </w:tr>
      <w:tr>
        <w:tc>
          <w:tcPr/>
          <w:p>
            <w:pPr>
              <w:pStyle w:val="Compact"/>
              <w:jc w:val="left"/>
            </w:pPr>
            <w:r>
              <w:t xml:space="preserve">midazolam</w:t>
            </w:r>
          </w:p>
        </w:tc>
        <w:tc>
          <w:tcPr/>
          <w:p>
            <w:pPr>
              <w:pStyle w:val="Compact"/>
              <w:jc w:val="left"/>
            </w:pPr>
            <w:r>
              <w:t xml:space="preserve">HLM</w:t>
            </w:r>
          </w:p>
        </w:tc>
        <w:tc>
          <w:tcPr/>
          <w:p>
            <w:pPr>
              <w:pStyle w:val="Compact"/>
              <w:jc w:val="left"/>
            </w:pPr>
            <w:r>
              <w:t xml:space="preserve">CYP3A</w:t>
            </w:r>
          </w:p>
        </w:tc>
        <w:tc>
          <w:tcPr/>
          <w:p>
            <w:pPr>
              <w:pStyle w:val="Compact"/>
              <w:jc w:val="left"/>
            </w:pPr>
            <w:r>
              <w:t xml:space="preserve">81.8</w:t>
            </w:r>
          </w:p>
        </w:tc>
        <w:tc>
          <w:tcPr/>
          <w:p>
            <w:pPr>
              <w:pStyle w:val="Compact"/>
              <w:jc w:val="left"/>
            </w:pPr>
            <w:r>
              <w:t xml:space="preserve">0.0665</w:t>
            </w:r>
          </w:p>
        </w:tc>
        <w:tc>
          <w:tcPr/>
          <w:p>
            <w:pPr>
              <w:pStyle w:val="Compact"/>
              <w:jc w:val="left"/>
            </w:pPr>
            <w:r>
              <w:t xml:space="preserve">20 - 400</w:t>
            </w:r>
          </w:p>
        </w:tc>
        <w:tc>
          <w:tcPr/>
          <w:p>
            <w:pPr>
              <w:pStyle w:val="Compact"/>
              <w:jc w:val="left"/>
            </w:pPr>
            <w:r>
              <w:t xml:space="preserve">10</w:t>
            </w:r>
          </w:p>
        </w:tc>
        <w:tc>
          <w:tcPr/>
          <w:p>
            <w:pPr>
              <w:pStyle w:val="Compact"/>
              <w:jc w:val="left"/>
            </w:pPr>
            <w:hyperlink w:anchor="Xa559bd5247f9128e74e6edcc17de37648e8cde6">
              <w:r>
                <w:rPr>
                  <w:rStyle w:val="Hyperlink"/>
                </w:rPr>
                <w:t xml:space="preserve">Yamano 2001</w:t>
              </w:r>
            </w:hyperlink>
          </w:p>
        </w:tc>
      </w:tr>
      <w:tr>
        <w:tc>
          <w:tcPr/>
          <w:p>
            <w:pPr>
              <w:pStyle w:val="Compact"/>
              <w:jc w:val="left"/>
            </w:pPr>
            <w:r>
              <w:t xml:space="preserve">midazolam</w:t>
            </w:r>
          </w:p>
        </w:tc>
        <w:tc>
          <w:tcPr/>
          <w:p>
            <w:pPr>
              <w:pStyle w:val="Compact"/>
              <w:jc w:val="left"/>
            </w:pPr>
            <w:r>
              <w:t xml:space="preserve">HLM</w:t>
            </w:r>
          </w:p>
        </w:tc>
        <w:tc>
          <w:tcPr/>
          <w:p>
            <w:pPr>
              <w:pStyle w:val="Compact"/>
              <w:jc w:val="left"/>
            </w:pPr>
            <w:r>
              <w:t xml:space="preserve">CYP3A</w:t>
            </w:r>
          </w:p>
        </w:tc>
        <w:tc>
          <w:tcPr/>
          <w:p>
            <w:pPr>
              <w:pStyle w:val="Compact"/>
              <w:jc w:val="left"/>
            </w:pPr>
            <w:r>
              <w:t xml:space="preserve">15.7</w:t>
            </w:r>
          </w:p>
        </w:tc>
        <w:tc>
          <w:tcPr/>
          <w:p>
            <w:pPr>
              <w:pStyle w:val="Compact"/>
              <w:jc w:val="left"/>
            </w:pPr>
            <w:r>
              <w:t xml:space="preserve">0.1</w:t>
            </w:r>
          </w:p>
        </w:tc>
        <w:tc>
          <w:tcPr/>
          <w:p>
            <w:pPr>
              <w:pStyle w:val="Compact"/>
            </w:pPr>
          </w:p>
        </w:tc>
        <w:tc>
          <w:tcPr/>
          <w:p>
            <w:pPr>
              <w:pStyle w:val="Compact"/>
            </w:pPr>
          </w:p>
        </w:tc>
        <w:tc>
          <w:tcPr/>
          <w:p>
            <w:pPr>
              <w:pStyle w:val="Compact"/>
              <w:jc w:val="left"/>
            </w:pPr>
            <w:hyperlink w:anchor="Xa559bd5247f9128e74e6edcc17de37648e8cde6">
              <w:r>
                <w:rPr>
                  <w:rStyle w:val="Hyperlink"/>
                </w:rPr>
                <w:t xml:space="preserve">Zhang 2006</w:t>
              </w:r>
            </w:hyperlink>
          </w:p>
        </w:tc>
      </w:tr>
      <w:tr>
        <w:tc>
          <w:tcPr/>
          <w:p>
            <w:pPr>
              <w:pStyle w:val="Compact"/>
              <w:jc w:val="left"/>
            </w:pPr>
            <w:r>
              <w:t xml:space="preserve">testosterone</w:t>
            </w:r>
          </w:p>
        </w:tc>
        <w:tc>
          <w:tcPr/>
          <w:p>
            <w:pPr>
              <w:pStyle w:val="Compact"/>
              <w:jc w:val="left"/>
            </w:pPr>
            <w:r>
              <w:t xml:space="preserve">rec cDNA CYP3A4</w:t>
            </w:r>
          </w:p>
        </w:tc>
        <w:tc>
          <w:tcPr/>
          <w:p>
            <w:pPr>
              <w:pStyle w:val="Compact"/>
              <w:jc w:val="left"/>
            </w:pPr>
            <w:r>
              <w:t xml:space="preserve">CYP3A4</w:t>
            </w:r>
          </w:p>
        </w:tc>
        <w:tc>
          <w:tcPr/>
          <w:p>
            <w:pPr>
              <w:pStyle w:val="Compact"/>
              <w:jc w:val="left"/>
            </w:pPr>
            <w:r>
              <w:t xml:space="preserve">5</w:t>
            </w:r>
          </w:p>
        </w:tc>
        <w:tc>
          <w:tcPr/>
          <w:p>
            <w:pPr>
              <w:pStyle w:val="Compact"/>
              <w:jc w:val="left"/>
            </w:pPr>
            <w:r>
              <w:t xml:space="preserve">0.34</w:t>
            </w:r>
          </w:p>
        </w:tc>
        <w:tc>
          <w:tcPr/>
          <w:p>
            <w:pPr>
              <w:pStyle w:val="Compact"/>
              <w:jc w:val="left"/>
            </w:pPr>
            <w:r>
              <w:t xml:space="preserve">1 - 50</w:t>
            </w:r>
          </w:p>
        </w:tc>
        <w:tc>
          <w:tcPr/>
          <w:p>
            <w:pPr>
              <w:pStyle w:val="Compact"/>
              <w:jc w:val="left"/>
            </w:pPr>
            <w:r>
              <w:t xml:space="preserve">200</w:t>
            </w:r>
          </w:p>
        </w:tc>
        <w:tc>
          <w:tcPr/>
          <w:p>
            <w:pPr>
              <w:pStyle w:val="Compact"/>
              <w:jc w:val="left"/>
            </w:pPr>
            <w:hyperlink w:anchor="Xa559bd5247f9128e74e6edcc17de37648e8cde6">
              <w:r>
                <w:rPr>
                  <w:rStyle w:val="Hyperlink"/>
                </w:rPr>
                <w:t xml:space="preserve">Zhang 2009</w:t>
              </w:r>
            </w:hyperlink>
          </w:p>
        </w:tc>
      </w:tr>
      <w:tr>
        <w:tc>
          <w:tcPr/>
          <w:p>
            <w:pPr>
              <w:pStyle w:val="Compact"/>
              <w:jc w:val="left"/>
            </w:pPr>
            <w:r>
              <w:t xml:space="preserve">testosterone</w:t>
            </w:r>
          </w:p>
        </w:tc>
        <w:tc>
          <w:tcPr/>
          <w:p>
            <w:pPr>
              <w:pStyle w:val="Compact"/>
              <w:jc w:val="left"/>
            </w:pPr>
            <w:r>
              <w:t xml:space="preserve">HLM</w:t>
            </w:r>
          </w:p>
        </w:tc>
        <w:tc>
          <w:tcPr/>
          <w:p>
            <w:pPr>
              <w:pStyle w:val="Compact"/>
              <w:jc w:val="left"/>
            </w:pPr>
            <w:r>
              <w:t xml:space="preserve">CYP3A4</w:t>
            </w:r>
          </w:p>
        </w:tc>
        <w:tc>
          <w:tcPr/>
          <w:p>
            <w:pPr>
              <w:pStyle w:val="Compact"/>
              <w:jc w:val="left"/>
            </w:pPr>
            <w:r>
              <w:t xml:space="preserve">15.7</w:t>
            </w:r>
          </w:p>
        </w:tc>
        <w:tc>
          <w:tcPr/>
          <w:p>
            <w:pPr>
              <w:pStyle w:val="Compact"/>
              <w:jc w:val="left"/>
            </w:pPr>
            <w:r>
              <w:t xml:space="preserve">0.09</w:t>
            </w:r>
          </w:p>
        </w:tc>
        <w:tc>
          <w:tcPr/>
          <w:p>
            <w:pPr>
              <w:pStyle w:val="Compact"/>
              <w:jc w:val="left"/>
            </w:pPr>
            <w:r>
              <w:t xml:space="preserve">1 - 50</w:t>
            </w:r>
          </w:p>
        </w:tc>
        <w:tc>
          <w:tcPr/>
          <w:p>
            <w:pPr>
              <w:pStyle w:val="Compact"/>
              <w:jc w:val="left"/>
            </w:pPr>
            <w:r>
              <w:t xml:space="preserve">200</w:t>
            </w:r>
          </w:p>
        </w:tc>
        <w:tc>
          <w:tcPr/>
          <w:p>
            <w:pPr>
              <w:pStyle w:val="Compact"/>
              <w:jc w:val="left"/>
            </w:pPr>
            <w:hyperlink w:anchor="Xa559bd5247f9128e74e6edcc17de37648e8cde6">
              <w:r>
                <w:rPr>
                  <w:rStyle w:val="Hyperlink"/>
                </w:rPr>
                <w:t xml:space="preserve">Zhang 2009</w:t>
              </w:r>
            </w:hyperlink>
          </w:p>
        </w:tc>
      </w:tr>
      <w:tr>
        <w:tc>
          <w:tcPr/>
          <w:p>
            <w:pPr>
              <w:pStyle w:val="Compact"/>
              <w:jc w:val="left"/>
            </w:pPr>
            <w:r>
              <w:t xml:space="preserve">midazolam</w:t>
            </w:r>
          </w:p>
        </w:tc>
        <w:tc>
          <w:tcPr/>
          <w:p>
            <w:pPr>
              <w:pStyle w:val="Compact"/>
              <w:jc w:val="left"/>
            </w:pPr>
            <w:r>
              <w:t xml:space="preserve">HLM</w:t>
            </w:r>
          </w:p>
        </w:tc>
        <w:tc>
          <w:tcPr/>
          <w:p>
            <w:pPr>
              <w:pStyle w:val="Compact"/>
              <w:jc w:val="left"/>
            </w:pPr>
            <w:r>
              <w:t xml:space="preserve">CYP3A4</w:t>
            </w:r>
          </w:p>
        </w:tc>
        <w:tc>
          <w:tcPr/>
          <w:p>
            <w:pPr>
              <w:pStyle w:val="Compact"/>
              <w:jc w:val="left"/>
            </w:pPr>
            <w:r>
              <w:t xml:space="preserve">26.5</w:t>
            </w:r>
          </w:p>
        </w:tc>
        <w:tc>
          <w:tcPr/>
          <w:p>
            <w:pPr>
              <w:pStyle w:val="Compact"/>
              <w:jc w:val="left"/>
            </w:pPr>
            <w:r>
              <w:t xml:space="preserve">0.041</w:t>
            </w:r>
          </w:p>
        </w:tc>
        <w:tc>
          <w:tcPr/>
          <w:p>
            <w:pPr>
              <w:pStyle w:val="Compact"/>
              <w:jc w:val="left"/>
            </w:pPr>
            <w:r>
              <w:t xml:space="preserve">2.5 - 50</w:t>
            </w:r>
          </w:p>
        </w:tc>
        <w:tc>
          <w:tcPr/>
          <w:p>
            <w:pPr>
              <w:pStyle w:val="Compact"/>
              <w:jc w:val="left"/>
            </w:pPr>
            <w:r>
              <w:t xml:space="preserve">10</w:t>
            </w:r>
          </w:p>
        </w:tc>
        <w:tc>
          <w:tcPr/>
          <w:p>
            <w:pPr>
              <w:pStyle w:val="Compact"/>
              <w:jc w:val="left"/>
            </w:pPr>
            <w:hyperlink w:anchor="Xa559bd5247f9128e74e6edcc17de37648e8cde6">
              <w:r>
                <w:rPr>
                  <w:rStyle w:val="Hyperlink"/>
                </w:rPr>
                <w:t xml:space="preserve">Zimmerlin 2011</w:t>
              </w:r>
            </w:hyperlink>
          </w:p>
        </w:tc>
      </w:tr>
    </w:tbl>
    <w:p>
      <w:pPr>
        <w:pStyle w:val="BodyText"/>
      </w:pPr>
      <w:r>
        <w:rPr>
          <w:iCs/>
          <w:i/>
        </w:rPr>
        <w:t xml:space="preserve">Note:</w:t>
      </w:r>
      <w:r>
        <w:t xml:space="preserve"> </w:t>
      </w:r>
      <w:r>
        <w:t xml:space="preserve">Abbreviations: HEP: human hepatocytes; HLM: human liver microsomes; rec cDNA CYP3A4: human recombinant c-DNA CYP3A4 enzymes (e.g. supersomes, baculovirus-insect cell system, E. coli transfected cells)</w:t>
      </w:r>
    </w:p>
    <w:p>
      <w:pPr>
        <w:pStyle w:val="BodyText"/>
      </w:pPr>
      <w:r>
        <w:t xml:space="preserve">The data listed in the Table above can be statistically summarized as follows:</w:t>
      </w:r>
    </w:p>
    <w:tbl>
      <w:tblPr>
        <w:tblStyle w:val="Table"/>
        <w:tblW w:type="pct" w:w="5000"/>
        <w:tblLook w:firstRow="1" w:lastRow="0" w:firstColumn="0" w:lastColumn="0" w:noHBand="0" w:noVBand="0" w:val="0020"/>
        <w:jc w:val="start"/>
      </w:tblPr>
      <w:tblGrid>
        <w:gridCol w:w="3033"/>
        <w:gridCol w:w="505"/>
        <w:gridCol w:w="505"/>
        <w:gridCol w:w="1179"/>
        <w:gridCol w:w="505"/>
        <w:gridCol w:w="1263"/>
        <w:gridCol w:w="505"/>
        <w:gridCol w:w="421"/>
      </w:tblGrid>
      <w:tr>
        <w:trPr>
          <w:tblHeader w:val="true"/>
        </w:trPr>
        <w:tc>
          <w:tcPr/>
          <w:p>
            <w:pPr>
              <w:pStyle w:val="Compact"/>
              <w:jc w:val="left"/>
            </w:pPr>
            <w:r>
              <w:t xml:space="preserve">Parameter [unit]</w:t>
            </w:r>
          </w:p>
        </w:tc>
        <w:tc>
          <w:tcPr/>
          <w:p>
            <w:pPr>
              <w:pStyle w:val="Compact"/>
              <w:jc w:val="left"/>
            </w:pPr>
            <w:r>
              <w:t xml:space="preserve">Min</w:t>
            </w:r>
          </w:p>
        </w:tc>
        <w:tc>
          <w:tcPr/>
          <w:p>
            <w:pPr>
              <w:pStyle w:val="Compact"/>
              <w:jc w:val="left"/>
            </w:pPr>
            <w:r>
              <w:t xml:space="preserve">Q1</w:t>
            </w:r>
          </w:p>
        </w:tc>
        <w:tc>
          <w:tcPr/>
          <w:p>
            <w:pPr>
              <w:pStyle w:val="Compact"/>
              <w:jc w:val="left"/>
            </w:pPr>
            <w:r>
              <w:t xml:space="preserve">Geometric mean</w:t>
            </w:r>
          </w:p>
        </w:tc>
        <w:tc>
          <w:tcPr/>
          <w:p>
            <w:pPr>
              <w:pStyle w:val="Compact"/>
              <w:jc w:val="left"/>
            </w:pPr>
            <w:r>
              <w:t xml:space="preserve">Median</w:t>
            </w:r>
          </w:p>
        </w:tc>
        <w:tc>
          <w:tcPr/>
          <w:p>
            <w:pPr>
              <w:pStyle w:val="Compact"/>
              <w:jc w:val="left"/>
            </w:pPr>
            <w:r>
              <w:t xml:space="preserve">Arithmetic mean</w:t>
            </w:r>
          </w:p>
        </w:tc>
        <w:tc>
          <w:tcPr/>
          <w:p>
            <w:pPr>
              <w:pStyle w:val="Compact"/>
              <w:jc w:val="left"/>
            </w:pPr>
            <w:r>
              <w:t xml:space="preserve">Q3</w:t>
            </w:r>
          </w:p>
        </w:tc>
        <w:tc>
          <w:tcPr/>
          <w:p>
            <w:pPr>
              <w:pStyle w:val="Compact"/>
              <w:jc w:val="left"/>
            </w:pPr>
            <w:r>
              <w:t xml:space="preserve">Max</w:t>
            </w:r>
          </w:p>
        </w:tc>
      </w:tr>
      <w:tr>
        <w:tc>
          <w:tcPr/>
          <w:p>
            <w:pPr>
              <w:pStyle w:val="Compact"/>
              <w:jc w:val="left"/>
            </w:pPr>
            <w:r>
              <w:t xml:space="preserve">K</w:t>
            </w:r>
            <w:r>
              <w:rPr>
                <w:vertAlign w:val="subscript"/>
              </w:rPr>
              <w:t xml:space="preserve">I</w:t>
            </w:r>
            <w:r>
              <w:t xml:space="preserve"> </w:t>
            </w:r>
            <w:r>
              <w:t xml:space="preserve">[µM]</w:t>
            </w:r>
          </w:p>
        </w:tc>
        <w:tc>
          <w:tcPr/>
          <w:p>
            <w:pPr>
              <w:pStyle w:val="Compact"/>
              <w:jc w:val="left"/>
            </w:pPr>
            <w:r>
              <w:t xml:space="preserve">0.420</w:t>
            </w:r>
          </w:p>
        </w:tc>
        <w:tc>
          <w:tcPr/>
          <w:p>
            <w:pPr>
              <w:pStyle w:val="Compact"/>
              <w:jc w:val="left"/>
            </w:pPr>
            <w:r>
              <w:t xml:space="preserve">4.89</w:t>
            </w:r>
          </w:p>
        </w:tc>
        <w:tc>
          <w:tcPr/>
          <w:p>
            <w:pPr>
              <w:pStyle w:val="Compact"/>
              <w:jc w:val="left"/>
            </w:pPr>
            <w:r>
              <w:t xml:space="preserve">8.71</w:t>
            </w:r>
          </w:p>
        </w:tc>
        <w:tc>
          <w:tcPr/>
          <w:p>
            <w:pPr>
              <w:pStyle w:val="Compact"/>
              <w:jc w:val="left"/>
            </w:pPr>
            <w:r>
              <w:t xml:space="preserve">10.9</w:t>
            </w:r>
          </w:p>
        </w:tc>
        <w:tc>
          <w:tcPr/>
          <w:p>
            <w:pPr>
              <w:pStyle w:val="Compact"/>
              <w:jc w:val="left"/>
            </w:pPr>
            <w:r>
              <w:t xml:space="preserve">18.4</w:t>
            </w:r>
          </w:p>
        </w:tc>
        <w:tc>
          <w:tcPr/>
          <w:p>
            <w:pPr>
              <w:pStyle w:val="Compact"/>
              <w:jc w:val="left"/>
            </w:pPr>
            <w:r>
              <w:t xml:space="preserve">19.3</w:t>
            </w:r>
          </w:p>
        </w:tc>
        <w:tc>
          <w:tcPr/>
          <w:p>
            <w:pPr>
              <w:pStyle w:val="Compact"/>
              <w:jc w:val="left"/>
            </w:pPr>
            <w:r>
              <w:t xml:space="preserve">109</w:t>
            </w:r>
          </w:p>
        </w:tc>
      </w:tr>
      <w:tr>
        <w:tc>
          <w:tcPr/>
          <w:p>
            <w:pPr>
              <w:pStyle w:val="Compact"/>
              <w:jc w:val="left"/>
            </w:pPr>
            <w:r>
              <w:t xml:space="preserve">k</w:t>
            </w:r>
            <w:r>
              <w:rPr>
                <w:vertAlign w:val="subscript"/>
              </w:rPr>
              <w:t xml:space="preserve">inact</w:t>
            </w:r>
            <w:r>
              <w:t xml:space="preserve"> </w:t>
            </w:r>
            <w:r>
              <w:t xml:space="preserve">[min</w:t>
            </w:r>
            <w:r>
              <w:rPr>
                <w:vertAlign w:val="superscript"/>
              </w:rPr>
              <w:t xml:space="preserve">-1</w:t>
            </w:r>
            <w:r>
              <w:t xml:space="preserve">]</w:t>
            </w:r>
          </w:p>
        </w:tc>
        <w:tc>
          <w:tcPr/>
          <w:p>
            <w:pPr>
              <w:pStyle w:val="Compact"/>
              <w:jc w:val="left"/>
            </w:pPr>
            <w:r>
              <w:t xml:space="preserve">0.0115</w:t>
            </w:r>
          </w:p>
        </w:tc>
        <w:tc>
          <w:tcPr/>
          <w:p>
            <w:pPr>
              <w:pStyle w:val="Compact"/>
              <w:jc w:val="left"/>
            </w:pPr>
            <w:r>
              <w:t xml:space="preserve">0.0314</w:t>
            </w:r>
          </w:p>
        </w:tc>
        <w:tc>
          <w:tcPr/>
          <w:p>
            <w:pPr>
              <w:pStyle w:val="Compact"/>
              <w:jc w:val="left"/>
            </w:pPr>
            <w:r>
              <w:t xml:space="preserve">0.0504</w:t>
            </w:r>
          </w:p>
        </w:tc>
        <w:tc>
          <w:tcPr/>
          <w:p>
            <w:pPr>
              <w:pStyle w:val="Compact"/>
              <w:jc w:val="left"/>
            </w:pPr>
            <w:r>
              <w:t xml:space="preserve">0.0535</w:t>
            </w:r>
          </w:p>
        </w:tc>
        <w:tc>
          <w:tcPr/>
          <w:p>
            <w:pPr>
              <w:pStyle w:val="Compact"/>
              <w:jc w:val="left"/>
            </w:pPr>
            <w:r>
              <w:t xml:space="preserve">0.0664</w:t>
            </w:r>
          </w:p>
        </w:tc>
        <w:tc>
          <w:tcPr/>
          <w:p>
            <w:pPr>
              <w:pStyle w:val="Compact"/>
              <w:jc w:val="left"/>
            </w:pPr>
            <w:r>
              <w:t xml:space="preserve">0.0772</w:t>
            </w:r>
          </w:p>
        </w:tc>
        <w:tc>
          <w:tcPr/>
          <w:p>
            <w:pPr>
              <w:pStyle w:val="Compact"/>
              <w:jc w:val="left"/>
            </w:pPr>
            <w:r>
              <w:t xml:space="preserve">0.340</w:t>
            </w:r>
          </w:p>
        </w:tc>
      </w:tr>
    </w:tbl>
    <w:bookmarkEnd w:id="23"/>
    <w:bookmarkStart w:id="24" w:name="clinical-data"/>
    <w:p>
      <w:pPr>
        <w:pStyle w:val="Heading3"/>
      </w:pPr>
      <w:r>
        <w:t xml:space="preserve">2.2.3 Clinical data</w:t>
      </w:r>
    </w:p>
    <w:p>
      <w:pPr>
        <w:pStyle w:val="FirstParagraph"/>
      </w:pPr>
      <w:r>
        <w:t xml:space="preserve">A literature search was carried out to collect available PK data on erythromycin in healthy adults. The following data from the publications listed below were used for model building and evaluation:</w:t>
      </w:r>
    </w:p>
    <w:tbl>
      <w:tblPr>
        <w:tblStyle w:val="Table"/>
        <w:tblW w:type="pct" w:w="5000"/>
        <w:tblLook w:firstRow="1" w:lastRow="0" w:firstColumn="0" w:lastColumn="0" w:noHBand="0" w:noVBand="0" w:val="0020"/>
        <w:jc w:val="start"/>
      </w:tblPr>
      <w:tblGrid>
        <w:gridCol w:w="2810"/>
        <w:gridCol w:w="5109"/>
      </w:tblGrid>
      <w:tr>
        <w:trPr>
          <w:tblHeader w:val="true"/>
        </w:trPr>
        <w:tc>
          <w:tcPr/>
          <w:p>
            <w:pPr>
              <w:pStyle w:val="Compact"/>
              <w:jc w:val="left"/>
            </w:pPr>
            <w:r>
              <w:t xml:space="preserve">Publication</w:t>
            </w:r>
          </w:p>
        </w:tc>
        <w:tc>
          <w:tcPr/>
          <w:p>
            <w:pPr>
              <w:pStyle w:val="Compact"/>
              <w:jc w:val="left"/>
            </w:pPr>
            <w:r>
              <w:t xml:space="preserve">Study description</w:t>
            </w:r>
          </w:p>
        </w:tc>
      </w:tr>
      <w:tr>
        <w:tc>
          <w:tcPr/>
          <w:p>
            <w:pPr>
              <w:pStyle w:val="Compact"/>
              <w:jc w:val="left"/>
            </w:pPr>
            <w:hyperlink w:anchor="Xa559bd5247f9128e74e6edcc17de37648e8cde6">
              <w:r>
                <w:rPr>
                  <w:rStyle w:val="Hyperlink"/>
                </w:rPr>
                <w:t xml:space="preserve">Austin 1980</w:t>
              </w:r>
            </w:hyperlink>
          </w:p>
        </w:tc>
        <w:tc>
          <w:tcPr/>
          <w:p>
            <w:pPr>
              <w:pStyle w:val="Compact"/>
              <w:jc w:val="left"/>
            </w:pPr>
            <w:r>
              <w:t xml:space="preserve">IV administration of 125 mg, 250 mg, 500 mg, and 900 mg as erythromycin lactobionate; single dose</w:t>
            </w:r>
          </w:p>
        </w:tc>
      </w:tr>
      <w:tr>
        <w:tc>
          <w:tcPr/>
          <w:p>
            <w:pPr>
              <w:pStyle w:val="Compact"/>
              <w:jc w:val="left"/>
            </w:pPr>
            <w:hyperlink w:anchor="Xa559bd5247f9128e74e6edcc17de37648e8cde6">
              <w:r>
                <w:rPr>
                  <w:rStyle w:val="Hyperlink"/>
                </w:rPr>
                <w:t xml:space="preserve">Barre 1987</w:t>
              </w:r>
            </w:hyperlink>
          </w:p>
        </w:tc>
        <w:tc>
          <w:tcPr/>
          <w:p>
            <w:pPr>
              <w:pStyle w:val="Compact"/>
              <w:jc w:val="left"/>
            </w:pPr>
            <w:r>
              <w:t xml:space="preserve">IV administration of 500 mg as erythromycin lactobionate; single dose</w:t>
            </w:r>
          </w:p>
        </w:tc>
      </w:tr>
      <w:tr>
        <w:tc>
          <w:tcPr/>
          <w:p>
            <w:pPr>
              <w:pStyle w:val="Compact"/>
              <w:jc w:val="left"/>
            </w:pPr>
            <w:hyperlink w:anchor="Xa559bd5247f9128e74e6edcc17de37648e8cde6">
              <w:r>
                <w:rPr>
                  <w:rStyle w:val="Hyperlink"/>
                </w:rPr>
                <w:t xml:space="preserve">Berend 1979</w:t>
              </w:r>
            </w:hyperlink>
          </w:p>
        </w:tc>
        <w:tc>
          <w:tcPr/>
          <w:p>
            <w:pPr>
              <w:pStyle w:val="Compact"/>
              <w:jc w:val="left"/>
            </w:pPr>
            <w:r>
              <w:t xml:space="preserve">PO administration of 500 mg erythromycin stearate; multiple dose</w:t>
            </w:r>
          </w:p>
        </w:tc>
      </w:tr>
      <w:tr>
        <w:tc>
          <w:tcPr/>
          <w:p>
            <w:pPr>
              <w:pStyle w:val="Compact"/>
              <w:jc w:val="left"/>
            </w:pPr>
            <w:hyperlink w:anchor="Xa559bd5247f9128e74e6edcc17de37648e8cde6">
              <w:r>
                <w:rPr>
                  <w:rStyle w:val="Hyperlink"/>
                </w:rPr>
                <w:t xml:space="preserve">Birkett 1990</w:t>
              </w:r>
            </w:hyperlink>
          </w:p>
        </w:tc>
        <w:tc>
          <w:tcPr/>
          <w:p>
            <w:pPr>
              <w:pStyle w:val="Compact"/>
              <w:jc w:val="left"/>
            </w:pPr>
            <w:r>
              <w:t xml:space="preserve">PO administration of 250 mg as enteric-coated capsules containing pellets of erythromycin base; single and multiple dose</w:t>
            </w:r>
          </w:p>
        </w:tc>
      </w:tr>
      <w:tr>
        <w:tc>
          <w:tcPr/>
          <w:p>
            <w:pPr>
              <w:pStyle w:val="Compact"/>
              <w:jc w:val="left"/>
            </w:pPr>
            <w:hyperlink w:anchor="Xa559bd5247f9128e74e6edcc17de37648e8cde6">
              <w:r>
                <w:rPr>
                  <w:rStyle w:val="Hyperlink"/>
                </w:rPr>
                <w:t xml:space="preserve">Brannan 1995</w:t>
              </w:r>
            </w:hyperlink>
          </w:p>
        </w:tc>
        <w:tc>
          <w:tcPr/>
          <w:p>
            <w:pPr>
              <w:pStyle w:val="Compact"/>
              <w:jc w:val="left"/>
            </w:pPr>
            <w:r>
              <w:t xml:space="preserve">PO administration of 500 mg erythromycin stearate; multiple dose</w:t>
            </w:r>
          </w:p>
        </w:tc>
      </w:tr>
      <w:tr>
        <w:tc>
          <w:tcPr/>
          <w:p>
            <w:pPr>
              <w:pStyle w:val="Compact"/>
              <w:jc w:val="left"/>
            </w:pPr>
            <w:hyperlink w:anchor="Xa559bd5247f9128e74e6edcc17de37648e8cde6">
              <w:r>
                <w:rPr>
                  <w:rStyle w:val="Hyperlink"/>
                </w:rPr>
                <w:t xml:space="preserve">DiSanto 1981</w:t>
              </w:r>
            </w:hyperlink>
          </w:p>
        </w:tc>
        <w:tc>
          <w:tcPr/>
          <w:p>
            <w:pPr>
              <w:pStyle w:val="Compact"/>
              <w:jc w:val="left"/>
            </w:pPr>
            <w:r>
              <w:t xml:space="preserve">PO administration of 500 mg as unprotected tablets containing erythromycin base, as film-coated tablets containing erythromycin base, as enteric-coated tablets containing erythromycin base and as film-coated tablets containing erythromycin stearate; single and multiple dose</w:t>
            </w:r>
          </w:p>
        </w:tc>
      </w:tr>
      <w:tr>
        <w:tc>
          <w:tcPr/>
          <w:p>
            <w:pPr>
              <w:pStyle w:val="Compact"/>
              <w:jc w:val="left"/>
            </w:pPr>
            <w:hyperlink w:anchor="Xa559bd5247f9128e74e6edcc17de37648e8cde6">
              <w:r>
                <w:rPr>
                  <w:rStyle w:val="Hyperlink"/>
                </w:rPr>
                <w:t xml:space="preserve">Henry 1980</w:t>
              </w:r>
            </w:hyperlink>
          </w:p>
        </w:tc>
        <w:tc>
          <w:tcPr/>
          <w:p>
            <w:pPr>
              <w:pStyle w:val="Compact"/>
              <w:jc w:val="left"/>
            </w:pPr>
            <w:r>
              <w:t xml:space="preserve">PO administration of 500 mg erythromycin stearate; single dose</w:t>
            </w:r>
          </w:p>
        </w:tc>
      </w:tr>
      <w:tr>
        <w:tc>
          <w:tcPr/>
          <w:p>
            <w:pPr>
              <w:pStyle w:val="Compact"/>
              <w:jc w:val="left"/>
            </w:pPr>
            <w:hyperlink w:anchor="Xa559bd5247f9128e74e6edcc17de37648e8cde6">
              <w:r>
                <w:rPr>
                  <w:rStyle w:val="Hyperlink"/>
                </w:rPr>
                <w:t xml:space="preserve">Huppertz 2011</w:t>
              </w:r>
            </w:hyperlink>
          </w:p>
        </w:tc>
        <w:tc>
          <w:tcPr/>
          <w:p>
            <w:pPr>
              <w:pStyle w:val="Compact"/>
              <w:jc w:val="left"/>
            </w:pPr>
            <w:r>
              <w:t xml:space="preserve">IV administration of 1000 mg as erythromycin lactobionate; single dose</w:t>
            </w:r>
          </w:p>
        </w:tc>
      </w:tr>
      <w:tr>
        <w:tc>
          <w:tcPr/>
          <w:p>
            <w:pPr>
              <w:pStyle w:val="Compact"/>
              <w:jc w:val="left"/>
            </w:pPr>
            <w:hyperlink w:anchor="Xa559bd5247f9128e74e6edcc17de37648e8cde6">
              <w:r>
                <w:rPr>
                  <w:rStyle w:val="Hyperlink"/>
                </w:rPr>
                <w:t xml:space="preserve">Iliopoulou 1982</w:t>
              </w:r>
            </w:hyperlink>
          </w:p>
        </w:tc>
        <w:tc>
          <w:tcPr/>
          <w:p>
            <w:pPr>
              <w:pStyle w:val="Compact"/>
              <w:jc w:val="left"/>
            </w:pPr>
            <w:r>
              <w:t xml:space="preserve">PO administration of 500 mg as film-coated tablet containing erythromycin stearate; multiple dose</w:t>
            </w:r>
          </w:p>
        </w:tc>
      </w:tr>
      <w:tr>
        <w:tc>
          <w:tcPr/>
          <w:p>
            <w:pPr>
              <w:pStyle w:val="Compact"/>
              <w:jc w:val="left"/>
            </w:pPr>
            <w:hyperlink w:anchor="Xa559bd5247f9128e74e6edcc17de37648e8cde6">
              <w:r>
                <w:rPr>
                  <w:rStyle w:val="Hyperlink"/>
                </w:rPr>
                <w:t xml:space="preserve">Josefsson 1982</w:t>
              </w:r>
            </w:hyperlink>
          </w:p>
        </w:tc>
        <w:tc>
          <w:tcPr/>
          <w:p>
            <w:pPr>
              <w:pStyle w:val="Compact"/>
              <w:jc w:val="left"/>
            </w:pPr>
            <w:r>
              <w:t xml:space="preserve">PO administration of 500 mg as film-coated tablet containing erythromycin stearate and 250 mg, 500 mg, 1000 mg as enteric coated capsules containing pellets of erythromycin base; single dose</w:t>
            </w:r>
          </w:p>
        </w:tc>
      </w:tr>
      <w:tr>
        <w:tc>
          <w:tcPr/>
          <w:p>
            <w:pPr>
              <w:pStyle w:val="Compact"/>
              <w:jc w:val="left"/>
            </w:pPr>
            <w:hyperlink w:anchor="Xa559bd5247f9128e74e6edcc17de37648e8cde6">
              <w:r>
                <w:rPr>
                  <w:rStyle w:val="Hyperlink"/>
                </w:rPr>
                <w:t xml:space="preserve">Kavi 1988</w:t>
              </w:r>
            </w:hyperlink>
          </w:p>
        </w:tc>
        <w:tc>
          <w:tcPr/>
          <w:p>
            <w:pPr>
              <w:pStyle w:val="Compact"/>
              <w:jc w:val="left"/>
            </w:pPr>
            <w:r>
              <w:t xml:space="preserve">PO administration of 500 mg as film-coated tablet containing erythromycin stearate; single dose</w:t>
            </w:r>
          </w:p>
        </w:tc>
      </w:tr>
      <w:tr>
        <w:tc>
          <w:tcPr/>
          <w:p>
            <w:pPr>
              <w:pStyle w:val="Compact"/>
              <w:jc w:val="left"/>
            </w:pPr>
            <w:hyperlink w:anchor="Xa559bd5247f9128e74e6edcc17de37648e8cde6">
              <w:r>
                <w:rPr>
                  <w:rStyle w:val="Hyperlink"/>
                </w:rPr>
                <w:t xml:space="preserve">Kivistö 1997</w:t>
              </w:r>
            </w:hyperlink>
          </w:p>
        </w:tc>
        <w:tc>
          <w:tcPr/>
          <w:p>
            <w:pPr>
              <w:pStyle w:val="Compact"/>
              <w:jc w:val="left"/>
            </w:pPr>
            <w:r>
              <w:t xml:space="preserve">PO administration of 500 mg as enteric-coated capsules containing erythromycin base; multiple dose</w:t>
            </w:r>
          </w:p>
        </w:tc>
      </w:tr>
      <w:tr>
        <w:tc>
          <w:tcPr/>
          <w:p>
            <w:pPr>
              <w:pStyle w:val="Compact"/>
              <w:jc w:val="left"/>
            </w:pPr>
            <w:hyperlink w:anchor="Xa559bd5247f9128e74e6edcc17de37648e8cde6">
              <w:r>
                <w:rPr>
                  <w:rStyle w:val="Hyperlink"/>
                </w:rPr>
                <w:t xml:space="preserve">Kroboth 1982</w:t>
              </w:r>
            </w:hyperlink>
          </w:p>
        </w:tc>
        <w:tc>
          <w:tcPr/>
          <w:p>
            <w:pPr>
              <w:pStyle w:val="Compact"/>
              <w:jc w:val="left"/>
            </w:pPr>
            <w:r>
              <w:t xml:space="preserve">PO administration of 500 mg as enteric-coated tablets containing erythromycin base; single dose</w:t>
            </w:r>
          </w:p>
        </w:tc>
      </w:tr>
      <w:tr>
        <w:tc>
          <w:tcPr/>
          <w:p>
            <w:pPr>
              <w:pStyle w:val="Compact"/>
              <w:jc w:val="left"/>
            </w:pPr>
            <w:hyperlink w:anchor="Xa559bd5247f9128e74e6edcc17de37648e8cde6">
              <w:r>
                <w:rPr>
                  <w:rStyle w:val="Hyperlink"/>
                </w:rPr>
                <w:t xml:space="preserve">Malmborg 1978</w:t>
              </w:r>
            </w:hyperlink>
          </w:p>
        </w:tc>
        <w:tc>
          <w:tcPr/>
          <w:p>
            <w:pPr>
              <w:pStyle w:val="Compact"/>
              <w:jc w:val="left"/>
            </w:pPr>
            <w:r>
              <w:t xml:space="preserve">PO administration of 500 mg as film-coated tablet containing erythromycin stearate; multiple dose</w:t>
            </w:r>
          </w:p>
        </w:tc>
      </w:tr>
      <w:tr>
        <w:tc>
          <w:tcPr/>
          <w:p>
            <w:pPr>
              <w:pStyle w:val="Compact"/>
              <w:jc w:val="left"/>
            </w:pPr>
            <w:hyperlink w:anchor="Xa559bd5247f9128e74e6edcc17de37648e8cde6">
              <w:r>
                <w:rPr>
                  <w:rStyle w:val="Hyperlink"/>
                </w:rPr>
                <w:t xml:space="preserve">Miglioli 1990</w:t>
              </w:r>
            </w:hyperlink>
          </w:p>
        </w:tc>
        <w:tc>
          <w:tcPr/>
          <w:p>
            <w:pPr>
              <w:pStyle w:val="Compact"/>
              <w:jc w:val="left"/>
            </w:pPr>
            <w:r>
              <w:t xml:space="preserve">PO administration of 1000 mg erythromycin stearate; multiple dose</w:t>
            </w:r>
          </w:p>
        </w:tc>
      </w:tr>
      <w:tr>
        <w:tc>
          <w:tcPr/>
          <w:p>
            <w:pPr>
              <w:pStyle w:val="Compact"/>
              <w:jc w:val="left"/>
            </w:pPr>
            <w:hyperlink w:anchor="Xa559bd5247f9128e74e6edcc17de37648e8cde6">
              <w:r>
                <w:rPr>
                  <w:rStyle w:val="Hyperlink"/>
                </w:rPr>
                <w:t xml:space="preserve">Olkkola 1993</w:t>
              </w:r>
            </w:hyperlink>
          </w:p>
        </w:tc>
        <w:tc>
          <w:tcPr/>
          <w:p>
            <w:pPr>
              <w:pStyle w:val="Compact"/>
              <w:jc w:val="left"/>
            </w:pPr>
            <w:r>
              <w:t xml:space="preserve">Midazolam-erythromycin interaction study; PO administration of 500 mg as enteric-coated tablet containing erythromycin base; multiple dose</w:t>
            </w:r>
          </w:p>
        </w:tc>
      </w:tr>
      <w:tr>
        <w:tc>
          <w:tcPr/>
          <w:p>
            <w:pPr>
              <w:pStyle w:val="Compact"/>
              <w:jc w:val="left"/>
            </w:pPr>
            <w:hyperlink w:anchor="Xa559bd5247f9128e74e6edcc17de37648e8cde6">
              <w:r>
                <w:rPr>
                  <w:rStyle w:val="Hyperlink"/>
                </w:rPr>
                <w:t xml:space="preserve">Parsons 1977</w:t>
              </w:r>
            </w:hyperlink>
          </w:p>
        </w:tc>
        <w:tc>
          <w:tcPr/>
          <w:p>
            <w:pPr>
              <w:pStyle w:val="Compact"/>
              <w:jc w:val="left"/>
            </w:pPr>
            <w:r>
              <w:t xml:space="preserve">PO administration of 500 mg erythromycin stearate; single dose</w:t>
            </w:r>
          </w:p>
        </w:tc>
      </w:tr>
      <w:tr>
        <w:tc>
          <w:tcPr/>
          <w:p>
            <w:pPr>
              <w:pStyle w:val="Compact"/>
              <w:jc w:val="left"/>
            </w:pPr>
            <w:hyperlink w:anchor="Xa559bd5247f9128e74e6edcc17de37648e8cde6">
              <w:r>
                <w:rPr>
                  <w:rStyle w:val="Hyperlink"/>
                </w:rPr>
                <w:t xml:space="preserve">Pasic 1987</w:t>
              </w:r>
            </w:hyperlink>
          </w:p>
        </w:tc>
        <w:tc>
          <w:tcPr/>
          <w:p>
            <w:pPr>
              <w:pStyle w:val="Compact"/>
              <w:jc w:val="left"/>
            </w:pPr>
            <w:r>
              <w:t xml:space="preserve">IV administration of 300 mg as erythromycin lactobionate; single dose</w:t>
            </w:r>
          </w:p>
        </w:tc>
      </w:tr>
      <w:tr>
        <w:tc>
          <w:tcPr/>
          <w:p>
            <w:pPr>
              <w:pStyle w:val="Compact"/>
              <w:jc w:val="left"/>
            </w:pPr>
            <w:hyperlink w:anchor="Xa559bd5247f9128e74e6edcc17de37648e8cde6">
              <w:r>
                <w:rPr>
                  <w:rStyle w:val="Hyperlink"/>
                </w:rPr>
                <w:t xml:space="preserve">Posti 1983</w:t>
              </w:r>
            </w:hyperlink>
          </w:p>
        </w:tc>
        <w:tc>
          <w:tcPr/>
          <w:p>
            <w:pPr>
              <w:pStyle w:val="Compact"/>
              <w:jc w:val="left"/>
            </w:pPr>
            <w:r>
              <w:t xml:space="preserve">PO administration of 500 mg as film-coated tablets containing erythromycin stearate, as enteric-coated tablets containing erythromycin base, and as enteric-coated tablets containing erythromycin stearate; single dose</w:t>
            </w:r>
          </w:p>
        </w:tc>
      </w:tr>
      <w:tr>
        <w:tc>
          <w:tcPr/>
          <w:p>
            <w:pPr>
              <w:pStyle w:val="Compact"/>
              <w:jc w:val="left"/>
            </w:pPr>
            <w:hyperlink w:anchor="Xa559bd5247f9128e74e6edcc17de37648e8cde6">
              <w:r>
                <w:rPr>
                  <w:rStyle w:val="Hyperlink"/>
                </w:rPr>
                <w:t xml:space="preserve">Schreiner 1984</w:t>
              </w:r>
            </w:hyperlink>
          </w:p>
        </w:tc>
        <w:tc>
          <w:tcPr/>
          <w:p>
            <w:pPr>
              <w:pStyle w:val="Compact"/>
              <w:jc w:val="left"/>
            </w:pPr>
            <w:r>
              <w:t xml:space="preserve">PO administration of 500 mg as film-coated tablets containing erythromycin stearate and as enteric-coated capsule containing pellets of erythromycin base; single dose</w:t>
            </w:r>
          </w:p>
        </w:tc>
      </w:tr>
      <w:tr>
        <w:tc>
          <w:tcPr/>
          <w:p>
            <w:pPr>
              <w:pStyle w:val="Compact"/>
              <w:jc w:val="left"/>
            </w:pPr>
            <w:hyperlink w:anchor="Xa559bd5247f9128e74e6edcc17de37648e8cde6">
              <w:r>
                <w:rPr>
                  <w:rStyle w:val="Hyperlink"/>
                </w:rPr>
                <w:t xml:space="preserve">Shanson 1984</w:t>
              </w:r>
            </w:hyperlink>
          </w:p>
        </w:tc>
        <w:tc>
          <w:tcPr/>
          <w:p>
            <w:pPr>
              <w:pStyle w:val="Compact"/>
              <w:jc w:val="left"/>
            </w:pPr>
            <w:r>
              <w:t xml:space="preserve">PO administration of 1500 mg erythromycin stearate; single dose</w:t>
            </w:r>
          </w:p>
        </w:tc>
      </w:tr>
      <w:tr>
        <w:tc>
          <w:tcPr/>
          <w:p>
            <w:pPr>
              <w:pStyle w:val="Compact"/>
              <w:jc w:val="left"/>
            </w:pPr>
            <w:hyperlink w:anchor="Xa559bd5247f9128e74e6edcc17de37648e8cde6">
              <w:r>
                <w:rPr>
                  <w:rStyle w:val="Hyperlink"/>
                </w:rPr>
                <w:t xml:space="preserve">Simon 1980</w:t>
              </w:r>
            </w:hyperlink>
          </w:p>
        </w:tc>
        <w:tc>
          <w:tcPr/>
          <w:p>
            <w:pPr>
              <w:pStyle w:val="Compact"/>
              <w:jc w:val="left"/>
            </w:pPr>
            <w:r>
              <w:t xml:space="preserve">IV administration of 500 mg erythromycin lactobionate and PO administration of 500 mg erythromycin stearate; single dose</w:t>
            </w:r>
          </w:p>
        </w:tc>
      </w:tr>
      <w:tr>
        <w:tc>
          <w:tcPr/>
          <w:p>
            <w:pPr>
              <w:pStyle w:val="Compact"/>
              <w:jc w:val="left"/>
            </w:pPr>
            <w:hyperlink w:anchor="Xa559bd5247f9128e74e6edcc17de37648e8cde6">
              <w:r>
                <w:rPr>
                  <w:rStyle w:val="Hyperlink"/>
                </w:rPr>
                <w:t xml:space="preserve">Sun 2010</w:t>
              </w:r>
            </w:hyperlink>
          </w:p>
        </w:tc>
        <w:tc>
          <w:tcPr/>
          <w:p>
            <w:pPr>
              <w:pStyle w:val="Compact"/>
              <w:jc w:val="left"/>
            </w:pPr>
            <w:r>
              <w:t xml:space="preserve">IV administration of 125 mg and PO administration of 250 mg (salt and formulation type not specified); single dose</w:t>
            </w:r>
          </w:p>
        </w:tc>
      </w:tr>
      <w:tr>
        <w:tc>
          <w:tcPr/>
          <w:p>
            <w:pPr>
              <w:pStyle w:val="Compact"/>
              <w:jc w:val="left"/>
            </w:pPr>
            <w:hyperlink w:anchor="Xa559bd5247f9128e74e6edcc17de37648e8cde6">
              <w:r>
                <w:rPr>
                  <w:rStyle w:val="Hyperlink"/>
                </w:rPr>
                <w:t xml:space="preserve">Yakatan 1979</w:t>
              </w:r>
            </w:hyperlink>
          </w:p>
        </w:tc>
        <w:tc>
          <w:tcPr/>
          <w:p>
            <w:pPr>
              <w:pStyle w:val="Compact"/>
              <w:jc w:val="left"/>
            </w:pPr>
            <w:r>
              <w:t xml:space="preserve">PO administration of 250 mg as film-coated tablet containing erythromycin stearate; single dose</w:t>
            </w:r>
          </w:p>
        </w:tc>
      </w:tr>
      <w:tr>
        <w:tc>
          <w:tcPr/>
          <w:p>
            <w:pPr>
              <w:pStyle w:val="Compact"/>
              <w:jc w:val="left"/>
            </w:pPr>
            <w:hyperlink w:anchor="Xa559bd5247f9128e74e6edcc17de37648e8cde6">
              <w:r>
                <w:rPr>
                  <w:rStyle w:val="Hyperlink"/>
                </w:rPr>
                <w:t xml:space="preserve">Yakatan 1980</w:t>
              </w:r>
            </w:hyperlink>
          </w:p>
        </w:tc>
        <w:tc>
          <w:tcPr/>
          <w:p>
            <w:pPr>
              <w:pStyle w:val="Compact"/>
              <w:jc w:val="left"/>
            </w:pPr>
            <w:r>
              <w:t xml:space="preserve">PO administration of 250 mg as film-coated tablet containing erythromycin stearate and as enteric-coated tablet containing erythromycin base; single and multiple dose</w:t>
            </w:r>
          </w:p>
        </w:tc>
      </w:tr>
    </w:tbl>
    <w:bookmarkEnd w:id="24"/>
    <w:bookmarkEnd w:id="25"/>
    <w:bookmarkStart w:id="36" w:name="model-parameters-and-assumptions"/>
    <w:p>
      <w:pPr>
        <w:pStyle w:val="Heading2"/>
      </w:pPr>
      <w:r>
        <w:t xml:space="preserve">Model Parameters and Assumptions</w:t>
      </w:r>
      <w:bookmarkStart w:id="model-parameters-and-assumptions" w:name="model-parameters-and-assumptions"/>
      <w:bookmarkEnd w:id="model-parameters-and-assumptions"/>
    </w:p>
    <w:bookmarkStart w:id="29" w:name="dissolution-and-absorption"/>
    <w:p>
      <w:pPr>
        <w:pStyle w:val="Heading3"/>
      </w:pPr>
      <w:r>
        <w:t xml:space="preserve">2.3.1 Dissolution and absorption</w:t>
      </w:r>
    </w:p>
    <w:p>
      <w:pPr>
        <w:pStyle w:val="FirstParagraph"/>
      </w:pPr>
      <w:r>
        <w:t xml:space="preserve">Development of an adequate absorption model for erythromycin was complicated by the large intersubject variability in the absorption kinetics of erythromycin (</w:t>
      </w:r>
      <w:hyperlink w:anchor="Xa559bd5247f9128e74e6edcc17de37648e8cde6">
        <w:r>
          <w:rPr>
            <w:rStyle w:val="Hyperlink"/>
          </w:rPr>
          <w:t xml:space="preserve">Chun 1977</w:t>
        </w:r>
      </w:hyperlink>
      <w:r>
        <w:t xml:space="preserve">,</w:t>
      </w:r>
      <w:r>
        <w:t xml:space="preserve"> </w:t>
      </w:r>
      <w:hyperlink w:anchor="Xa559bd5247f9128e74e6edcc17de37648e8cde6">
        <w:r>
          <w:rPr>
            <w:rStyle w:val="Hyperlink"/>
          </w:rPr>
          <w:t xml:space="preserve">Mather 1981</w:t>
        </w:r>
      </w:hyperlink>
      <w:r>
        <w:t xml:space="preserve">). Additionally, multiple formulation types are available entailing different dissolution and absorption kinetics (</w:t>
      </w:r>
      <w:hyperlink w:anchor="Xa559bd5247f9128e74e6edcc17de37648e8cde6">
        <w:r>
          <w:rPr>
            <w:rStyle w:val="Hyperlink"/>
          </w:rPr>
          <w:t xml:space="preserve">Chun 1977</w:t>
        </w:r>
      </w:hyperlink>
      <w:r>
        <w:t xml:space="preserve">,</w:t>
      </w:r>
      <w:r>
        <w:t xml:space="preserve"> </w:t>
      </w:r>
      <w:hyperlink w:anchor="Xa559bd5247f9128e74e6edcc17de37648e8cde6">
        <w:r>
          <w:rPr>
            <w:rStyle w:val="Hyperlink"/>
          </w:rPr>
          <w:t xml:space="preserve">Yakatan 1980</w:t>
        </w:r>
      </w:hyperlink>
      <w:r>
        <w:t xml:space="preserve">,</w:t>
      </w:r>
      <w:r>
        <w:t xml:space="preserve"> </w:t>
      </w:r>
      <w:hyperlink w:anchor="Xa559bd5247f9128e74e6edcc17de37648e8cde6">
        <w:r>
          <w:rPr>
            <w:rStyle w:val="Hyperlink"/>
          </w:rPr>
          <w:t xml:space="preserve">Mather 1981</w:t>
        </w:r>
      </w:hyperlink>
      <w:r>
        <w:t xml:space="preserve">). The herein presented model was developed for the following oral dosage forms:</w:t>
      </w:r>
    </w:p>
    <w:p>
      <w:pPr>
        <w:numPr>
          <w:ilvl w:val="0"/>
          <w:numId w:val="1004"/>
        </w:numPr>
        <w:pStyle w:val="Compact"/>
      </w:pPr>
      <w:r>
        <w:t xml:space="preserve">film-coated tablets containing erythromycin stearate</w:t>
      </w:r>
    </w:p>
    <w:p>
      <w:pPr>
        <w:numPr>
          <w:ilvl w:val="0"/>
          <w:numId w:val="1004"/>
        </w:numPr>
        <w:pStyle w:val="Compact"/>
      </w:pPr>
      <w:r>
        <w:t xml:space="preserve">enteric-coated tablets containing erythromycin as free base</w:t>
      </w:r>
    </w:p>
    <w:p>
      <w:pPr>
        <w:numPr>
          <w:ilvl w:val="0"/>
          <w:numId w:val="1004"/>
        </w:numPr>
        <w:pStyle w:val="Compact"/>
      </w:pPr>
      <w:r>
        <w:t xml:space="preserve">enteric-coated capsules containing pellets of erythromycin as free base</w:t>
      </w:r>
    </w:p>
    <w:p>
      <w:pPr>
        <w:pStyle w:val="FirstParagraph"/>
      </w:pPr>
      <w:r>
        <w:t xml:space="preserve">The following sections briefly address how each of these formulations was modeled in presented PBPK models.</w:t>
      </w:r>
    </w:p>
    <w:bookmarkStart w:id="26" w:name="X535c1fa7aadb54d272e2386aa52d60fbbfb1b06"/>
    <w:p>
      <w:pPr>
        <w:pStyle w:val="Heading4"/>
      </w:pPr>
      <w:r>
        <w:t xml:space="preserve">2.3.1.1 Film-coated tablet containing erythromycin stearate</w:t>
      </w:r>
    </w:p>
    <w:p>
      <w:pPr>
        <w:pStyle w:val="FirstParagraph"/>
      </w:pPr>
      <w:r>
        <w:t xml:space="preserve">Comparison of the reported erythromycin PK following administration of different doses of film-coated tablets containing the stearate salt indicated that the lowest dose (250 mg) yields a larger t</w:t>
      </w:r>
      <w:r>
        <w:rPr>
          <w:vertAlign w:val="subscript"/>
        </w:rPr>
        <w:t xml:space="preserve">max</w:t>
      </w:r>
      <w:r>
        <w:t xml:space="preserve"> </w:t>
      </w:r>
      <w:r>
        <w:t xml:space="preserve">than the higher doses (500, 1000 and 1500 mg). Different dissolution kinetics were therefore used for this formulation type; relatively slow dissolution kinetics was used for the 250 mg dose, whereas dissolution of the higher doses (500, 1000 and 1500 mg) was described by immediate-release kinetics. Both types of dissolution kinetics were described by the Weibull function. The parameters</w:t>
      </w:r>
      <w:r>
        <w:t xml:space="preserve"> </w:t>
      </w:r>
      <w:r>
        <w:rPr>
          <w:rStyle w:val="VerbatimChar"/>
        </w:rPr>
        <w:t xml:space="preserve">Dissolution shape</w:t>
      </w:r>
      <w:r>
        <w:t xml:space="preserve"> </w:t>
      </w:r>
      <w:r>
        <w:t xml:space="preserve">and</w:t>
      </w:r>
      <w:r>
        <w:t xml:space="preserve"> </w:t>
      </w:r>
      <w:r>
        <w:rPr>
          <w:rStyle w:val="VerbatimChar"/>
        </w:rPr>
        <w:t xml:space="preserve">Dissolution time (50% dissolved)</w:t>
      </w:r>
      <w:r>
        <w:t xml:space="preserve"> </w:t>
      </w:r>
      <w:r>
        <w:t xml:space="preserve">were optimized to optimally describe the clinical data. Additionally, solubility was also optimized as it was found during model building that solubility-limited absorption of the high doses captured the observed PK profiles better.</w:t>
      </w:r>
    </w:p>
    <w:bookmarkEnd w:id="26"/>
    <w:bookmarkStart w:id="27" w:name="Xeebcc08e9cd8907ef704df828fef6f751337c41"/>
    <w:p>
      <w:pPr>
        <w:pStyle w:val="Heading4"/>
      </w:pPr>
      <w:r>
        <w:t xml:space="preserve">2.3.1.2 Enteric-coated tablet containing erythromycin as free base</w:t>
      </w:r>
    </w:p>
    <w:p>
      <w:pPr>
        <w:pStyle w:val="FirstParagraph"/>
      </w:pPr>
      <w:r>
        <w:t xml:space="preserve">Relatively few PK data were available for enteric-coated tablets containing erythromycin as free base. For this formulation type, PK profiles were only available for the 250 mg and 500 mg dose. For these two doses, dissolution was described by the Weibull function. To account for the enteric coating (protecting the tablet from dissolving in the stomach), a</w:t>
      </w:r>
      <w:r>
        <w:t xml:space="preserve"> </w:t>
      </w:r>
      <w:r>
        <w:rPr>
          <w:rStyle w:val="VerbatimChar"/>
        </w:rPr>
        <w:t xml:space="preserve">lag time</w:t>
      </w:r>
      <w:r>
        <w:t xml:space="preserve"> </w:t>
      </w:r>
      <w:r>
        <w:t xml:space="preserve">&gt; 0 min was applied in the model. To optimally describe the clinical data, relevant parameters of the Weibull function were optimized, namely the</w:t>
      </w:r>
      <w:r>
        <w:t xml:space="preserve"> </w:t>
      </w:r>
      <w:r>
        <w:rPr>
          <w:rStyle w:val="VerbatimChar"/>
        </w:rPr>
        <w:t xml:space="preserve">Dissolution shape</w:t>
      </w:r>
      <w:r>
        <w:t xml:space="preserve">,</w:t>
      </w:r>
      <w:r>
        <w:t xml:space="preserve"> </w:t>
      </w:r>
      <w:r>
        <w:rPr>
          <w:rStyle w:val="VerbatimChar"/>
        </w:rPr>
        <w:t xml:space="preserve">Dissolution time (50% dissolved)</w:t>
      </w:r>
      <w:r>
        <w:t xml:space="preserve"> </w:t>
      </w:r>
      <w:r>
        <w:t xml:space="preserve">and</w:t>
      </w:r>
      <w:r>
        <w:t xml:space="preserve"> </w:t>
      </w:r>
      <w:r>
        <w:rPr>
          <w:rStyle w:val="VerbatimChar"/>
        </w:rPr>
        <w:t xml:space="preserve">lag time</w:t>
      </w:r>
      <w:r>
        <w:t xml:space="preserve">. Similar to the film-coated tablet containing the stearate salt, it was found that the observed PK profiles of the enteric-coated tablet containing erythromycin as free base could be better described when optimizing solubility.</w:t>
      </w:r>
    </w:p>
    <w:bookmarkEnd w:id="27"/>
    <w:bookmarkStart w:id="28" w:name="X581219c05edd71c7009f7a17c94fbe79d6cd475"/>
    <w:p>
      <w:pPr>
        <w:pStyle w:val="Heading4"/>
      </w:pPr>
      <w:r>
        <w:t xml:space="preserve">2.3.1.3 Enteric-coated capsule containing pellets of erythromycin as free base</w:t>
      </w:r>
    </w:p>
    <w:p>
      <w:pPr>
        <w:pStyle w:val="FirstParagraph"/>
      </w:pPr>
      <w:r>
        <w:t xml:space="preserve">Comparison of the reported erythromycin PK following administration of different doses of enteric-coated capsules containing pellets of erythromycin base showed large variability in C</w:t>
      </w:r>
      <w:r>
        <w:rPr>
          <w:vertAlign w:val="subscript"/>
        </w:rPr>
        <w:t xml:space="preserve">max</w:t>
      </w:r>
      <w:r>
        <w:t xml:space="preserve"> </w:t>
      </w:r>
      <w:r>
        <w:t xml:space="preserve">and t</w:t>
      </w:r>
      <w:r>
        <w:rPr>
          <w:vertAlign w:val="subscript"/>
        </w:rPr>
        <w:t xml:space="preserve">max</w:t>
      </w:r>
      <w:r>
        <w:t xml:space="preserve"> </w:t>
      </w:r>
      <w:r>
        <w:t xml:space="preserve">both within and between different doses (dose range: 250 mg - 1000 mg). Here, dissolution kinetics was also described by the Weibull function with relevant parameters (</w:t>
      </w:r>
      <w:r>
        <w:rPr>
          <w:rStyle w:val="VerbatimChar"/>
        </w:rPr>
        <w:t xml:space="preserve">Dissolution shape</w:t>
      </w:r>
      <w:r>
        <w:t xml:space="preserve">,</w:t>
      </w:r>
      <w:r>
        <w:t xml:space="preserve"> </w:t>
      </w:r>
      <w:r>
        <w:rPr>
          <w:rStyle w:val="VerbatimChar"/>
        </w:rPr>
        <w:t xml:space="preserve">Dissolution time (50% dissolved)</w:t>
      </w:r>
      <w:r>
        <w:t xml:space="preserve"> </w:t>
      </w:r>
      <w:r>
        <w:t xml:space="preserve">and</w:t>
      </w:r>
      <w:r>
        <w:t xml:space="preserve"> </w:t>
      </w:r>
      <w:r>
        <w:rPr>
          <w:rStyle w:val="VerbatimChar"/>
        </w:rPr>
        <w:t xml:space="preserve">lag time</w:t>
      </w:r>
      <w:r>
        <w:t xml:space="preserve">) being optimized to better describe clinical data. However, optimizing solubility did not result in a better description of the observed PK profiles. Consequently, solubility of erythromycin in this formulation type was fixed to a high value (500 mg/L) to avoid any solubility-related limitations in dissolution and absorption.</w:t>
      </w:r>
    </w:p>
    <w:p>
      <w:pPr>
        <w:pStyle w:val="BodyText"/>
      </w:pPr>
      <w:r>
        <w:t xml:space="preserve">For all three formulations, the same</w:t>
      </w:r>
      <w:r>
        <w:t xml:space="preserve"> </w:t>
      </w:r>
      <w:r>
        <w:rPr>
          <w:rStyle w:val="VerbatimChar"/>
        </w:rPr>
        <w:t xml:space="preserve">Specific intestinal permeability (transcellular)</w:t>
      </w:r>
      <w:r>
        <w:t xml:space="preserve"> </w:t>
      </w:r>
      <w:r>
        <w:t xml:space="preserve">was used in the PBPK model. This parameter was also optimized to better describe the clinical PK data.</w:t>
      </w:r>
    </w:p>
    <w:bookmarkEnd w:id="28"/>
    <w:bookmarkEnd w:id="29"/>
    <w:bookmarkStart w:id="30" w:name="distribution"/>
    <w:p>
      <w:pPr>
        <w:pStyle w:val="Heading3"/>
      </w:pPr>
      <w:r>
        <w:t xml:space="preserve">2.3.2 Distribution</w:t>
      </w:r>
    </w:p>
    <w:p>
      <w:pPr>
        <w:pStyle w:val="FirstParagraph"/>
      </w:pPr>
      <w:r>
        <w:t xml:space="preserve">With an average fraction unbound in human plasma of approximately 0.30, erythromycin is moderately protein-bound. In the developed model, the</w:t>
      </w:r>
      <w:r>
        <w:t xml:space="preserve"> </w:t>
      </w:r>
      <w:r>
        <w:rPr>
          <w:rStyle w:val="VerbatimChar"/>
        </w:rPr>
        <w:t xml:space="preserve">fraction unbound (plasma, reference value)</w:t>
      </w:r>
      <w:r>
        <w:t xml:space="preserve"> </w:t>
      </w:r>
      <w:r>
        <w:t xml:space="preserve">was set to 0.305 which is the value reported by Barre et al. (</w:t>
      </w:r>
      <w:hyperlink w:anchor="Xa559bd5247f9128e74e6edcc17de37648e8cde6">
        <w:r>
          <w:rPr>
            <w:rStyle w:val="Hyperlink"/>
          </w:rPr>
          <w:t xml:space="preserve">Barre 1987</w:t>
        </w:r>
      </w:hyperlink>
      <w:r>
        <w:t xml:space="preserve">).</w:t>
      </w:r>
      <w:r>
        <w:t xml:space="preserve"> </w:t>
      </w:r>
      <w:r>
        <w:rPr>
          <w:rStyle w:val="VerbatimChar"/>
        </w:rPr>
        <w:t xml:space="preserve">Lipophilicity</w:t>
      </w:r>
      <w:r>
        <w:t xml:space="preserve"> </w:t>
      </w:r>
      <w:r>
        <w:t xml:space="preserve">was fixed to a value of 2.82 which is the average of three experimentally measured values reported in the literature (</w:t>
      </w:r>
      <w:hyperlink w:anchor="Xa559bd5247f9128e74e6edcc17de37648e8cde6">
        <w:r>
          <w:rPr>
            <w:rStyle w:val="Hyperlink"/>
          </w:rPr>
          <w:t xml:space="preserve">Lien 1974</w:t>
        </w:r>
      </w:hyperlink>
      <w:r>
        <w:t xml:space="preserve">,</w:t>
      </w:r>
      <w:r>
        <w:t xml:space="preserve"> </w:t>
      </w:r>
      <w:hyperlink w:anchor="Xa559bd5247f9128e74e6edcc17de37648e8cde6">
        <w:r>
          <w:rPr>
            <w:rStyle w:val="Hyperlink"/>
          </w:rPr>
          <w:t xml:space="preserve">Capobianco 1994</w:t>
        </w:r>
      </w:hyperlink>
      <w:r>
        <w:t xml:space="preserve">,</w:t>
      </w:r>
      <w:r>
        <w:t xml:space="preserve"> </w:t>
      </w:r>
      <w:hyperlink w:anchor="Xa559bd5247f9128e74e6edcc17de37648e8cde6">
        <w:r>
          <w:rPr>
            <w:rStyle w:val="Hyperlink"/>
          </w:rPr>
          <w:t xml:space="preserve">McFarland 1997</w:t>
        </w:r>
      </w:hyperlink>
      <w:r>
        <w:t xml:space="preserve">). The observed PK data were found to be best described using the model for estimating intracellular-to-plasma partition coefficients according to the method by</w:t>
      </w:r>
      <w:r>
        <w:t xml:space="preserve"> </w:t>
      </w:r>
      <w:r>
        <w:rPr>
          <w:rStyle w:val="VerbatimChar"/>
        </w:rPr>
        <w:t xml:space="preserve">Rodgers and Rowland</w:t>
      </w:r>
      <w:r>
        <w:t xml:space="preserve"> </w:t>
      </w:r>
      <w:r>
        <w:t xml:space="preserve">(</w:t>
      </w:r>
      <w:hyperlink w:anchor="Xa559bd5247f9128e74e6edcc17de37648e8cde6">
        <w:r>
          <w:rPr>
            <w:rStyle w:val="Hyperlink"/>
          </w:rPr>
          <w:t xml:space="preserve">Rodgers 2005</w:t>
        </w:r>
      </w:hyperlink>
      <w:r>
        <w:t xml:space="preserve">,</w:t>
      </w:r>
      <w:r>
        <w:t xml:space="preserve"> </w:t>
      </w:r>
      <w:hyperlink w:anchor="Xa559bd5247f9128e74e6edcc17de37648e8cde6">
        <w:r>
          <w:rPr>
            <w:rStyle w:val="Hyperlink"/>
          </w:rPr>
          <w:t xml:space="preserve">Rodgers 2006</w:t>
        </w:r>
      </w:hyperlink>
      <w:r>
        <w:t xml:space="preserve">). Cellular permeabilities were automatically calculated using the method</w:t>
      </w:r>
      <w:r>
        <w:t xml:space="preserve"> </w:t>
      </w:r>
      <w:r>
        <w:rPr>
          <w:rStyle w:val="VerbatimChar"/>
        </w:rPr>
        <w:t xml:space="preserve">Charge dependent Schmitt</w:t>
      </w:r>
      <w:r>
        <w:t xml:space="preserve"> </w:t>
      </w:r>
      <w:r>
        <w:t xml:space="preserve">(</w:t>
      </w:r>
      <w:hyperlink w:anchor="Xa559bd5247f9128e74e6edcc17de37648e8cde6">
        <w:r>
          <w:rPr>
            <w:rStyle w:val="Hyperlink"/>
          </w:rPr>
          <w:t xml:space="preserve">Open Systems Pharmacology Documentation</w:t>
        </w:r>
      </w:hyperlink>
      <w:r>
        <w:t xml:space="preserve">). Active transfer of erythromycin by OATP1B1 was modeled as Michaelis-Menten kinetics using an</w:t>
      </w:r>
      <w:r>
        <w:t xml:space="preserve"> </w:t>
      </w:r>
      <w:r>
        <w:rPr>
          <w:rStyle w:val="VerbatimChar"/>
        </w:rPr>
        <w:t xml:space="preserve">Influx</w:t>
      </w:r>
      <w:r>
        <w:t xml:space="preserve"> </w:t>
      </w:r>
      <w:r>
        <w:t xml:space="preserve">transporter type; the</w:t>
      </w:r>
      <w:r>
        <w:t xml:space="preserve"> </w:t>
      </w:r>
      <w:r>
        <w:rPr>
          <w:rStyle w:val="VerbatimChar"/>
        </w:rPr>
        <w:t xml:space="preserve">Km</w:t>
      </w:r>
      <w:r>
        <w:t xml:space="preserve"> </w:t>
      </w:r>
      <w:r>
        <w:t xml:space="preserve">value of 13.2 µM was taken from the literature (</w:t>
      </w:r>
      <w:hyperlink w:anchor="Xa559bd5247f9128e74e6edcc17de37648e8cde6">
        <w:r>
          <w:rPr>
            <w:rStyle w:val="Hyperlink"/>
          </w:rPr>
          <w:t xml:space="preserve">Lancaster 2012</w:t>
        </w:r>
      </w:hyperlink>
      <w:r>
        <w:t xml:space="preserve">) and</w:t>
      </w:r>
      <w:r>
        <w:t xml:space="preserve"> </w:t>
      </w:r>
      <w:r>
        <w:rPr>
          <w:rStyle w:val="VerbatimChar"/>
        </w:rPr>
        <w:t xml:space="preserve">kcat</w:t>
      </w:r>
      <w:r>
        <w:t xml:space="preserve"> </w:t>
      </w:r>
      <w:r>
        <w:t xml:space="preserve">was optimized to best match observed clinical data. The gene expression profile of OATP1B1 (default symbol for the gene: LST-3TM12) was loaded from the internal PK-Sim® database using the expression data quantified by RT-PCR (</w:t>
      </w:r>
      <w:hyperlink w:anchor="Xa559bd5247f9128e74e6edcc17de37648e8cde6">
        <w:r>
          <w:rPr>
            <w:rStyle w:val="Hyperlink"/>
          </w:rPr>
          <w:t xml:space="preserve">Open Systems Pharmacology Documentation</w:t>
        </w:r>
      </w:hyperlink>
      <w:r>
        <w:t xml:space="preserve">).</w:t>
      </w:r>
    </w:p>
    <w:bookmarkEnd w:id="30"/>
    <w:bookmarkStart w:id="31" w:name="elimination"/>
    <w:p>
      <w:pPr>
        <w:pStyle w:val="Heading3"/>
      </w:pPr>
      <w:r>
        <w:t xml:space="preserve">2.3.3 Elimination</w:t>
      </w:r>
    </w:p>
    <w:p>
      <w:pPr>
        <w:pStyle w:val="FirstParagraph"/>
      </w:pPr>
      <w:r>
        <w:t xml:space="preserve">Erythromycin is extensively metabolized via N-demethylation catalyzed by CYP3A. Kinetics of this biotransformation was described by a Michaelis-Menten process. The following kinetic parameters erythromycin N-demethylation have been measured in human liver microsomes (HLM) and reported in the literature (mean ± standard error):</w:t>
      </w:r>
    </w:p>
    <w:tbl>
      <w:tblPr>
        <w:tblStyle w:val="Table"/>
        <w:tblW w:type="pct" w:w="5000"/>
        <w:tblLook w:firstRow="1" w:lastRow="0" w:firstColumn="0" w:lastColumn="0" w:noHBand="0" w:noVBand="0" w:val="0020"/>
        <w:jc w:val="start"/>
      </w:tblPr>
      <w:tblGrid>
        <w:gridCol w:w="2554"/>
        <w:gridCol w:w="596"/>
        <w:gridCol w:w="2384"/>
        <w:gridCol w:w="2384"/>
      </w:tblGrid>
      <w:tr>
        <w:trPr>
          <w:tblHeader w:val="true"/>
        </w:trPr>
        <w:tc>
          <w:tcPr/>
          <w:p>
            <w:pPr>
              <w:pStyle w:val="Compact"/>
              <w:jc w:val="left"/>
            </w:pPr>
            <w:r>
              <w:t xml:space="preserve">Vmax [nmol/min/mg mic protein]</w:t>
            </w:r>
          </w:p>
        </w:tc>
        <w:tc>
          <w:tcPr/>
          <w:p>
            <w:pPr>
              <w:pStyle w:val="Compact"/>
              <w:jc w:val="left"/>
            </w:pPr>
            <w:r>
              <w:t xml:space="preserve">Km [µM]</w:t>
            </w:r>
          </w:p>
        </w:tc>
        <w:tc>
          <w:tcPr/>
          <w:p>
            <w:pPr>
              <w:pStyle w:val="Compact"/>
              <w:jc w:val="left"/>
            </w:pPr>
            <w:r>
              <w:t xml:space="preserve">Microsomal preparation</w:t>
            </w:r>
          </w:p>
        </w:tc>
        <w:tc>
          <w:tcPr/>
          <w:p>
            <w:pPr>
              <w:pStyle w:val="Compact"/>
              <w:jc w:val="left"/>
            </w:pPr>
            <w:r>
              <w:t xml:space="preserve">Reference</w:t>
            </w:r>
          </w:p>
        </w:tc>
      </w:tr>
      <w:tr>
        <w:tc>
          <w:tcPr/>
          <w:p>
            <w:pPr>
              <w:pStyle w:val="Compact"/>
              <w:jc w:val="left"/>
            </w:pPr>
            <w:r>
              <w:t xml:space="preserve">2 ± 0.09</w:t>
            </w:r>
          </w:p>
        </w:tc>
        <w:tc>
          <w:tcPr/>
          <w:p>
            <w:pPr>
              <w:pStyle w:val="Compact"/>
              <w:jc w:val="left"/>
            </w:pPr>
            <w:r>
              <w:t xml:space="preserve">78 ± 9</w:t>
            </w:r>
          </w:p>
        </w:tc>
        <w:tc>
          <w:tcPr/>
          <w:p>
            <w:pPr>
              <w:pStyle w:val="Compact"/>
              <w:jc w:val="left"/>
            </w:pPr>
            <w:r>
              <w:t xml:space="preserve">HLM from donor HL 3926</w:t>
            </w:r>
          </w:p>
        </w:tc>
        <w:tc>
          <w:tcPr/>
          <w:p>
            <w:pPr>
              <w:pStyle w:val="Compact"/>
              <w:jc w:val="left"/>
            </w:pPr>
            <w:hyperlink w:anchor="Xa559bd5247f9128e74e6edcc17de37648e8cde6">
              <w:r>
                <w:rPr>
                  <w:rStyle w:val="Hyperlink"/>
                </w:rPr>
                <w:t xml:space="preserve">Wang 1997</w:t>
              </w:r>
            </w:hyperlink>
          </w:p>
        </w:tc>
      </w:tr>
      <w:tr>
        <w:tc>
          <w:tcPr/>
          <w:p>
            <w:pPr>
              <w:pStyle w:val="Compact"/>
              <w:jc w:val="left"/>
            </w:pPr>
            <w:r>
              <w:t xml:space="preserve">0.41 ± 0.02</w:t>
            </w:r>
          </w:p>
        </w:tc>
        <w:tc>
          <w:tcPr/>
          <w:p>
            <w:pPr>
              <w:pStyle w:val="Compact"/>
              <w:jc w:val="left"/>
            </w:pPr>
            <w:r>
              <w:t xml:space="preserve">44 ± 7</w:t>
            </w:r>
          </w:p>
        </w:tc>
        <w:tc>
          <w:tcPr/>
          <w:p>
            <w:pPr>
              <w:pStyle w:val="Compact"/>
              <w:jc w:val="left"/>
            </w:pPr>
            <w:r>
              <w:t xml:space="preserve">HLM from donor HL 24493</w:t>
            </w:r>
          </w:p>
        </w:tc>
        <w:tc>
          <w:tcPr/>
          <w:p>
            <w:pPr>
              <w:pStyle w:val="Compact"/>
              <w:jc w:val="left"/>
            </w:pPr>
            <w:hyperlink w:anchor="Xa559bd5247f9128e74e6edcc17de37648e8cde6">
              <w:r>
                <w:rPr>
                  <w:rStyle w:val="Hyperlink"/>
                </w:rPr>
                <w:t xml:space="preserve">Wang 1997</w:t>
              </w:r>
            </w:hyperlink>
          </w:p>
        </w:tc>
      </w:tr>
      <w:tr>
        <w:tc>
          <w:tcPr/>
          <w:p>
            <w:pPr>
              <w:pStyle w:val="Compact"/>
              <w:jc w:val="left"/>
            </w:pPr>
            <w:r>
              <w:t xml:space="preserve">0.345 ± 0.013</w:t>
            </w:r>
          </w:p>
        </w:tc>
        <w:tc>
          <w:tcPr/>
          <w:p>
            <w:pPr>
              <w:pStyle w:val="Compact"/>
              <w:jc w:val="left"/>
            </w:pPr>
            <w:r>
              <w:t xml:space="preserve">88 ± 10</w:t>
            </w:r>
          </w:p>
        </w:tc>
        <w:tc>
          <w:tcPr/>
          <w:p>
            <w:pPr>
              <w:pStyle w:val="Compact"/>
              <w:jc w:val="left"/>
            </w:pPr>
            <w:r>
              <w:t xml:space="preserve">mixed HLM pool</w:t>
            </w:r>
          </w:p>
        </w:tc>
        <w:tc>
          <w:tcPr/>
          <w:p>
            <w:pPr>
              <w:pStyle w:val="Compact"/>
              <w:jc w:val="left"/>
            </w:pPr>
            <w:hyperlink w:anchor="Xa559bd5247f9128e74e6edcc17de37648e8cde6">
              <w:r>
                <w:rPr>
                  <w:rStyle w:val="Hyperlink"/>
                </w:rPr>
                <w:t xml:space="preserve">Riley 1997</w:t>
              </w:r>
            </w:hyperlink>
          </w:p>
        </w:tc>
      </w:tr>
    </w:tbl>
    <w:p>
      <w:pPr>
        <w:pStyle w:val="BodyText"/>
      </w:pPr>
      <w:r>
        <w:t xml:space="preserve">In the PBPK model,</w:t>
      </w:r>
      <w:r>
        <w:t xml:space="preserve"> </w:t>
      </w:r>
      <w:r>
        <w:rPr>
          <w:rStyle w:val="VerbatimChar"/>
        </w:rPr>
        <w:t xml:space="preserve">Vmax</w:t>
      </w:r>
      <w:r>
        <w:t xml:space="preserve"> </w:t>
      </w:r>
      <w:r>
        <w:t xml:space="preserve">and</w:t>
      </w:r>
      <w:r>
        <w:t xml:space="preserve"> </w:t>
      </w:r>
      <w:r>
        <w:rPr>
          <w:rStyle w:val="VerbatimChar"/>
        </w:rPr>
        <w:t xml:space="preserve">Km</w:t>
      </w:r>
      <w:r>
        <w:t xml:space="preserve"> </w:t>
      </w:r>
      <w:r>
        <w:t xml:space="preserve">were fixed to the mean of the values tabulated above (70 µM and 0.918 nmol/min/mg mic protein). The gene expression profile of CYP3A4 was loaded from the internal PK-Sim® database using the expression data quantified by RT-PCR (</w:t>
      </w:r>
      <w:hyperlink w:anchor="Xa559bd5247f9128e74e6edcc17de37648e8cde6">
        <w:r>
          <w:rPr>
            <w:rStyle w:val="Hyperlink"/>
          </w:rPr>
          <w:t xml:space="preserve">Open Systems Pharmacology Documentation</w:t>
        </w:r>
      </w:hyperlink>
      <w:r>
        <w:t xml:space="preserve">).</w:t>
      </w:r>
    </w:p>
    <w:p>
      <w:pPr>
        <w:pStyle w:val="BodyText"/>
      </w:pPr>
      <w:r>
        <w:t xml:space="preserve">Although it has also been observed that erythromycin is metabolized via CYP4F11</w:t>
      </w:r>
      <w:r>
        <w:t xml:space="preserve"> </w:t>
      </w:r>
      <w:r>
        <w:rPr>
          <w:iCs/>
          <w:i/>
        </w:rPr>
        <w:t xml:space="preserve">in vitro</w:t>
      </w:r>
      <w:r>
        <w:t xml:space="preserve"> </w:t>
      </w:r>
      <w:r>
        <w:t xml:space="preserve">(</w:t>
      </w:r>
      <w:hyperlink w:anchor="Xa559bd5247f9128e74e6edcc17de37648e8cde6">
        <w:r>
          <w:rPr>
            <w:rStyle w:val="Hyperlink"/>
          </w:rPr>
          <w:t xml:space="preserve">Kalsotra 2004</w:t>
        </w:r>
      </w:hyperlink>
      <w:r>
        <w:t xml:space="preserve">), this elimination pathway was not accounted for in the model because its contribution to overall elimination was assumed to be low. In humans, CYP4F11 is mainly expressed in the liver and to a much lesser extent in the kidney (</w:t>
      </w:r>
      <w:hyperlink w:anchor="Xa559bd5247f9128e74e6edcc17de37648e8cde6">
        <w:r>
          <w:rPr>
            <w:rStyle w:val="Hyperlink"/>
          </w:rPr>
          <w:t xml:space="preserve">Cui 2000</w:t>
        </w:r>
      </w:hyperlink>
      <w:r>
        <w:t xml:space="preserve">) and the CYP4F family makes up approximately 15% of all hepatic CYP enzymes (</w:t>
      </w:r>
      <w:hyperlink w:anchor="Xa559bd5247f9128e74e6edcc17de37648e8cde6">
        <w:r>
          <w:rPr>
            <w:rStyle w:val="Hyperlink"/>
          </w:rPr>
          <w:t xml:space="preserve">Michaels 2014</w:t>
        </w:r>
      </w:hyperlink>
      <w:r>
        <w:t xml:space="preserve">). The K</w:t>
      </w:r>
      <w:r>
        <w:rPr>
          <w:vertAlign w:val="subscript"/>
        </w:rPr>
        <w:t xml:space="preserve">m</w:t>
      </w:r>
      <w:r>
        <w:t xml:space="preserve"> </w:t>
      </w:r>
      <w:r>
        <w:t xml:space="preserve">and V</w:t>
      </w:r>
      <w:r>
        <w:rPr>
          <w:vertAlign w:val="subscript"/>
        </w:rPr>
        <w:t xml:space="preserve">max</w:t>
      </w:r>
      <w:r>
        <w:t xml:space="preserve"> </w:t>
      </w:r>
      <w:r>
        <w:t xml:space="preserve">values for the CYP4F11-mediated biotransformation reported by</w:t>
      </w:r>
      <w:r>
        <w:t xml:space="preserve"> </w:t>
      </w:r>
      <w:hyperlink w:anchor="Xa559bd5247f9128e74e6edcc17de37648e8cde6">
        <w:r>
          <w:rPr>
            <w:rStyle w:val="Hyperlink"/>
          </w:rPr>
          <w:t xml:space="preserve">Kalsotra 2004</w:t>
        </w:r>
      </w:hyperlink>
      <w:r>
        <w:t xml:space="preserve"> </w:t>
      </w:r>
      <w:r>
        <w:t xml:space="preserve">are similar to those measured for CYP3A4 (</w:t>
      </w:r>
      <w:hyperlink w:anchor="Xa559bd5247f9128e74e6edcc17de37648e8cde6">
        <w:r>
          <w:rPr>
            <w:rStyle w:val="Hyperlink"/>
          </w:rPr>
          <w:t xml:space="preserve">Riley 1997</w:t>
        </w:r>
      </w:hyperlink>
      <w:r>
        <w:t xml:space="preserve">,</w:t>
      </w:r>
      <w:r>
        <w:t xml:space="preserve"> </w:t>
      </w:r>
      <w:hyperlink w:anchor="Xa559bd5247f9128e74e6edcc17de37648e8cde6">
        <w:r>
          <w:rPr>
            <w:rStyle w:val="Hyperlink"/>
          </w:rPr>
          <w:t xml:space="preserve">Wang 1997</w:t>
        </w:r>
      </w:hyperlink>
      <w:r>
        <w:t xml:space="preserve">), suggesting that the relative mass balance of these two metabolism pathways mainly depends on the absolute amount of each enzyme in the liver. While no information on total CYP4F11 in the human liver could be found in the literature, CYP4F11 expression in the liver of cynomolgus monkeys was observed to be approximately 6-fold lower than that of CYP3A4 (</w:t>
      </w:r>
      <w:hyperlink w:anchor="Xa559bd5247f9128e74e6edcc17de37648e8cde6">
        <w:r>
          <w:rPr>
            <w:rStyle w:val="Hyperlink"/>
          </w:rPr>
          <w:t xml:space="preserve">Uehara 2015</w:t>
        </w:r>
      </w:hyperlink>
      <w:r>
        <w:t xml:space="preserve">). Hence, it was assumed that CYP4F11-mediated metabolism of erythromycin can be neglected in humans.</w:t>
      </w:r>
    </w:p>
    <w:p>
      <w:pPr>
        <w:pStyle w:val="BodyText"/>
      </w:pPr>
      <w:r>
        <w:t xml:space="preserve">Additional elimination pathways suggested for erythromycin are acid-catalyzed degradation (hydrolysis) the acidic milieu of the stomach (</w:t>
      </w:r>
      <w:hyperlink w:anchor="Xa559bd5247f9128e74e6edcc17de37648e8cde6">
        <w:r>
          <w:rPr>
            <w:rStyle w:val="Hyperlink"/>
          </w:rPr>
          <w:t xml:space="preserve">Mordi 2000</w:t>
        </w:r>
      </w:hyperlink>
      <w:r>
        <w:t xml:space="preserve">) and biliary excretion (</w:t>
      </w:r>
      <w:hyperlink w:anchor="Xa559bd5247f9128e74e6edcc17de37648e8cde6">
        <w:r>
          <w:rPr>
            <w:rStyle w:val="Hyperlink"/>
          </w:rPr>
          <w:t xml:space="preserve">Acocella 1968</w:t>
        </w:r>
      </w:hyperlink>
      <w:r>
        <w:t xml:space="preserve">,</w:t>
      </w:r>
      <w:r>
        <w:t xml:space="preserve"> </w:t>
      </w:r>
      <w:hyperlink w:anchor="Xa559bd5247f9128e74e6edcc17de37648e8cde6">
        <w:r>
          <w:rPr>
            <w:rStyle w:val="Hyperlink"/>
          </w:rPr>
          <w:t xml:space="preserve">Chelvan 1979</w:t>
        </w:r>
      </w:hyperlink>
      <w:r>
        <w:t xml:space="preserve">), but no quantitative information on the mass balance of these pathways could be found in the literature. Additionally, mechanism-based inhibition of CYP3A4 by erythromycin might constitute another clearance process which was neither considered in the model. However, a</w:t>
      </w:r>
      <w:r>
        <w:t xml:space="preserve"> </w:t>
      </w:r>
      <w:r>
        <w:rPr>
          <w:rStyle w:val="VerbatimChar"/>
        </w:rPr>
        <w:t xml:space="preserve">total hepatic clearance</w:t>
      </w:r>
      <w:r>
        <w:t xml:space="preserve"> </w:t>
      </w:r>
      <w:r>
        <w:t xml:space="preserve">process was implemented in the model which could at least partly account for other elimination pathways not explicitly accounted for in the model. Of note, despite the name</w:t>
      </w:r>
      <w:r>
        <w:t xml:space="preserve"> </w:t>
      </w:r>
      <w:r>
        <w:rPr>
          <w:rStyle w:val="VerbatimChar"/>
        </w:rPr>
        <w:t xml:space="preserve">total hepatic clearance</w:t>
      </w:r>
      <w:r>
        <w:t xml:space="preserve">, this clearance pathway was implemented as dummy clearance accounting for additional elimination processes that are not covered by CYP3A-mediated clearance and unchanged renal excretion and it should hence rather be regarded as a partial than a total clearance.</w:t>
      </w:r>
    </w:p>
    <w:p>
      <w:pPr>
        <w:pStyle w:val="BodyText"/>
      </w:pPr>
      <w:r>
        <w:t xml:space="preserve">The reported dose fractions of erythromycin undergoing unchanged renal excretion after IV administration range from 0.018 ± 0.005 to 0.171 ± 0.11 (mean ± SD) (</w:t>
      </w:r>
      <w:hyperlink w:anchor="Xa559bd5247f9128e74e6edcc17de37648e8cde6">
        <w:r>
          <w:rPr>
            <w:rStyle w:val="Hyperlink"/>
          </w:rPr>
          <w:t xml:space="preserve">Pasic 1987</w:t>
        </w:r>
      </w:hyperlink>
      <w:r>
        <w:t xml:space="preserve">,</w:t>
      </w:r>
      <w:r>
        <w:t xml:space="preserve"> </w:t>
      </w:r>
      <w:hyperlink w:anchor="Xa559bd5247f9128e74e6edcc17de37648e8cde6">
        <w:r>
          <w:rPr>
            <w:rStyle w:val="Hyperlink"/>
          </w:rPr>
          <w:t xml:space="preserve">Austin 1980</w:t>
        </w:r>
      </w:hyperlink>
      <w:r>
        <w:t xml:space="preserve">). This information was accounted for in the model by implementing a glomerular filtration process and optimizing the</w:t>
      </w:r>
      <w:r>
        <w:t xml:space="preserve"> </w:t>
      </w:r>
      <w:r>
        <w:rPr>
          <w:rStyle w:val="VerbatimChar"/>
        </w:rPr>
        <w:t xml:space="preserve">GFR fraction</w:t>
      </w:r>
      <w:r>
        <w:t xml:space="preserve"> </w:t>
      </w:r>
      <w:r>
        <w:t xml:space="preserve">to match the observed dose fractions excreted unchanged in urine.</w:t>
      </w:r>
    </w:p>
    <w:bookmarkEnd w:id="31"/>
    <w:bookmarkStart w:id="32" w:name="autoinhibition-via-cyp3a4"/>
    <w:p>
      <w:pPr>
        <w:pStyle w:val="Heading3"/>
      </w:pPr>
      <w:r>
        <w:t xml:space="preserve">2.3.4 Autoinhibition via CYP3A4</w:t>
      </w:r>
    </w:p>
    <w:p>
      <w:pPr>
        <w:pStyle w:val="FirstParagraph"/>
      </w:pPr>
      <w:r>
        <w:t xml:space="preserve">In the scientific literature, large ranges have been reported for K</w:t>
      </w:r>
      <w:r>
        <w:rPr>
          <w:vertAlign w:val="subscript"/>
        </w:rPr>
        <w:t xml:space="preserve">I</w:t>
      </w:r>
      <w:r>
        <w:t xml:space="preserve"> </w:t>
      </w:r>
      <w:r>
        <w:t xml:space="preserve">and k</w:t>
      </w:r>
      <w:r>
        <w:rPr>
          <w:vertAlign w:val="subscript"/>
        </w:rPr>
        <w:t xml:space="preserve">inact</w:t>
      </w:r>
      <w:r>
        <w:t xml:space="preserve"> </w:t>
      </w:r>
      <w:r>
        <w:t xml:space="preserve">(</w:t>
      </w:r>
      <w:hyperlink w:anchor="Xdc06671998478b3a8e721c12e33e363294bfa4d">
        <w:r>
          <w:rPr>
            <w:rStyle w:val="Hyperlink"/>
          </w:rPr>
          <w:t xml:space="preserve">Section 2.2.2</w:t>
        </w:r>
      </w:hyperlink>
      <w:r>
        <w:t xml:space="preserve">). Since the exact values are unknown,</w:t>
      </w:r>
      <w:r>
        <w:t xml:space="preserve"> </w:t>
      </w:r>
      <w:r>
        <w:rPr>
          <w:rStyle w:val="VerbatimChar"/>
        </w:rPr>
        <w:t xml:space="preserve">K_kinact_half</w:t>
      </w:r>
      <w:r>
        <w:t xml:space="preserve"> </w:t>
      </w:r>
      <w:r>
        <w:t xml:space="preserve">and</w:t>
      </w:r>
      <w:r>
        <w:t xml:space="preserve"> </w:t>
      </w:r>
      <w:r>
        <w:rPr>
          <w:rStyle w:val="VerbatimChar"/>
        </w:rPr>
        <w:t xml:space="preserve">kinact</w:t>
      </w:r>
      <w:r>
        <w:t xml:space="preserve"> </w:t>
      </w:r>
      <w:r>
        <w:t xml:space="preserve">were both optimized within the observed range (see</w:t>
      </w:r>
      <w:r>
        <w:t xml:space="preserve"> </w:t>
      </w:r>
      <w:hyperlink w:anchor="Xdc06671998478b3a8e721c12e33e363294bfa4d">
        <w:r>
          <w:rPr>
            <w:rStyle w:val="Hyperlink"/>
          </w:rPr>
          <w:t xml:space="preserve">Section 2.2.2</w:t>
        </w:r>
      </w:hyperlink>
      <w:r>
        <w:t xml:space="preserve">) during model building to best match the observed clinical data.</w:t>
      </w:r>
    </w:p>
    <w:p>
      <w:pPr>
        <w:pStyle w:val="BodyText"/>
      </w:pPr>
      <w:r>
        <w:t xml:space="preserve">To better inform optimization of these two parameters, clinical data of a midazolam-erythromycin interaction study conducted by Olkkola et al. (</w:t>
      </w:r>
      <w:hyperlink w:anchor="Xa559bd5247f9128e74e6edcc17de37648e8cde6">
        <w:r>
          <w:rPr>
            <w:rStyle w:val="Hyperlink"/>
          </w:rPr>
          <w:t xml:space="preserve">Olkkola 1993</w:t>
        </w:r>
      </w:hyperlink>
      <w:r>
        <w:t xml:space="preserve">) were included in the parameter optimization during model building. Therefore, the midazolam PBPK model v0.9 available on OSP GitHub (https://github.com/Open-Systems-Pharmacology/Midazolam-Model/releases/tag/0.9) was loaded in the PK-Sim® erythromycin file and the study by Olkkola et al. (</w:t>
      </w:r>
      <w:hyperlink w:anchor="Xa559bd5247f9128e74e6edcc17de37648e8cde6">
        <w:r>
          <w:rPr>
            <w:rStyle w:val="Hyperlink"/>
          </w:rPr>
          <w:t xml:space="preserve">Olkkola 1993</w:t>
        </w:r>
      </w:hyperlink>
      <w:r>
        <w:t xml:space="preserve">) was simulated. However, instead of using the reported midazolam plasma concentrations as observed data in the parameter identification, the AUC of midazolam was used. More specifically, a midazolam target AUC after IV and oral administration was calculated by multiplying the simulated midazolam AUC (24.3 and 54.0 µmol min/L and after IV and oral administration, respectively) with the observed geometric mean AUC ratio (1.96 and 4.07 after IV and PO administration, respectively) (</w:t>
      </w:r>
      <w:hyperlink w:anchor="Xa559bd5247f9128e74e6edcc17de37648e8cde6">
        <w:r>
          <w:rPr>
            <w:rStyle w:val="Hyperlink"/>
          </w:rPr>
          <w:t xml:space="preserve">Olkkola 1993</w:t>
        </w:r>
      </w:hyperlink>
      <w:r>
        <w:t xml:space="preserve">) resulting in target AUCs of 47.4 and 220 µmol min/L after IV and oral administration of midazolam, respectively. These values were included as observed data values in the parameter identification during model building. Since the AUC is not a default output that can directly be used in the parameter identification, the PBPK model structure was modified prior to running the parameter identification as described in the following. After exporting the model to MoBi®, an artificial reaction of a dummy molecule was created. The reaction rate was defined as the simulated peripheral venous blood plasma concentration of midazolam, hence yielding the AUC at any specific time point. Thereafter, the model was imported in PK-Sim® and included in the parameter identification. After being used in the parameter identification during model building, the model was not used any further.</w:t>
      </w:r>
    </w:p>
    <w:bookmarkEnd w:id="32"/>
    <w:bookmarkStart w:id="33" w:name="inhibition-of-p-gp"/>
    <w:p>
      <w:pPr>
        <w:pStyle w:val="Heading3"/>
      </w:pPr>
      <w:r>
        <w:t xml:space="preserve">2.3.5 Inhibition of P-gp</w:t>
      </w:r>
    </w:p>
    <w:p>
      <w:pPr>
        <w:pStyle w:val="FirstParagraph"/>
      </w:pPr>
      <w:r>
        <w:t xml:space="preserve">The model also includes competitive inhibition of P-gp with a K</w:t>
      </w:r>
      <w:r>
        <w:rPr>
          <w:vertAlign w:val="subscript"/>
        </w:rPr>
        <w:t xml:space="preserve">i</w:t>
      </w:r>
      <w:r>
        <w:t xml:space="preserve"> </w:t>
      </w:r>
      <w:r>
        <w:t xml:space="preserve">of 22.7 µmol/L (</w:t>
      </w:r>
      <w:hyperlink w:anchor="Xa559bd5247f9128e74e6edcc17de37648e8cde6">
        <w:r>
          <w:rPr>
            <w:rStyle w:val="Hyperlink"/>
          </w:rPr>
          <w:t xml:space="preserve">Eberl 2007</w:t>
        </w:r>
      </w:hyperlink>
      <w:r>
        <w:t xml:space="preserve">).</w:t>
      </w:r>
    </w:p>
    <w:bookmarkEnd w:id="33"/>
    <w:bookmarkStart w:id="35" w:name="automated-parameter-identification"/>
    <w:p>
      <w:pPr>
        <w:pStyle w:val="Heading3"/>
      </w:pPr>
      <w:r>
        <w:t xml:space="preserve">2.3.6 Automated Parameter Identification</w:t>
      </w:r>
    </w:p>
    <w:p>
      <w:pPr>
        <w:pStyle w:val="FirstParagraph"/>
      </w:pPr>
      <w:r>
        <w:t xml:space="preserve">This is the result of the final parameter identification:</w:t>
      </w:r>
    </w:p>
    <w:tbl>
      <w:tblPr>
        <w:tblStyle w:val="Table"/>
        <w:tblW w:type="pct" w:w="5000"/>
        <w:tblLook w:firstRow="1" w:lastRow="0" w:firstColumn="0" w:lastColumn="0" w:noHBand="0" w:noVBand="0" w:val="0020"/>
        <w:jc w:val="start"/>
      </w:tblPr>
      <w:tblGrid>
        <w:gridCol w:w="2640"/>
        <w:gridCol w:w="3017"/>
        <w:gridCol w:w="1810"/>
        <w:gridCol w:w="452"/>
      </w:tblGrid>
      <w:tr>
        <w:trPr>
          <w:tblHeader w:val="true"/>
        </w:trPr>
        <w:tc>
          <w:tcPr/>
          <w:p>
            <w:pPr>
              <w:pStyle w:val="Compact"/>
              <w:jc w:val="left"/>
            </w:pPr>
            <w:r>
              <w:t xml:space="preserve">Model Parameter</w:t>
            </w:r>
          </w:p>
        </w:tc>
        <w:tc>
          <w:tcPr/>
          <w:p>
            <w:pPr>
              <w:pStyle w:val="Compact"/>
              <w:jc w:val="left"/>
            </w:pPr>
            <w:r>
              <w:t xml:space="preserve">Formulation type/salt form</w:t>
            </w:r>
          </w:p>
        </w:tc>
        <w:tc>
          <w:tcPr/>
          <w:p>
            <w:pPr>
              <w:pStyle w:val="Compact"/>
              <w:jc w:val="left"/>
            </w:pPr>
            <w:r>
              <w:t xml:space="preserve">Optimized Value</w:t>
            </w:r>
          </w:p>
        </w:tc>
        <w:tc>
          <w:tcPr/>
          <w:p>
            <w:pPr>
              <w:pStyle w:val="Compact"/>
              <w:jc w:val="left"/>
            </w:pPr>
            <w:r>
              <w:t xml:space="preserve">Unit</w:t>
            </w:r>
          </w:p>
        </w:tc>
      </w:tr>
      <w:tr>
        <w:tc>
          <w:tcPr/>
          <w:p>
            <w:pPr>
              <w:pStyle w:val="Compact"/>
              <w:jc w:val="left"/>
            </w:pPr>
            <w:r>
              <w:rPr>
                <w:rStyle w:val="VerbatimChar"/>
              </w:rPr>
              <w:t xml:space="preserve">Dissolution shape</w:t>
            </w:r>
          </w:p>
        </w:tc>
        <w:tc>
          <w:tcPr/>
          <w:p>
            <w:pPr>
              <w:pStyle w:val="Compact"/>
              <w:jc w:val="left"/>
            </w:pPr>
            <w:r>
              <w:t xml:space="preserve">Enteric coated pellets</w:t>
            </w:r>
          </w:p>
        </w:tc>
        <w:tc>
          <w:tcPr/>
          <w:p>
            <w:pPr>
              <w:pStyle w:val="Compact"/>
              <w:jc w:val="left"/>
            </w:pPr>
            <w:r>
              <w:t xml:space="preserve">1.0564916105</w:t>
            </w:r>
          </w:p>
        </w:tc>
        <w:tc>
          <w:tcPr/>
          <w:p>
            <w:pPr>
              <w:pStyle w:val="Compact"/>
            </w:pPr>
          </w:p>
        </w:tc>
      </w:tr>
      <w:tr>
        <w:tc>
          <w:tcPr/>
          <w:p>
            <w:pPr>
              <w:pStyle w:val="Compact"/>
              <w:jc w:val="left"/>
            </w:pPr>
            <w:r>
              <w:rPr>
                <w:rStyle w:val="VerbatimChar"/>
              </w:rPr>
              <w:t xml:space="preserve">Dissolution shape</w:t>
            </w:r>
          </w:p>
        </w:tc>
        <w:tc>
          <w:tcPr/>
          <w:p>
            <w:pPr>
              <w:pStyle w:val="Compact"/>
              <w:jc w:val="left"/>
            </w:pPr>
            <w:r>
              <w:t xml:space="preserve">Enteric coated tablet</w:t>
            </w:r>
          </w:p>
        </w:tc>
        <w:tc>
          <w:tcPr/>
          <w:p>
            <w:pPr>
              <w:pStyle w:val="Compact"/>
              <w:jc w:val="left"/>
            </w:pPr>
            <w:r>
              <w:t xml:space="preserve">1.0838799888</w:t>
            </w:r>
          </w:p>
        </w:tc>
        <w:tc>
          <w:tcPr/>
          <w:p>
            <w:pPr>
              <w:pStyle w:val="Compact"/>
            </w:pPr>
          </w:p>
        </w:tc>
      </w:tr>
      <w:tr>
        <w:tc>
          <w:tcPr/>
          <w:p>
            <w:pPr>
              <w:pStyle w:val="Compact"/>
              <w:jc w:val="left"/>
            </w:pPr>
            <w:r>
              <w:rPr>
                <w:rStyle w:val="VerbatimChar"/>
              </w:rPr>
              <w:t xml:space="preserve">Dissolution shape</w:t>
            </w:r>
          </w:p>
        </w:tc>
        <w:tc>
          <w:tcPr/>
          <w:p>
            <w:pPr>
              <w:pStyle w:val="Compact"/>
              <w:jc w:val="left"/>
            </w:pPr>
            <w:r>
              <w:t xml:space="preserve">Filmcoated tablet (except 250 mg dose)</w:t>
            </w:r>
          </w:p>
        </w:tc>
        <w:tc>
          <w:tcPr/>
          <w:p>
            <w:pPr>
              <w:pStyle w:val="Compact"/>
              <w:jc w:val="left"/>
            </w:pPr>
            <w:r>
              <w:t xml:space="preserve">1.0960212213</w:t>
            </w:r>
          </w:p>
        </w:tc>
        <w:tc>
          <w:tcPr/>
          <w:p>
            <w:pPr>
              <w:pStyle w:val="Compact"/>
            </w:pPr>
          </w:p>
        </w:tc>
      </w:tr>
      <w:tr>
        <w:tc>
          <w:tcPr/>
          <w:p>
            <w:pPr>
              <w:pStyle w:val="Compact"/>
              <w:jc w:val="left"/>
            </w:pPr>
            <w:r>
              <w:rPr>
                <w:rStyle w:val="VerbatimChar"/>
              </w:rPr>
              <w:t xml:space="preserve">Dissolution shape</w:t>
            </w:r>
          </w:p>
        </w:tc>
        <w:tc>
          <w:tcPr/>
          <w:p>
            <w:pPr>
              <w:pStyle w:val="Compact"/>
              <w:jc w:val="left"/>
            </w:pPr>
            <w:r>
              <w:t xml:space="preserve">Filmcoated tablet, 250 mg</w:t>
            </w:r>
          </w:p>
        </w:tc>
        <w:tc>
          <w:tcPr/>
          <w:p>
            <w:pPr>
              <w:pStyle w:val="Compact"/>
              <w:jc w:val="left"/>
            </w:pPr>
            <w:r>
              <w:t xml:space="preserve">3.2811974117</w:t>
            </w:r>
          </w:p>
        </w:tc>
        <w:tc>
          <w:tcPr/>
          <w:p>
            <w:pPr>
              <w:pStyle w:val="Compact"/>
            </w:pPr>
          </w:p>
        </w:tc>
      </w:tr>
      <w:tr>
        <w:tc>
          <w:tcPr/>
          <w:p>
            <w:pPr>
              <w:pStyle w:val="Compact"/>
              <w:jc w:val="left"/>
            </w:pPr>
            <w:r>
              <w:rPr>
                <w:rStyle w:val="VerbatimChar"/>
              </w:rPr>
              <w:t xml:space="preserve">Dissolution time (50% dissolved)</w:t>
            </w:r>
          </w:p>
        </w:tc>
        <w:tc>
          <w:tcPr/>
          <w:p>
            <w:pPr>
              <w:pStyle w:val="Compact"/>
              <w:jc w:val="left"/>
            </w:pPr>
            <w:r>
              <w:t xml:space="preserve">Enteric coated pellets</w:t>
            </w:r>
          </w:p>
        </w:tc>
        <w:tc>
          <w:tcPr/>
          <w:p>
            <w:pPr>
              <w:pStyle w:val="Compact"/>
              <w:jc w:val="left"/>
            </w:pPr>
            <w:r>
              <w:t xml:space="preserve">1.7462743767</w:t>
            </w:r>
          </w:p>
        </w:tc>
        <w:tc>
          <w:tcPr/>
          <w:p>
            <w:pPr>
              <w:pStyle w:val="Compact"/>
              <w:jc w:val="left"/>
            </w:pPr>
            <w:r>
              <w:t xml:space="preserve">min</w:t>
            </w:r>
          </w:p>
        </w:tc>
      </w:tr>
      <w:tr>
        <w:tc>
          <w:tcPr/>
          <w:p>
            <w:pPr>
              <w:pStyle w:val="Compact"/>
              <w:jc w:val="left"/>
            </w:pPr>
            <w:r>
              <w:rPr>
                <w:rStyle w:val="VerbatimChar"/>
              </w:rPr>
              <w:t xml:space="preserve">Dissolution time (50% dissolved)</w:t>
            </w:r>
          </w:p>
        </w:tc>
        <w:tc>
          <w:tcPr/>
          <w:p>
            <w:pPr>
              <w:pStyle w:val="Compact"/>
              <w:jc w:val="left"/>
            </w:pPr>
            <w:r>
              <w:t xml:space="preserve">Enteric coated tablet</w:t>
            </w:r>
          </w:p>
        </w:tc>
        <w:tc>
          <w:tcPr/>
          <w:p>
            <w:pPr>
              <w:pStyle w:val="Compact"/>
              <w:jc w:val="left"/>
            </w:pPr>
            <w:r>
              <w:t xml:space="preserve">79.6337524677</w:t>
            </w:r>
          </w:p>
        </w:tc>
        <w:tc>
          <w:tcPr/>
          <w:p>
            <w:pPr>
              <w:pStyle w:val="Compact"/>
              <w:jc w:val="left"/>
            </w:pPr>
            <w:r>
              <w:t xml:space="preserve">min</w:t>
            </w:r>
          </w:p>
        </w:tc>
      </w:tr>
      <w:tr>
        <w:tc>
          <w:tcPr/>
          <w:p>
            <w:pPr>
              <w:pStyle w:val="Compact"/>
              <w:jc w:val="left"/>
            </w:pPr>
            <w:r>
              <w:rPr>
                <w:rStyle w:val="VerbatimChar"/>
              </w:rPr>
              <w:t xml:space="preserve">Dissolution time (50% dissolved)</w:t>
            </w:r>
          </w:p>
        </w:tc>
        <w:tc>
          <w:tcPr/>
          <w:p>
            <w:pPr>
              <w:pStyle w:val="Compact"/>
              <w:jc w:val="left"/>
            </w:pPr>
            <w:r>
              <w:t xml:space="preserve">Filmcoated tablet (except 250 mg dose)</w:t>
            </w:r>
          </w:p>
        </w:tc>
        <w:tc>
          <w:tcPr/>
          <w:p>
            <w:pPr>
              <w:pStyle w:val="Compact"/>
              <w:jc w:val="left"/>
            </w:pPr>
            <w:r>
              <w:t xml:space="preserve">1.7038947098</w:t>
            </w:r>
          </w:p>
        </w:tc>
        <w:tc>
          <w:tcPr/>
          <w:p>
            <w:pPr>
              <w:pStyle w:val="Compact"/>
              <w:jc w:val="left"/>
            </w:pPr>
            <w:r>
              <w:t xml:space="preserve">min</w:t>
            </w:r>
          </w:p>
        </w:tc>
      </w:tr>
      <w:tr>
        <w:tc>
          <w:tcPr/>
          <w:p>
            <w:pPr>
              <w:pStyle w:val="Compact"/>
              <w:jc w:val="left"/>
            </w:pPr>
            <w:r>
              <w:rPr>
                <w:rStyle w:val="VerbatimChar"/>
              </w:rPr>
              <w:t xml:space="preserve">Dissolution time (50% dissolved)</w:t>
            </w:r>
          </w:p>
        </w:tc>
        <w:tc>
          <w:tcPr/>
          <w:p>
            <w:pPr>
              <w:pStyle w:val="Compact"/>
              <w:jc w:val="left"/>
            </w:pPr>
            <w:r>
              <w:t xml:space="preserve">Filmcoated tablet, 250 mg</w:t>
            </w:r>
          </w:p>
        </w:tc>
        <w:tc>
          <w:tcPr/>
          <w:p>
            <w:pPr>
              <w:pStyle w:val="Compact"/>
              <w:jc w:val="left"/>
            </w:pPr>
            <w:r>
              <w:t xml:space="preserve">83.6562552486</w:t>
            </w:r>
          </w:p>
        </w:tc>
        <w:tc>
          <w:tcPr/>
          <w:p>
            <w:pPr>
              <w:pStyle w:val="Compact"/>
              <w:jc w:val="left"/>
            </w:pPr>
            <w:r>
              <w:t xml:space="preserve">min</w:t>
            </w:r>
          </w:p>
        </w:tc>
      </w:tr>
      <w:tr>
        <w:tc>
          <w:tcPr/>
          <w:p>
            <w:pPr>
              <w:pStyle w:val="Compact"/>
              <w:jc w:val="left"/>
            </w:pPr>
            <w:r>
              <w:rPr>
                <w:rStyle w:val="VerbatimChar"/>
              </w:rPr>
              <w:t xml:space="preserve">GFR fraction</w:t>
            </w:r>
          </w:p>
        </w:tc>
        <w:tc>
          <w:tcPr/>
          <w:p>
            <w:pPr>
              <w:pStyle w:val="Compact"/>
            </w:pPr>
          </w:p>
        </w:tc>
        <w:tc>
          <w:tcPr/>
          <w:p>
            <w:pPr>
              <w:pStyle w:val="Compact"/>
              <w:jc w:val="left"/>
            </w:pPr>
            <w:r>
              <w:t xml:space="preserve">1.1591081815</w:t>
            </w:r>
          </w:p>
        </w:tc>
        <w:tc>
          <w:tcPr/>
          <w:p>
            <w:pPr>
              <w:pStyle w:val="Compact"/>
            </w:pPr>
          </w:p>
        </w:tc>
      </w:tr>
      <w:tr>
        <w:tc>
          <w:tcPr/>
          <w:p>
            <w:pPr>
              <w:pStyle w:val="Compact"/>
              <w:jc w:val="left"/>
            </w:pPr>
            <w:r>
              <w:rPr>
                <w:rStyle w:val="VerbatimChar"/>
              </w:rPr>
              <w:t xml:space="preserve">K_kinact_half</w:t>
            </w:r>
            <w:r>
              <w:t xml:space="preserve"> </w:t>
            </w:r>
            <w:r>
              <w:t xml:space="preserve">(CYP3A4)</w:t>
            </w:r>
          </w:p>
        </w:tc>
        <w:tc>
          <w:tcPr/>
          <w:p>
            <w:pPr>
              <w:pStyle w:val="Compact"/>
            </w:pPr>
          </w:p>
        </w:tc>
        <w:tc>
          <w:tcPr/>
          <w:p>
            <w:pPr>
              <w:pStyle w:val="Compact"/>
              <w:jc w:val="left"/>
            </w:pPr>
            <w:r>
              <w:t xml:space="preserve">7.6007360452</w:t>
            </w:r>
          </w:p>
        </w:tc>
        <w:tc>
          <w:tcPr/>
          <w:p>
            <w:pPr>
              <w:pStyle w:val="Compact"/>
              <w:jc w:val="left"/>
            </w:pPr>
            <w:r>
              <w:t xml:space="preserve">µmol/L</w:t>
            </w:r>
          </w:p>
        </w:tc>
      </w:tr>
      <w:tr>
        <w:tc>
          <w:tcPr/>
          <w:p>
            <w:pPr>
              <w:pStyle w:val="Compact"/>
              <w:jc w:val="left"/>
            </w:pPr>
            <w:r>
              <w:rPr>
                <w:rStyle w:val="VerbatimChar"/>
              </w:rPr>
              <w:t xml:space="preserve">kcat</w:t>
            </w:r>
            <w:r>
              <w:t xml:space="preserve"> </w:t>
            </w:r>
            <w:r>
              <w:t xml:space="preserve">(OATP1B1)</w:t>
            </w:r>
          </w:p>
        </w:tc>
        <w:tc>
          <w:tcPr/>
          <w:p>
            <w:pPr>
              <w:pStyle w:val="Compact"/>
            </w:pPr>
          </w:p>
        </w:tc>
        <w:tc>
          <w:tcPr/>
          <w:p>
            <w:pPr>
              <w:pStyle w:val="Compact"/>
              <w:jc w:val="left"/>
            </w:pPr>
            <w:r>
              <w:t xml:space="preserve">2.0201069202^*^</w:t>
            </w:r>
          </w:p>
        </w:tc>
        <w:tc>
          <w:tcPr/>
          <w:p>
            <w:pPr>
              <w:pStyle w:val="Compact"/>
              <w:jc w:val="left"/>
            </w:pPr>
            <w:r>
              <w:t xml:space="preserve">1/min</w:t>
            </w:r>
          </w:p>
        </w:tc>
      </w:tr>
      <w:tr>
        <w:tc>
          <w:tcPr/>
          <w:p>
            <w:pPr>
              <w:pStyle w:val="Compact"/>
              <w:jc w:val="left"/>
            </w:pPr>
            <w:r>
              <w:rPr>
                <w:rStyle w:val="VerbatimChar"/>
              </w:rPr>
              <w:t xml:space="preserve">kinact</w:t>
            </w:r>
            <w:r>
              <w:t xml:space="preserve"> </w:t>
            </w:r>
            <w:r>
              <w:t xml:space="preserve">(CYP3A4)</w:t>
            </w:r>
          </w:p>
        </w:tc>
        <w:tc>
          <w:tcPr/>
          <w:p>
            <w:pPr>
              <w:pStyle w:val="Compact"/>
            </w:pPr>
          </w:p>
        </w:tc>
        <w:tc>
          <w:tcPr/>
          <w:p>
            <w:pPr>
              <w:pStyle w:val="Compact"/>
              <w:jc w:val="left"/>
            </w:pPr>
            <w:r>
              <w:t xml:space="preserve">0.0296261146</w:t>
            </w:r>
          </w:p>
        </w:tc>
        <w:tc>
          <w:tcPr/>
          <w:p>
            <w:pPr>
              <w:pStyle w:val="Compact"/>
              <w:jc w:val="left"/>
            </w:pPr>
            <w:r>
              <w:t xml:space="preserve">1/min</w:t>
            </w:r>
          </w:p>
        </w:tc>
      </w:tr>
      <w:tr>
        <w:tc>
          <w:tcPr/>
          <w:p>
            <w:pPr>
              <w:pStyle w:val="Compact"/>
              <w:jc w:val="left"/>
            </w:pPr>
            <w:r>
              <w:rPr>
                <w:rStyle w:val="VerbatimChar"/>
              </w:rPr>
              <w:t xml:space="preserve">Km</w:t>
            </w:r>
            <w:r>
              <w:t xml:space="preserve"> </w:t>
            </w:r>
            <w:r>
              <w:t xml:space="preserve">(OATP1B1)</w:t>
            </w:r>
          </w:p>
        </w:tc>
        <w:tc>
          <w:tcPr/>
          <w:p>
            <w:pPr>
              <w:pStyle w:val="Compact"/>
            </w:pPr>
          </w:p>
        </w:tc>
        <w:tc>
          <w:tcPr/>
          <w:p>
            <w:pPr>
              <w:pStyle w:val="Compact"/>
              <w:jc w:val="left"/>
            </w:pPr>
            <w:r>
              <w:t xml:space="preserve">0.735836485</w:t>
            </w:r>
          </w:p>
        </w:tc>
        <w:tc>
          <w:tcPr/>
          <w:p>
            <w:pPr>
              <w:pStyle w:val="Compact"/>
              <w:jc w:val="left"/>
            </w:pPr>
            <w:r>
              <w:t xml:space="preserve">µmol/L</w:t>
            </w:r>
          </w:p>
        </w:tc>
      </w:tr>
      <w:tr>
        <w:tc>
          <w:tcPr/>
          <w:p>
            <w:pPr>
              <w:pStyle w:val="Compact"/>
              <w:jc w:val="left"/>
            </w:pPr>
            <w:r>
              <w:rPr>
                <w:rStyle w:val="VerbatimChar"/>
              </w:rPr>
              <w:t xml:space="preserve">Lag time</w:t>
            </w:r>
          </w:p>
        </w:tc>
        <w:tc>
          <w:tcPr/>
          <w:p>
            <w:pPr>
              <w:pStyle w:val="Compact"/>
              <w:jc w:val="left"/>
            </w:pPr>
            <w:r>
              <w:t xml:space="preserve">Enteric coated pellets</w:t>
            </w:r>
          </w:p>
        </w:tc>
        <w:tc>
          <w:tcPr/>
          <w:p>
            <w:pPr>
              <w:pStyle w:val="Compact"/>
              <w:jc w:val="left"/>
            </w:pPr>
            <w:r>
              <w:t xml:space="preserve">54.3490442506</w:t>
            </w:r>
          </w:p>
        </w:tc>
        <w:tc>
          <w:tcPr/>
          <w:p>
            <w:pPr>
              <w:pStyle w:val="Compact"/>
              <w:jc w:val="left"/>
            </w:pPr>
            <w:r>
              <w:t xml:space="preserve">min</w:t>
            </w:r>
          </w:p>
        </w:tc>
      </w:tr>
      <w:tr>
        <w:tc>
          <w:tcPr/>
          <w:p>
            <w:pPr>
              <w:pStyle w:val="Compact"/>
              <w:jc w:val="left"/>
            </w:pPr>
            <w:r>
              <w:rPr>
                <w:rStyle w:val="VerbatimChar"/>
              </w:rPr>
              <w:t xml:space="preserve">Lag time</w:t>
            </w:r>
          </w:p>
        </w:tc>
        <w:tc>
          <w:tcPr/>
          <w:p>
            <w:pPr>
              <w:pStyle w:val="Compact"/>
              <w:jc w:val="left"/>
            </w:pPr>
            <w:r>
              <w:t xml:space="preserve">Enteric coated tablet</w:t>
            </w:r>
          </w:p>
        </w:tc>
        <w:tc>
          <w:tcPr/>
          <w:p>
            <w:pPr>
              <w:pStyle w:val="Compact"/>
              <w:jc w:val="left"/>
            </w:pPr>
            <w:r>
              <w:t xml:space="preserve">78.7967495765</w:t>
            </w:r>
          </w:p>
        </w:tc>
        <w:tc>
          <w:tcPr/>
          <w:p>
            <w:pPr>
              <w:pStyle w:val="Compact"/>
              <w:jc w:val="left"/>
            </w:pPr>
            <w:r>
              <w:t xml:space="preserve">min</w:t>
            </w:r>
          </w:p>
        </w:tc>
      </w:tr>
      <w:tr>
        <w:tc>
          <w:tcPr/>
          <w:p>
            <w:pPr>
              <w:pStyle w:val="Compact"/>
              <w:jc w:val="left"/>
            </w:pPr>
            <w:r>
              <w:rPr>
                <w:rStyle w:val="VerbatimChar"/>
              </w:rPr>
              <w:t xml:space="preserve">Solubility at ref pH</w:t>
            </w:r>
          </w:p>
        </w:tc>
        <w:tc>
          <w:tcPr/>
          <w:p>
            <w:pPr>
              <w:pStyle w:val="Compact"/>
              <w:jc w:val="left"/>
            </w:pPr>
            <w:r>
              <w:t xml:space="preserve">Enteric coated tablet, erythromycin base</w:t>
            </w:r>
          </w:p>
        </w:tc>
        <w:tc>
          <w:tcPr/>
          <w:p>
            <w:pPr>
              <w:pStyle w:val="Compact"/>
              <w:jc w:val="left"/>
            </w:pPr>
            <w:r>
              <w:t xml:space="preserve">8.3990771997</w:t>
            </w:r>
          </w:p>
        </w:tc>
        <w:tc>
          <w:tcPr/>
          <w:p>
            <w:pPr>
              <w:pStyle w:val="Compact"/>
              <w:jc w:val="left"/>
            </w:pPr>
            <w:r>
              <w:t xml:space="preserve">mg/L</w:t>
            </w:r>
          </w:p>
        </w:tc>
      </w:tr>
      <w:tr>
        <w:tc>
          <w:tcPr/>
          <w:p>
            <w:pPr>
              <w:pStyle w:val="Compact"/>
              <w:jc w:val="left"/>
            </w:pPr>
            <w:r>
              <w:rPr>
                <w:rStyle w:val="VerbatimChar"/>
              </w:rPr>
              <w:t xml:space="preserve">Solubility at ref pH</w:t>
            </w:r>
          </w:p>
        </w:tc>
        <w:tc>
          <w:tcPr/>
          <w:p>
            <w:pPr>
              <w:pStyle w:val="Compact"/>
              <w:jc w:val="left"/>
            </w:pPr>
            <w:r>
              <w:t xml:space="preserve">Filmcoated tablet, erythromycin stearate</w:t>
            </w:r>
          </w:p>
        </w:tc>
        <w:tc>
          <w:tcPr/>
          <w:p>
            <w:pPr>
              <w:pStyle w:val="Compact"/>
              <w:jc w:val="left"/>
            </w:pPr>
            <w:r>
              <w:t xml:space="preserve">28.0708790976</w:t>
            </w:r>
          </w:p>
        </w:tc>
        <w:tc>
          <w:tcPr/>
          <w:p>
            <w:pPr>
              <w:pStyle w:val="Compact"/>
              <w:jc w:val="left"/>
            </w:pPr>
            <w:r>
              <w:t xml:space="preserve">mg/L</w:t>
            </w:r>
          </w:p>
        </w:tc>
      </w:tr>
      <w:tr>
        <w:tc>
          <w:tcPr/>
          <w:p>
            <w:pPr>
              <w:pStyle w:val="Compact"/>
              <w:jc w:val="left"/>
            </w:pPr>
            <w:r>
              <w:rPr>
                <w:rStyle w:val="VerbatimChar"/>
              </w:rPr>
              <w:t xml:space="preserve">Specific clearance</w:t>
            </w:r>
          </w:p>
        </w:tc>
        <w:tc>
          <w:tcPr/>
          <w:p>
            <w:pPr>
              <w:pStyle w:val="Compact"/>
            </w:pPr>
          </w:p>
        </w:tc>
        <w:tc>
          <w:tcPr/>
          <w:p>
            <w:pPr>
              <w:pStyle w:val="Compact"/>
              <w:jc w:val="left"/>
            </w:pPr>
            <w:r>
              <w:t xml:space="preserve">4.1462183378</w:t>
            </w:r>
          </w:p>
        </w:tc>
        <w:tc>
          <w:tcPr/>
          <w:p>
            <w:pPr>
              <w:pStyle w:val="Compact"/>
              <w:jc w:val="left"/>
            </w:pPr>
            <w:r>
              <w:t xml:space="preserve">1/min</w:t>
            </w:r>
          </w:p>
        </w:tc>
      </w:tr>
      <w:tr>
        <w:tc>
          <w:tcPr/>
          <w:p>
            <w:pPr>
              <w:pStyle w:val="Compact"/>
              <w:jc w:val="left"/>
            </w:pPr>
            <w:r>
              <w:rPr>
                <w:rStyle w:val="VerbatimChar"/>
              </w:rPr>
              <w:t xml:space="preserve">Specific intestinal permeability</w:t>
            </w:r>
          </w:p>
        </w:tc>
        <w:tc>
          <w:tcPr/>
          <w:p>
            <w:pPr>
              <w:pStyle w:val="Compact"/>
            </w:pPr>
          </w:p>
        </w:tc>
        <w:tc>
          <w:tcPr/>
          <w:p>
            <w:pPr>
              <w:pStyle w:val="Compact"/>
              <w:jc w:val="left"/>
            </w:pPr>
            <w:r>
              <w:t xml:space="preserve">0.00038668371665</w:t>
            </w:r>
          </w:p>
        </w:tc>
        <w:tc>
          <w:tcPr/>
          <w:p>
            <w:pPr>
              <w:pStyle w:val="Compact"/>
              <w:jc w:val="left"/>
            </w:pPr>
            <w:r>
              <w:t xml:space="preserve">cm/min</w:t>
            </w:r>
          </w:p>
        </w:tc>
      </w:tr>
    </w:tbl>
    <w:p>
      <w:pPr>
        <w:pStyle w:val="BodyText"/>
      </w:pPr>
      <w:r>
        <w:t xml:space="preserve">^*^ The value in the model was updated to 1.350032201 with the release of PK-Sim 10 to account for the updated calculation method of interstitial concentrations (please refer to the respective</w:t>
      </w:r>
      <w:r>
        <w:t xml:space="preserve"> </w:t>
      </w:r>
      <w:hyperlink r:id="rId34">
        <w:r>
          <w:rPr>
            <w:rStyle w:val="Hyperlink"/>
          </w:rPr>
          <w:t xml:space="preserve">release notes of version 10</w:t>
        </w:r>
      </w:hyperlink>
      <w:r>
        <w:t xml:space="preserve">).</w:t>
      </w:r>
    </w:p>
    <w:bookmarkEnd w:id="35"/>
    <w:bookmarkEnd w:id="36"/>
    <w:bookmarkEnd w:id="37"/>
    <w:bookmarkStart w:id="305" w:name="results-and-discussion"/>
    <w:p>
      <w:pPr>
        <w:pStyle w:val="Heading1"/>
      </w:pPr>
      <w:r>
        <w:t xml:space="preserve">Results and Discussion</w:t>
      </w:r>
      <w:bookmarkStart w:id="results-and-discussion" w:name="results-and-discussion"/>
      <w:bookmarkEnd w:id="results-and-discussion"/>
    </w:p>
    <w:p>
      <w:pPr>
        <w:pStyle w:val="FirstParagraph"/>
      </w:pPr>
      <w:r>
        <w:t xml:space="preserve">The PBPK model for erythromycin was developed and verified with clinical pharmacokinetic data.</w:t>
      </w:r>
    </w:p>
    <w:p>
      <w:pPr>
        <w:pStyle w:val="BodyText"/>
      </w:pPr>
      <w:r>
        <w:t xml:space="preserve">The next sections show:</w:t>
      </w:r>
    </w:p>
    <w:p>
      <w:pPr>
        <w:numPr>
          <w:ilvl w:val="0"/>
          <w:numId w:val="1005"/>
        </w:numPr>
        <w:pStyle w:val="Compact"/>
      </w:pPr>
      <w:r>
        <w:t xml:space="preserve">the final model parameters for the building blocks:</w:t>
      </w:r>
      <w:r>
        <w:t xml:space="preserve"> </w:t>
      </w:r>
      <w:hyperlink w:anchor="Xc6cf42871317160fa8533d05504fe9284eb5963">
        <w:r>
          <w:rPr>
            <w:rStyle w:val="Hyperlink"/>
          </w:rPr>
          <w:t xml:space="preserve">Section 3.1</w:t>
        </w:r>
      </w:hyperlink>
      <w:r>
        <w:t xml:space="preserve">.</w:t>
      </w:r>
    </w:p>
    <w:p>
      <w:pPr>
        <w:numPr>
          <w:ilvl w:val="0"/>
          <w:numId w:val="1005"/>
        </w:numPr>
        <w:pStyle w:val="Compact"/>
      </w:pPr>
      <w:r>
        <w:t xml:space="preserve">the overall goodness of fit:</w:t>
      </w:r>
      <w:r>
        <w:t xml:space="preserve"> </w:t>
      </w:r>
      <w:hyperlink w:anchor="X8f3aeddcae968e1d328d29ba9adb7d6f485cab0">
        <w:r>
          <w:rPr>
            <w:rStyle w:val="Hyperlink"/>
          </w:rPr>
          <w:t xml:space="preserve">Section 3.2</w:t>
        </w:r>
      </w:hyperlink>
      <w:r>
        <w:t xml:space="preserve">.</w:t>
      </w:r>
    </w:p>
    <w:p>
      <w:pPr>
        <w:numPr>
          <w:ilvl w:val="0"/>
          <w:numId w:val="1005"/>
        </w:numPr>
        <w:pStyle w:val="Compact"/>
      </w:pPr>
      <w:r>
        <w:t xml:space="preserve">simulated vs. observed concentration-time profiles for the clinical studies used for model building and for model verification:</w:t>
      </w:r>
      <w:r>
        <w:t xml:space="preserve"> </w:t>
      </w:r>
      <w:hyperlink w:anchor="Xdc8b4cf40574b5c39801a4fb59aa003db333782">
        <w:r>
          <w:rPr>
            <w:rStyle w:val="Hyperlink"/>
          </w:rPr>
          <w:t xml:space="preserve">Section 3.3</w:t>
        </w:r>
      </w:hyperlink>
      <w:r>
        <w:t xml:space="preserve">.</w:t>
      </w:r>
    </w:p>
    <w:bookmarkStart w:id="60" w:name="final-input-parameters"/>
    <w:p>
      <w:pPr>
        <w:pStyle w:val="Heading2"/>
      </w:pPr>
      <w:r>
        <w:t xml:space="preserve">Final input parameters</w:t>
      </w:r>
      <w:bookmarkStart w:id="final-input-parameters" w:name="final-input-parameters"/>
      <w:bookmarkEnd w:id="final-input-parameters"/>
    </w:p>
    <w:p>
      <w:pPr>
        <w:pStyle w:val="FirstParagraph"/>
      </w:pPr>
      <w:r>
        <w:t xml:space="preserve">The compound parameter values of the final PBPK model are illustrated below.</w:t>
      </w:r>
    </w:p>
    <w:bookmarkStart w:id="53" w:name="compound-erythromycin"/>
    <w:p>
      <w:pPr>
        <w:pStyle w:val="Heading3"/>
      </w:pPr>
      <w:r>
        <w:t xml:space="preserve">Compound: Erythromycin</w:t>
      </w:r>
    </w:p>
    <w:bookmarkStart w:id="38" w:name="parameters"/>
    <w:p>
      <w:pPr>
        <w:pStyle w:val="Heading4"/>
      </w:pPr>
      <w:r>
        <w:t xml:space="preserve">Parameters</w:t>
      </w:r>
    </w:p>
    <w:tbl>
      <w:tblPr>
        <w:tblStyle w:val="Table"/>
        <w:tblW w:type="pct" w:w="5000"/>
        <w:tblLook w:firstRow="1" w:lastRow="0" w:firstColumn="0" w:lastColumn="0" w:noHBand="0" w:noVBand="0" w:val="0020"/>
        <w:jc w:val="start"/>
      </w:tblPr>
      <w:tblGrid>
        <w:gridCol w:w="1508"/>
        <w:gridCol w:w="722"/>
        <w:gridCol w:w="4211"/>
        <w:gridCol w:w="1257"/>
        <w:gridCol w:w="220"/>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Value Origin</w:t>
            </w:r>
          </w:p>
        </w:tc>
        <w:tc>
          <w:tcPr/>
          <w:p>
            <w:pPr>
              <w:pStyle w:val="Compact"/>
              <w:jc w:val="left"/>
            </w:pPr>
            <w:r>
              <w:t xml:space="preserve">Alternative</w:t>
            </w:r>
          </w:p>
        </w:tc>
        <w:tc>
          <w:tcPr/>
          <w:p>
            <w:pPr>
              <w:pStyle w:val="Compact"/>
              <w:jc w:val="left"/>
            </w:pPr>
            <w:r>
              <w:t xml:space="preserve">Default</w:t>
            </w:r>
          </w:p>
        </w:tc>
      </w:tr>
      <w:tr>
        <w:tc>
          <w:tcPr/>
          <w:p>
            <w:pPr>
              <w:pStyle w:val="Compact"/>
              <w:jc w:val="left"/>
            </w:pPr>
            <w:r>
              <w:t xml:space="preserve">Solubility at reference pH</w:t>
            </w:r>
          </w:p>
        </w:tc>
        <w:tc>
          <w:tcPr/>
          <w:p>
            <w:pPr>
              <w:pStyle w:val="Compact"/>
              <w:jc w:val="left"/>
            </w:pPr>
            <w:r>
              <w:t xml:space="preserve">28.0708790976 mg/l</w:t>
            </w:r>
          </w:p>
        </w:tc>
        <w:tc>
          <w:tcPr/>
          <w:p>
            <w:pPr>
              <w:pStyle w:val="Compact"/>
              <w:jc w:val="left"/>
            </w:pPr>
            <w:r>
              <w:t xml:space="preserve">Parameter Identification-Parameter Identification-Value updated from</w:t>
            </w:r>
            <w:r>
              <w:t xml:space="preserve"> </w:t>
            </w:r>
            <w:r>
              <w:t xml:space="preserve">‘</w:t>
            </w:r>
            <w:r>
              <w:t xml:space="preserve">003 - BP conc ratio FIX</w:t>
            </w:r>
            <w:r>
              <w:t xml:space="preserve">’</w:t>
            </w:r>
            <w:r>
              <w:t xml:space="preserve"> </w:t>
            </w:r>
            <w:r>
              <w:t xml:space="preserve">on 2019-11-14 14:43</w:t>
            </w:r>
          </w:p>
        </w:tc>
        <w:tc>
          <w:tcPr/>
          <w:p>
            <w:pPr>
              <w:pStyle w:val="Compact"/>
              <w:jc w:val="left"/>
            </w:pPr>
            <w:r>
              <w:t xml:space="preserve">Erythromycin stearate film-coated tablet</w:t>
            </w:r>
          </w:p>
        </w:tc>
        <w:tc>
          <w:tcPr/>
          <w:p>
            <w:pPr>
              <w:pStyle w:val="Compact"/>
              <w:jc w:val="left"/>
            </w:pPr>
            <w:r>
              <w:t xml:space="preserve">True</w:t>
            </w:r>
          </w:p>
        </w:tc>
      </w:tr>
      <w:tr>
        <w:tc>
          <w:tcPr/>
          <w:p>
            <w:pPr>
              <w:pStyle w:val="Compact"/>
              <w:jc w:val="left"/>
            </w:pPr>
            <w:r>
              <w:t xml:space="preserve">Reference pH</w:t>
            </w:r>
          </w:p>
        </w:tc>
        <w:tc>
          <w:tcPr/>
          <w:p>
            <w:pPr>
              <w:pStyle w:val="Compact"/>
              <w:jc w:val="left"/>
            </w:pPr>
            <w:r>
              <w:t xml:space="preserve">7</w:t>
            </w:r>
          </w:p>
        </w:tc>
        <w:tc>
          <w:tcPr/>
          <w:p>
            <w:pPr>
              <w:pStyle w:val="Compact"/>
              <w:jc w:val="left"/>
            </w:pPr>
            <w:r>
              <w:t xml:space="preserve">Parameter Identification-Parameter Identification-Value updated from</w:t>
            </w:r>
            <w:r>
              <w:t xml:space="preserve"> </w:t>
            </w:r>
            <w:r>
              <w:t xml:space="preserve">‘</w:t>
            </w:r>
            <w:r>
              <w:t xml:space="preserve">001</w:t>
            </w:r>
            <w:r>
              <w:t xml:space="preserve">’</w:t>
            </w:r>
            <w:r>
              <w:t xml:space="preserve"> </w:t>
            </w:r>
            <w:r>
              <w:t xml:space="preserve">on 2019-10-01 13:46</w:t>
            </w:r>
          </w:p>
        </w:tc>
        <w:tc>
          <w:tcPr/>
          <w:p>
            <w:pPr>
              <w:pStyle w:val="Compact"/>
              <w:jc w:val="left"/>
            </w:pPr>
            <w:r>
              <w:t xml:space="preserve">Erythromycin stearate film-coated tablet</w:t>
            </w:r>
          </w:p>
        </w:tc>
        <w:tc>
          <w:tcPr/>
          <w:p>
            <w:pPr>
              <w:pStyle w:val="Compact"/>
              <w:jc w:val="left"/>
            </w:pPr>
            <w:r>
              <w:t xml:space="preserve">True</w:t>
            </w:r>
          </w:p>
        </w:tc>
      </w:tr>
      <w:tr>
        <w:tc>
          <w:tcPr/>
          <w:p>
            <w:pPr>
              <w:pStyle w:val="Compact"/>
              <w:jc w:val="left"/>
            </w:pPr>
            <w:r>
              <w:t xml:space="preserve">Solubility at reference pH</w:t>
            </w:r>
          </w:p>
        </w:tc>
        <w:tc>
          <w:tcPr/>
          <w:p>
            <w:pPr>
              <w:pStyle w:val="Compact"/>
              <w:jc w:val="left"/>
            </w:pPr>
            <w:r>
              <w:t xml:space="preserve">500 mg/l</w:t>
            </w:r>
          </w:p>
        </w:tc>
        <w:tc>
          <w:tcPr/>
          <w:p>
            <w:pPr>
              <w:pStyle w:val="Compact"/>
              <w:jc w:val="left"/>
            </w:pPr>
            <w:r>
              <w:t xml:space="preserve">Parameter Identification-Parameter Identification-Value updated from</w:t>
            </w:r>
            <w:r>
              <w:t xml:space="preserve"> </w:t>
            </w:r>
            <w:r>
              <w:t xml:space="preserve">‘</w:t>
            </w:r>
            <w:r>
              <w:t xml:space="preserve">001</w:t>
            </w:r>
            <w:r>
              <w:t xml:space="preserve">’</w:t>
            </w:r>
            <w:r>
              <w:t xml:space="preserve"> </w:t>
            </w:r>
            <w:r>
              <w:t xml:space="preserve">on 2019-10-01 13:46</w:t>
            </w:r>
          </w:p>
        </w:tc>
        <w:tc>
          <w:tcPr/>
          <w:p>
            <w:pPr>
              <w:pStyle w:val="Compact"/>
              <w:jc w:val="left"/>
            </w:pPr>
            <w:r>
              <w:t xml:space="preserve">Erythromycin base enteric coated pellets</w:t>
            </w:r>
          </w:p>
        </w:tc>
        <w:tc>
          <w:tcPr/>
          <w:p>
            <w:pPr>
              <w:pStyle w:val="Compact"/>
              <w:jc w:val="left"/>
            </w:pPr>
            <w:r>
              <w:t xml:space="preserve">False</w:t>
            </w:r>
          </w:p>
        </w:tc>
      </w:tr>
      <w:tr>
        <w:tc>
          <w:tcPr/>
          <w:p>
            <w:pPr>
              <w:pStyle w:val="Compact"/>
              <w:jc w:val="left"/>
            </w:pPr>
            <w:r>
              <w:t xml:space="preserve">Reference pH</w:t>
            </w:r>
          </w:p>
        </w:tc>
        <w:tc>
          <w:tcPr/>
          <w:p>
            <w:pPr>
              <w:pStyle w:val="Compact"/>
              <w:jc w:val="left"/>
            </w:pPr>
            <w:r>
              <w:t xml:space="preserve">7</w:t>
            </w:r>
          </w:p>
        </w:tc>
        <w:tc>
          <w:tcPr/>
          <w:p>
            <w:pPr>
              <w:pStyle w:val="Compact"/>
              <w:jc w:val="left"/>
            </w:pPr>
            <w:r>
              <w:t xml:space="preserve">Parameter Identification-Parameter Identification-Value updated from</w:t>
            </w:r>
            <w:r>
              <w:t xml:space="preserve"> </w:t>
            </w:r>
            <w:r>
              <w:t xml:space="preserve">‘</w:t>
            </w:r>
            <w:r>
              <w:t xml:space="preserve">001</w:t>
            </w:r>
            <w:r>
              <w:t xml:space="preserve">’</w:t>
            </w:r>
            <w:r>
              <w:t xml:space="preserve"> </w:t>
            </w:r>
            <w:r>
              <w:t xml:space="preserve">on 2019-10-01 13:46</w:t>
            </w:r>
          </w:p>
        </w:tc>
        <w:tc>
          <w:tcPr/>
          <w:p>
            <w:pPr>
              <w:pStyle w:val="Compact"/>
              <w:jc w:val="left"/>
            </w:pPr>
            <w:r>
              <w:t xml:space="preserve">Erythromycin base enteric coated pellets</w:t>
            </w:r>
          </w:p>
        </w:tc>
        <w:tc>
          <w:tcPr/>
          <w:p>
            <w:pPr>
              <w:pStyle w:val="Compact"/>
              <w:jc w:val="left"/>
            </w:pPr>
            <w:r>
              <w:t xml:space="preserve">False</w:t>
            </w:r>
          </w:p>
        </w:tc>
      </w:tr>
      <w:tr>
        <w:tc>
          <w:tcPr/>
          <w:p>
            <w:pPr>
              <w:pStyle w:val="Compact"/>
              <w:jc w:val="left"/>
            </w:pPr>
            <w:r>
              <w:t xml:space="preserve">Solubility at reference pH</w:t>
            </w:r>
          </w:p>
        </w:tc>
        <w:tc>
          <w:tcPr/>
          <w:p>
            <w:pPr>
              <w:pStyle w:val="Compact"/>
              <w:jc w:val="left"/>
            </w:pPr>
            <w:r>
              <w:t xml:space="preserve">200 mg/ml</w:t>
            </w:r>
          </w:p>
        </w:tc>
        <w:tc>
          <w:tcPr/>
          <w:p>
            <w:pPr>
              <w:pStyle w:val="Compact"/>
              <w:jc w:val="left"/>
            </w:pPr>
            <w:r>
              <w:t xml:space="preserve">Publication-In Vitro-Hoffhine, Jr Charles E.</w:t>
            </w:r>
            <w:r>
              <w:t xml:space="preserve"> </w:t>
            </w:r>
            <w:r>
              <w:t xml:space="preserve">“</w:t>
            </w:r>
            <w:r>
              <w:t xml:space="preserve">Aqueous soluble salts of erythromycin.</w:t>
            </w:r>
            <w:r>
              <w:t xml:space="preserve">”</w:t>
            </w:r>
            <w:r>
              <w:t xml:space="preserve"> </w:t>
            </w:r>
            <w:r>
              <w:t xml:space="preserve">U.S. Patent 2,761,859, issued September 4, 1956.</w:t>
            </w:r>
          </w:p>
        </w:tc>
        <w:tc>
          <w:tcPr/>
          <w:p>
            <w:pPr>
              <w:pStyle w:val="Compact"/>
              <w:jc w:val="left"/>
            </w:pPr>
            <w:r>
              <w:t xml:space="preserve">Erythromycin lactobionate</w:t>
            </w:r>
          </w:p>
        </w:tc>
        <w:tc>
          <w:tcPr/>
          <w:p>
            <w:pPr>
              <w:pStyle w:val="Compact"/>
              <w:jc w:val="left"/>
            </w:pPr>
            <w:r>
              <w:t xml:space="preserve">False</w:t>
            </w:r>
          </w:p>
        </w:tc>
      </w:tr>
      <w:tr>
        <w:tc>
          <w:tcPr/>
          <w:p>
            <w:pPr>
              <w:pStyle w:val="Compact"/>
              <w:jc w:val="left"/>
            </w:pPr>
            <w:r>
              <w:t xml:space="preserve">Reference pH</w:t>
            </w:r>
          </w:p>
        </w:tc>
        <w:tc>
          <w:tcPr/>
          <w:p>
            <w:pPr>
              <w:pStyle w:val="Compact"/>
              <w:jc w:val="left"/>
            </w:pPr>
            <w:r>
              <w:t xml:space="preserve">7</w:t>
            </w:r>
          </w:p>
        </w:tc>
        <w:tc>
          <w:tcPr/>
          <w:p>
            <w:pPr>
              <w:pStyle w:val="Compact"/>
              <w:jc w:val="left"/>
            </w:pPr>
            <w:r>
              <w:t xml:space="preserve">Publication-In Vitro-Hoffhine, Jr Charles E.</w:t>
            </w:r>
            <w:r>
              <w:t xml:space="preserve"> </w:t>
            </w:r>
            <w:r>
              <w:t xml:space="preserve">“</w:t>
            </w:r>
            <w:r>
              <w:t xml:space="preserve">Aqueous soluble salts of erythromycin.</w:t>
            </w:r>
            <w:r>
              <w:t xml:space="preserve">”</w:t>
            </w:r>
            <w:r>
              <w:t xml:space="preserve"> </w:t>
            </w:r>
            <w:r>
              <w:t xml:space="preserve">U.S. Patent 2,761,859, issued September 4, 1956.</w:t>
            </w:r>
          </w:p>
        </w:tc>
        <w:tc>
          <w:tcPr/>
          <w:p>
            <w:pPr>
              <w:pStyle w:val="Compact"/>
              <w:jc w:val="left"/>
            </w:pPr>
            <w:r>
              <w:t xml:space="preserve">Erythromycin lactobionate</w:t>
            </w:r>
          </w:p>
        </w:tc>
        <w:tc>
          <w:tcPr/>
          <w:p>
            <w:pPr>
              <w:pStyle w:val="Compact"/>
              <w:jc w:val="left"/>
            </w:pPr>
            <w:r>
              <w:t xml:space="preserve">False</w:t>
            </w:r>
          </w:p>
        </w:tc>
      </w:tr>
      <w:tr>
        <w:tc>
          <w:tcPr/>
          <w:p>
            <w:pPr>
              <w:pStyle w:val="Compact"/>
              <w:jc w:val="left"/>
            </w:pPr>
            <w:r>
              <w:t xml:space="preserve">Solubility at reference pH</w:t>
            </w:r>
          </w:p>
        </w:tc>
        <w:tc>
          <w:tcPr/>
          <w:p>
            <w:pPr>
              <w:pStyle w:val="Compact"/>
              <w:jc w:val="left"/>
            </w:pPr>
            <w:r>
              <w:t xml:space="preserve">8.3990771997 mg/l</w:t>
            </w:r>
          </w:p>
        </w:tc>
        <w:tc>
          <w:tcPr/>
          <w:p>
            <w:pPr>
              <w:pStyle w:val="Compact"/>
              <w:jc w:val="left"/>
            </w:pPr>
            <w:r>
              <w:t xml:space="preserve">Parameter Identification-Parameter Identification-Value updated from</w:t>
            </w:r>
            <w:r>
              <w:t xml:space="preserve"> </w:t>
            </w:r>
            <w:r>
              <w:t xml:space="preserve">‘</w:t>
            </w:r>
            <w:r>
              <w:t xml:space="preserve">Parameter Identification 1</w:t>
            </w:r>
            <w:r>
              <w:t xml:space="preserve">’</w:t>
            </w:r>
            <w:r>
              <w:t xml:space="preserve"> </w:t>
            </w:r>
            <w:r>
              <w:t xml:space="preserve">on 2020-01-13 15:01</w:t>
            </w:r>
          </w:p>
        </w:tc>
        <w:tc>
          <w:tcPr/>
          <w:p>
            <w:pPr>
              <w:pStyle w:val="Compact"/>
              <w:jc w:val="left"/>
            </w:pPr>
            <w:r>
              <w:t xml:space="preserve">Erythromycin base enteric coated tablet</w:t>
            </w:r>
          </w:p>
        </w:tc>
        <w:tc>
          <w:tcPr/>
          <w:p>
            <w:pPr>
              <w:pStyle w:val="Compact"/>
              <w:jc w:val="left"/>
            </w:pPr>
            <w:r>
              <w:t xml:space="preserve">False</w:t>
            </w:r>
          </w:p>
        </w:tc>
      </w:tr>
      <w:tr>
        <w:tc>
          <w:tcPr/>
          <w:p>
            <w:pPr>
              <w:pStyle w:val="Compact"/>
              <w:jc w:val="left"/>
            </w:pPr>
            <w:r>
              <w:t xml:space="preserve">Reference pH</w:t>
            </w:r>
          </w:p>
        </w:tc>
        <w:tc>
          <w:tcPr/>
          <w:p>
            <w:pPr>
              <w:pStyle w:val="Compact"/>
              <w:jc w:val="left"/>
            </w:pPr>
            <w:r>
              <w:t xml:space="preserve">7</w:t>
            </w:r>
          </w:p>
        </w:tc>
        <w:tc>
          <w:tcPr/>
          <w:p>
            <w:pPr>
              <w:pStyle w:val="Compact"/>
            </w:pPr>
          </w:p>
        </w:tc>
        <w:tc>
          <w:tcPr/>
          <w:p>
            <w:pPr>
              <w:pStyle w:val="Compact"/>
              <w:jc w:val="left"/>
            </w:pPr>
            <w:r>
              <w:t xml:space="preserve">Erythromycin base enteric coated tablet</w:t>
            </w:r>
          </w:p>
        </w:tc>
        <w:tc>
          <w:tcPr/>
          <w:p>
            <w:pPr>
              <w:pStyle w:val="Compact"/>
              <w:jc w:val="left"/>
            </w:pPr>
            <w:r>
              <w:t xml:space="preserve">False</w:t>
            </w:r>
          </w:p>
        </w:tc>
      </w:tr>
      <w:tr>
        <w:tc>
          <w:tcPr/>
          <w:p>
            <w:pPr>
              <w:pStyle w:val="Compact"/>
              <w:jc w:val="left"/>
            </w:pPr>
            <w:r>
              <w:t xml:space="preserve">Lipophilicity</w:t>
            </w:r>
          </w:p>
        </w:tc>
        <w:tc>
          <w:tcPr/>
          <w:p>
            <w:pPr>
              <w:pStyle w:val="Compact"/>
              <w:jc w:val="left"/>
            </w:pPr>
            <w:r>
              <w:t xml:space="preserve">2.82 Log Units</w:t>
            </w:r>
          </w:p>
        </w:tc>
        <w:tc>
          <w:tcPr/>
          <w:p>
            <w:pPr>
              <w:pStyle w:val="Compact"/>
              <w:jc w:val="left"/>
            </w:pPr>
            <w:r>
              <w:t xml:space="preserve">Parameter Identification-Parameter Identification-Value updated from</w:t>
            </w:r>
            <w:r>
              <w:t xml:space="preserve"> </w:t>
            </w:r>
            <w:r>
              <w:t xml:space="preserve">‘</w:t>
            </w:r>
            <w:r>
              <w:t xml:space="preserve">Parameter Identification 1</w:t>
            </w:r>
            <w:r>
              <w:t xml:space="preserve">’</w:t>
            </w:r>
            <w:r>
              <w:t xml:space="preserve"> </w:t>
            </w:r>
            <w:r>
              <w:t xml:space="preserve">on 2020-01-13 15:01</w:t>
            </w:r>
          </w:p>
        </w:tc>
        <w:tc>
          <w:tcPr/>
          <w:p>
            <w:pPr>
              <w:pStyle w:val="Compact"/>
              <w:jc w:val="left"/>
            </w:pPr>
            <w:r>
              <w:t xml:space="preserve">Literature (average value)</w:t>
            </w:r>
          </w:p>
        </w:tc>
        <w:tc>
          <w:tcPr/>
          <w:p>
            <w:pPr>
              <w:pStyle w:val="Compact"/>
              <w:jc w:val="left"/>
            </w:pPr>
            <w:r>
              <w:t xml:space="preserve">True</w:t>
            </w:r>
          </w:p>
        </w:tc>
      </w:tr>
      <w:tr>
        <w:tc>
          <w:tcPr/>
          <w:p>
            <w:pPr>
              <w:pStyle w:val="Compact"/>
              <w:jc w:val="left"/>
            </w:pPr>
            <w:r>
              <w:t xml:space="preserve">Fraction unbound (plasma, reference value)</w:t>
            </w:r>
          </w:p>
        </w:tc>
        <w:tc>
          <w:tcPr/>
          <w:p>
            <w:pPr>
              <w:pStyle w:val="Compact"/>
              <w:jc w:val="left"/>
            </w:pPr>
            <w:r>
              <w:t xml:space="preserve">0.305</w:t>
            </w:r>
          </w:p>
        </w:tc>
        <w:tc>
          <w:tcPr/>
          <w:p>
            <w:pPr>
              <w:pStyle w:val="Compact"/>
              <w:jc w:val="left"/>
            </w:pPr>
            <w:r>
              <w:t xml:space="preserve">Publication-In Vivo-PMID: 3606934</w:t>
            </w:r>
          </w:p>
        </w:tc>
        <w:tc>
          <w:tcPr/>
          <w:p>
            <w:pPr>
              <w:pStyle w:val="Compact"/>
              <w:jc w:val="left"/>
            </w:pPr>
            <w:r>
              <w:t xml:space="preserve">Barre 1987</w:t>
            </w:r>
          </w:p>
        </w:tc>
        <w:tc>
          <w:tcPr/>
          <w:p>
            <w:pPr>
              <w:pStyle w:val="Compact"/>
              <w:jc w:val="left"/>
            </w:pPr>
            <w:r>
              <w:t xml:space="preserve">True</w:t>
            </w:r>
          </w:p>
        </w:tc>
      </w:tr>
      <w:tr>
        <w:tc>
          <w:tcPr/>
          <w:p>
            <w:pPr>
              <w:pStyle w:val="Compact"/>
              <w:jc w:val="left"/>
            </w:pPr>
            <w:r>
              <w:t xml:space="preserve">Specific intestinal permeability (transcellular)</w:t>
            </w:r>
          </w:p>
        </w:tc>
        <w:tc>
          <w:tcPr/>
          <w:p>
            <w:pPr>
              <w:pStyle w:val="Compact"/>
              <w:jc w:val="left"/>
            </w:pPr>
            <w:r>
              <w:t xml:space="preserve">0.00038668371665 cm/min</w:t>
            </w:r>
          </w:p>
        </w:tc>
        <w:tc>
          <w:tcPr/>
          <w:p>
            <w:pPr>
              <w:pStyle w:val="Compact"/>
              <w:jc w:val="left"/>
            </w:pPr>
            <w:r>
              <w:t xml:space="preserve">Parameter Identification-Parameter Identification-Value updated from</w:t>
            </w:r>
            <w:r>
              <w:t xml:space="preserve"> </w:t>
            </w:r>
            <w:r>
              <w:t xml:space="preserve">‘</w:t>
            </w:r>
            <w:r>
              <w:t xml:space="preserve">Parameter Identification 1</w:t>
            </w:r>
            <w:r>
              <w:t xml:space="preserve">’</w:t>
            </w:r>
            <w:r>
              <w:t xml:space="preserve"> </w:t>
            </w:r>
            <w:r>
              <w:t xml:space="preserve">on 2020-01-13 15:01</w:t>
            </w:r>
          </w:p>
        </w:tc>
        <w:tc>
          <w:tcPr/>
          <w:p>
            <w:pPr>
              <w:pStyle w:val="Compact"/>
              <w:jc w:val="left"/>
            </w:pPr>
            <w:r>
              <w:t xml:space="preserve">Fitted</w:t>
            </w:r>
          </w:p>
        </w:tc>
        <w:tc>
          <w:tcPr/>
          <w:p>
            <w:pPr>
              <w:pStyle w:val="Compact"/>
              <w:jc w:val="left"/>
            </w:pPr>
            <w:r>
              <w:t xml:space="preserve">True</w:t>
            </w:r>
          </w:p>
        </w:tc>
      </w:tr>
      <w:tr>
        <w:tc>
          <w:tcPr/>
          <w:p>
            <w:pPr>
              <w:pStyle w:val="Compact"/>
              <w:jc w:val="left"/>
            </w:pPr>
            <w:r>
              <w:t xml:space="preserve">Is small molecule</w:t>
            </w:r>
          </w:p>
        </w:tc>
        <w:tc>
          <w:tcPr/>
          <w:p>
            <w:pPr>
              <w:pStyle w:val="Compact"/>
              <w:jc w:val="left"/>
            </w:pPr>
            <w:r>
              <w:t xml:space="preserve">Yes</w:t>
            </w:r>
          </w:p>
        </w:tc>
        <w:tc>
          <w:tcPr/>
          <w:p>
            <w:pPr>
              <w:pStyle w:val="Compact"/>
            </w:pPr>
          </w:p>
        </w:tc>
        <w:tc>
          <w:tcPr/>
          <w:p>
            <w:pPr>
              <w:pStyle w:val="Compact"/>
            </w:pPr>
          </w:p>
        </w:tc>
        <w:tc>
          <w:tcPr/>
          <w:p>
            <w:pPr>
              <w:pStyle w:val="Compact"/>
            </w:pPr>
          </w:p>
        </w:tc>
      </w:tr>
      <w:tr>
        <w:tc>
          <w:tcPr/>
          <w:p>
            <w:pPr>
              <w:pStyle w:val="Compact"/>
              <w:jc w:val="left"/>
            </w:pPr>
            <w:r>
              <w:t xml:space="preserve">Molecular weight</w:t>
            </w:r>
          </w:p>
        </w:tc>
        <w:tc>
          <w:tcPr/>
          <w:p>
            <w:pPr>
              <w:pStyle w:val="Compact"/>
              <w:jc w:val="left"/>
            </w:pPr>
            <w:r>
              <w:t xml:space="preserve">733.927 g/mol</w:t>
            </w:r>
          </w:p>
        </w:tc>
        <w:tc>
          <w:tcPr/>
          <w:p>
            <w:pPr>
              <w:pStyle w:val="Compact"/>
              <w:jc w:val="left"/>
            </w:pPr>
            <w:r>
              <w:t xml:space="preserve">Internet-drugbank.ca</w:t>
            </w:r>
          </w:p>
        </w:tc>
        <w:tc>
          <w:tcPr/>
          <w:p>
            <w:pPr>
              <w:pStyle w:val="Compact"/>
            </w:pPr>
          </w:p>
        </w:tc>
        <w:tc>
          <w:tcPr/>
          <w:p>
            <w:pPr>
              <w:pStyle w:val="Compact"/>
            </w:pPr>
          </w:p>
        </w:tc>
      </w:tr>
      <w:tr>
        <w:tc>
          <w:tcPr/>
          <w:p>
            <w:pPr>
              <w:pStyle w:val="Compact"/>
              <w:jc w:val="left"/>
            </w:pPr>
            <w:r>
              <w:t xml:space="preserve">Plasma protein binding partner</w:t>
            </w:r>
          </w:p>
        </w:tc>
        <w:tc>
          <w:tcPr/>
          <w:p>
            <w:pPr>
              <w:pStyle w:val="Compact"/>
              <w:jc w:val="left"/>
            </w:pPr>
            <w:r>
              <w:t xml:space="preserve">Unknown</w:t>
            </w:r>
          </w:p>
        </w:tc>
        <w:tc>
          <w:tcPr/>
          <w:p>
            <w:pPr>
              <w:pStyle w:val="Compact"/>
            </w:pPr>
          </w:p>
        </w:tc>
        <w:tc>
          <w:tcPr/>
          <w:p>
            <w:pPr>
              <w:pStyle w:val="Compact"/>
            </w:pPr>
          </w:p>
        </w:tc>
        <w:tc>
          <w:tcPr/>
          <w:p>
            <w:pPr>
              <w:pStyle w:val="Compact"/>
            </w:pPr>
          </w:p>
        </w:tc>
      </w:tr>
    </w:tbl>
    <w:bookmarkEnd w:id="38"/>
    <w:bookmarkStart w:id="39" w:name="calculation-methods"/>
    <w:p>
      <w:pPr>
        <w:pStyle w:val="Heading4"/>
      </w:pPr>
      <w:r>
        <w:t xml:space="preserve">Calculation methods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Name</w:t>
            </w:r>
          </w:p>
        </w:tc>
        <w:tc>
          <w:tcPr/>
          <w:p>
            <w:pPr>
              <w:pStyle w:val="Compact"/>
              <w:jc w:val="left"/>
            </w:pPr>
            <w:r>
              <w:t xml:space="preserve">Value</w:t>
            </w:r>
          </w:p>
        </w:tc>
      </w:tr>
      <w:tr>
        <w:tc>
          <w:tcPr/>
          <w:p>
            <w:pPr>
              <w:pStyle w:val="Compact"/>
              <w:jc w:val="left"/>
            </w:pPr>
            <w:r>
              <w:t xml:space="preserve">Partition coefficients</w:t>
            </w:r>
          </w:p>
        </w:tc>
        <w:tc>
          <w:tcPr/>
          <w:p>
            <w:pPr>
              <w:pStyle w:val="Compact"/>
              <w:jc w:val="left"/>
            </w:pPr>
            <w:r>
              <w:t xml:space="preserve">Rodgers and Rowland</w:t>
            </w:r>
          </w:p>
        </w:tc>
      </w:tr>
      <w:tr>
        <w:tc>
          <w:tcPr/>
          <w:p>
            <w:pPr>
              <w:pStyle w:val="Compact"/>
              <w:jc w:val="left"/>
            </w:pPr>
            <w:r>
              <w:t xml:space="preserve">Cellular permeabilities</w:t>
            </w:r>
          </w:p>
        </w:tc>
        <w:tc>
          <w:tcPr/>
          <w:p>
            <w:pPr>
              <w:pStyle w:val="Compact"/>
              <w:jc w:val="left"/>
            </w:pPr>
            <w:r>
              <w:t xml:space="preserve">Charge dependent Schmitt</w:t>
            </w:r>
          </w:p>
        </w:tc>
      </w:tr>
    </w:tbl>
    <w:bookmarkEnd w:id="39"/>
    <w:bookmarkStart w:id="52" w:name="processes"/>
    <w:p>
      <w:pPr>
        <w:pStyle w:val="Heading4"/>
      </w:pPr>
      <w:r>
        <w:t xml:space="preserve">Processes</w:t>
      </w:r>
    </w:p>
    <w:bookmarkStart w:id="41" w:name="Xe378f1eebcfe4843dcf4c98d032dcae519a9ad1"/>
    <w:p>
      <w:pPr>
        <w:pStyle w:val="Heading5"/>
      </w:pPr>
      <w:r>
        <w:t xml:space="preserve">Metabolizing Enzyme: CYP3A4-Biotransformation_fitted</w:t>
      </w:r>
    </w:p>
    <w:p>
      <w:pPr>
        <w:pStyle w:val="FirstParagraph"/>
      </w:pPr>
      <w:r>
        <w:t xml:space="preserve">Molecule: CYP3A4</w:t>
      </w:r>
    </w:p>
    <w:bookmarkStart w:id="40" w:name="parameters-1"/>
    <w:p>
      <w:pPr>
        <w:pStyle w:val="Heading6"/>
      </w:pPr>
      <w:r>
        <w:t xml:space="preserve">Parameters</w:t>
      </w:r>
    </w:p>
    <w:tbl>
      <w:tblPr>
        <w:tblStyle w:val="Table"/>
        <w:tblW w:type="pct" w:w="5000"/>
        <w:tblLook w:firstRow="1" w:lastRow="0" w:firstColumn="0" w:lastColumn="0" w:noHBand="0" w:noVBand="0" w:val="0020"/>
        <w:jc w:val="start"/>
      </w:tblPr>
      <w:tblGrid>
        <w:gridCol w:w="1612"/>
        <w:gridCol w:w="1612"/>
        <w:gridCol w:w="4695"/>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Value Origin</w:t>
            </w:r>
          </w:p>
        </w:tc>
      </w:tr>
      <w:tr>
        <w:tc>
          <w:tcPr/>
          <w:p>
            <w:pPr>
              <w:pStyle w:val="Compact"/>
              <w:jc w:val="left"/>
            </w:pPr>
            <w:r>
              <w:t xml:space="preserve">In vitro Vmax for liver microsomes</w:t>
            </w:r>
          </w:p>
        </w:tc>
        <w:tc>
          <w:tcPr/>
          <w:p>
            <w:pPr>
              <w:pStyle w:val="Compact"/>
              <w:jc w:val="left"/>
            </w:pPr>
            <w:r>
              <w:t xml:space="preserve">918.33333 pmol/min/mg mic. protein</w:t>
            </w:r>
          </w:p>
        </w:tc>
        <w:tc>
          <w:tcPr/>
          <w:p>
            <w:pPr>
              <w:pStyle w:val="Compact"/>
              <w:jc w:val="left"/>
            </w:pPr>
            <w:r>
              <w:t xml:space="preserve">Publication-In Vitro-PMID: 9566442</w:t>
            </w:r>
          </w:p>
        </w:tc>
      </w:tr>
      <w:tr>
        <w:tc>
          <w:tcPr/>
          <w:p>
            <w:pPr>
              <w:pStyle w:val="Compact"/>
              <w:jc w:val="left"/>
            </w:pPr>
            <w:r>
              <w:t xml:space="preserve">Km</w:t>
            </w:r>
          </w:p>
        </w:tc>
        <w:tc>
          <w:tcPr/>
          <w:p>
            <w:pPr>
              <w:pStyle w:val="Compact"/>
              <w:jc w:val="left"/>
            </w:pPr>
            <w:r>
              <w:t xml:space="preserve">70 µM</w:t>
            </w:r>
          </w:p>
        </w:tc>
        <w:tc>
          <w:tcPr/>
          <w:p>
            <w:pPr>
              <w:pStyle w:val="Compact"/>
              <w:jc w:val="left"/>
            </w:pPr>
            <w:r>
              <w:t xml:space="preserve">Publication-In Vitro-Average of reported values in the literature (PMID: 9107550 and PMID: 9566442)</w:t>
            </w:r>
          </w:p>
        </w:tc>
      </w:tr>
    </w:tbl>
    <w:bookmarkEnd w:id="40"/>
    <w:bookmarkEnd w:id="41"/>
    <w:bookmarkStart w:id="43" w:name="X4dd394db65ed1dd35dd7a90026be4406b41db24"/>
    <w:p>
      <w:pPr>
        <w:pStyle w:val="Heading5"/>
      </w:pPr>
      <w:r>
        <w:t xml:space="preserve">Systemic Process: Glomerular Filtration-fitted</w:t>
      </w:r>
    </w:p>
    <w:p>
      <w:pPr>
        <w:pStyle w:val="FirstParagraph"/>
      </w:pPr>
      <w:r>
        <w:t xml:space="preserve">Species: Human</w:t>
      </w:r>
    </w:p>
    <w:bookmarkStart w:id="42" w:name="parameters-2"/>
    <w:p>
      <w:pPr>
        <w:pStyle w:val="Heading6"/>
      </w:pPr>
      <w:r>
        <w:t xml:space="preserve">Parameters</w:t>
      </w:r>
    </w:p>
    <w:tbl>
      <w:tblPr>
        <w:tblStyle w:val="Table"/>
        <w:tblW w:type="pct" w:w="5000"/>
        <w:tblLook w:firstRow="1" w:lastRow="0" w:firstColumn="0" w:lastColumn="0" w:noHBand="0" w:noVBand="0" w:val="0020"/>
        <w:jc w:val="start"/>
      </w:tblPr>
      <w:tblGrid>
        <w:gridCol w:w="669"/>
        <w:gridCol w:w="725"/>
        <w:gridCol w:w="6525"/>
      </w:tblGrid>
      <w:tr>
        <w:trPr>
          <w:tblHeader w:val="true"/>
        </w:trPr>
        <w:tc>
          <w:tcPr/>
          <w:p>
            <w:pPr>
              <w:pStyle w:val="Compact"/>
              <w:jc w:val="left"/>
            </w:pPr>
            <w:r>
              <w:t xml:space="preserve">Name</w:t>
            </w:r>
          </w:p>
        </w:tc>
        <w:tc>
          <w:tcPr/>
          <w:p>
            <w:pPr>
              <w:pStyle w:val="Compact"/>
              <w:jc w:val="right"/>
            </w:pPr>
            <w:r>
              <w:t xml:space="preserve">Value</w:t>
            </w:r>
          </w:p>
        </w:tc>
        <w:tc>
          <w:tcPr/>
          <w:p>
            <w:pPr>
              <w:pStyle w:val="Compact"/>
              <w:jc w:val="left"/>
            </w:pPr>
            <w:r>
              <w:t xml:space="preserve">Value Origin</w:t>
            </w:r>
          </w:p>
        </w:tc>
      </w:tr>
      <w:tr>
        <w:tc>
          <w:tcPr/>
          <w:p>
            <w:pPr>
              <w:pStyle w:val="Compact"/>
              <w:jc w:val="left"/>
            </w:pPr>
            <w:r>
              <w:t xml:space="preserve">GFR fraction</w:t>
            </w:r>
          </w:p>
        </w:tc>
        <w:tc>
          <w:tcPr/>
          <w:p>
            <w:pPr>
              <w:pStyle w:val="Compact"/>
              <w:jc w:val="right"/>
            </w:pPr>
            <w:r>
              <w:t xml:space="preserve">1.1591081815</w:t>
            </w:r>
          </w:p>
        </w:tc>
        <w:tc>
          <w:tcPr/>
          <w:p>
            <w:pPr>
              <w:pStyle w:val="Compact"/>
              <w:jc w:val="left"/>
            </w:pPr>
            <w:r>
              <w:t xml:space="preserve">Parameter Identification-Parameter Identification-Value updated from</w:t>
            </w:r>
            <w:r>
              <w:t xml:space="preserve"> </w:t>
            </w:r>
            <w:r>
              <w:t xml:space="preserve">‘</w:t>
            </w:r>
            <w:r>
              <w:t xml:space="preserve">Parameter Identification 1</w:t>
            </w:r>
            <w:r>
              <w:t xml:space="preserve">’</w:t>
            </w:r>
            <w:r>
              <w:t xml:space="preserve"> </w:t>
            </w:r>
            <w:r>
              <w:t xml:space="preserve">on 2020-01-13 15:01</w:t>
            </w:r>
          </w:p>
        </w:tc>
      </w:tr>
    </w:tbl>
    <w:bookmarkEnd w:id="42"/>
    <w:bookmarkEnd w:id="43"/>
    <w:bookmarkStart w:id="45" w:name="inhibition-cyp3a4-mbi"/>
    <w:p>
      <w:pPr>
        <w:pStyle w:val="Heading5"/>
      </w:pPr>
      <w:r>
        <w:t xml:space="preserve">Inhibition: CYP3A4-MBI</w:t>
      </w:r>
    </w:p>
    <w:p>
      <w:pPr>
        <w:pStyle w:val="FirstParagraph"/>
      </w:pPr>
      <w:r>
        <w:t xml:space="preserve">Molecule: CYP3A4</w:t>
      </w:r>
    </w:p>
    <w:bookmarkStart w:id="44" w:name="parameters-3"/>
    <w:p>
      <w:pPr>
        <w:pStyle w:val="Heading6"/>
      </w:pPr>
      <w:r>
        <w:t xml:space="preserve">Parameters</w:t>
      </w:r>
    </w:p>
    <w:tbl>
      <w:tblPr>
        <w:tblStyle w:val="Table"/>
        <w:tblW w:type="pct" w:w="5000"/>
        <w:tblLook w:firstRow="1" w:lastRow="0" w:firstColumn="0" w:lastColumn="0" w:noHBand="0" w:noVBand="0" w:val="0020"/>
        <w:jc w:val="start"/>
      </w:tblPr>
      <w:tblGrid>
        <w:gridCol w:w="691"/>
        <w:gridCol w:w="1009"/>
        <w:gridCol w:w="6219"/>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Value Origin</w:t>
            </w:r>
          </w:p>
        </w:tc>
      </w:tr>
      <w:tr>
        <w:tc>
          <w:tcPr/>
          <w:p>
            <w:pPr>
              <w:pStyle w:val="Compact"/>
              <w:jc w:val="left"/>
            </w:pPr>
            <w:r>
              <w:t xml:space="preserve">kinact</w:t>
            </w:r>
          </w:p>
        </w:tc>
        <w:tc>
          <w:tcPr/>
          <w:p>
            <w:pPr>
              <w:pStyle w:val="Compact"/>
              <w:jc w:val="left"/>
            </w:pPr>
            <w:r>
              <w:t xml:space="preserve">0.0296261146 1/min</w:t>
            </w:r>
          </w:p>
        </w:tc>
        <w:tc>
          <w:tcPr/>
          <w:p>
            <w:pPr>
              <w:pStyle w:val="Compact"/>
              <w:jc w:val="left"/>
            </w:pPr>
            <w:r>
              <w:t xml:space="preserve">Parameter Identification-Parameter Identification-Value updated from</w:t>
            </w:r>
            <w:r>
              <w:t xml:space="preserve"> </w:t>
            </w:r>
            <w:r>
              <w:t xml:space="preserve">‘</w:t>
            </w:r>
            <w:r>
              <w:t xml:space="preserve">Parameter Identification 1</w:t>
            </w:r>
            <w:r>
              <w:t xml:space="preserve">’</w:t>
            </w:r>
            <w:r>
              <w:t xml:space="preserve"> </w:t>
            </w:r>
            <w:r>
              <w:t xml:space="preserve">on 2020-01-13 15:01</w:t>
            </w:r>
          </w:p>
        </w:tc>
      </w:tr>
      <w:tr>
        <w:tc>
          <w:tcPr/>
          <w:p>
            <w:pPr>
              <w:pStyle w:val="Compact"/>
              <w:jc w:val="left"/>
            </w:pPr>
            <w:r>
              <w:t xml:space="preserve">K_kinact_half</w:t>
            </w:r>
          </w:p>
        </w:tc>
        <w:tc>
          <w:tcPr/>
          <w:p>
            <w:pPr>
              <w:pStyle w:val="Compact"/>
              <w:jc w:val="left"/>
            </w:pPr>
            <w:r>
              <w:t xml:space="preserve">7.6007360452 µmol/l</w:t>
            </w:r>
          </w:p>
        </w:tc>
        <w:tc>
          <w:tcPr/>
          <w:p>
            <w:pPr>
              <w:pStyle w:val="Compact"/>
              <w:jc w:val="left"/>
            </w:pPr>
            <w:r>
              <w:t xml:space="preserve">Parameter Identification-Parameter Identification-Value updated from</w:t>
            </w:r>
            <w:r>
              <w:t xml:space="preserve"> </w:t>
            </w:r>
            <w:r>
              <w:t xml:space="preserve">‘</w:t>
            </w:r>
            <w:r>
              <w:t xml:space="preserve">Parameter Identification 1</w:t>
            </w:r>
            <w:r>
              <w:t xml:space="preserve">’</w:t>
            </w:r>
            <w:r>
              <w:t xml:space="preserve"> </w:t>
            </w:r>
            <w:r>
              <w:t xml:space="preserve">on 2020-01-13 15:01</w:t>
            </w:r>
          </w:p>
        </w:tc>
      </w:tr>
    </w:tbl>
    <w:bookmarkEnd w:id="44"/>
    <w:bookmarkEnd w:id="45"/>
    <w:bookmarkStart w:id="47" w:name="transport-protein-oatp1b1-fitted"/>
    <w:p>
      <w:pPr>
        <w:pStyle w:val="Heading5"/>
      </w:pPr>
      <w:r>
        <w:t xml:space="preserve">Transport Protein: OATP1B1-fitted</w:t>
      </w:r>
    </w:p>
    <w:p>
      <w:pPr>
        <w:pStyle w:val="FirstParagraph"/>
      </w:pPr>
      <w:r>
        <w:t xml:space="preserve">Molecule: OATP1B1</w:t>
      </w:r>
    </w:p>
    <w:bookmarkStart w:id="46" w:name="parameters-4"/>
    <w:p>
      <w:pPr>
        <w:pStyle w:val="Heading6"/>
      </w:pPr>
      <w:r>
        <w:t xml:space="preserve">Parameters</w:t>
      </w:r>
    </w:p>
    <w:tbl>
      <w:tblPr>
        <w:tblStyle w:val="Table"/>
        <w:tblW w:type="pct" w:w="5000"/>
        <w:tblLook w:firstRow="1" w:lastRow="0" w:firstColumn="0" w:lastColumn="0" w:noHBand="0" w:noVBand="0" w:val="0020"/>
        <w:jc w:val="start"/>
      </w:tblPr>
      <w:tblGrid>
        <w:gridCol w:w="1237"/>
        <w:gridCol w:w="891"/>
        <w:gridCol w:w="5791"/>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Value Origin</w:t>
            </w:r>
          </w:p>
        </w:tc>
      </w:tr>
      <w:tr>
        <w:tc>
          <w:tcPr/>
          <w:p>
            <w:pPr>
              <w:pStyle w:val="Compact"/>
              <w:jc w:val="left"/>
            </w:pPr>
            <w:r>
              <w:t xml:space="preserve">Transporter concentration</w:t>
            </w:r>
          </w:p>
        </w:tc>
        <w:tc>
          <w:tcPr/>
          <w:p>
            <w:pPr>
              <w:pStyle w:val="Compact"/>
              <w:jc w:val="left"/>
            </w:pPr>
            <w:r>
              <w:t xml:space="preserve">1 µmol/l</w:t>
            </w:r>
          </w:p>
        </w:tc>
        <w:tc>
          <w:tcPr/>
          <w:p>
            <w:pPr>
              <w:pStyle w:val="Compact"/>
            </w:pPr>
          </w:p>
        </w:tc>
      </w:tr>
      <w:tr>
        <w:tc>
          <w:tcPr/>
          <w:p>
            <w:pPr>
              <w:pStyle w:val="Compact"/>
              <w:jc w:val="left"/>
            </w:pPr>
            <w:r>
              <w:t xml:space="preserve">Vmax</w:t>
            </w:r>
          </w:p>
        </w:tc>
        <w:tc>
          <w:tcPr/>
          <w:p>
            <w:pPr>
              <w:pStyle w:val="Compact"/>
              <w:jc w:val="left"/>
            </w:pPr>
            <w:r>
              <w:t xml:space="preserve">11.66 pmol/ml/min</w:t>
            </w:r>
          </w:p>
        </w:tc>
        <w:tc>
          <w:tcPr/>
          <w:p>
            <w:pPr>
              <w:pStyle w:val="Compact"/>
              <w:jc w:val="left"/>
            </w:pPr>
            <w:r>
              <w:t xml:space="preserve">Publication-In Vitro-PMID: 22990751</w:t>
            </w:r>
          </w:p>
        </w:tc>
      </w:tr>
      <w:tr>
        <w:tc>
          <w:tcPr/>
          <w:p>
            <w:pPr>
              <w:pStyle w:val="Compact"/>
              <w:jc w:val="left"/>
            </w:pPr>
            <w:r>
              <w:t xml:space="preserve">Km</w:t>
            </w:r>
          </w:p>
        </w:tc>
        <w:tc>
          <w:tcPr/>
          <w:p>
            <w:pPr>
              <w:pStyle w:val="Compact"/>
              <w:jc w:val="left"/>
            </w:pPr>
            <w:r>
              <w:t xml:space="preserve">0.735836485 µmol/l</w:t>
            </w:r>
          </w:p>
        </w:tc>
        <w:tc>
          <w:tcPr/>
          <w:p>
            <w:pPr>
              <w:pStyle w:val="Compact"/>
              <w:jc w:val="left"/>
            </w:pPr>
            <w:r>
              <w:t xml:space="preserve">Parameter Identification-Parameter Identification-Value updated from</w:t>
            </w:r>
            <w:r>
              <w:t xml:space="preserve"> </w:t>
            </w:r>
            <w:r>
              <w:t xml:space="preserve">‘</w:t>
            </w:r>
            <w:r>
              <w:t xml:space="preserve">Parameter Identification 1</w:t>
            </w:r>
            <w:r>
              <w:t xml:space="preserve">’</w:t>
            </w:r>
            <w:r>
              <w:t xml:space="preserve"> </w:t>
            </w:r>
            <w:r>
              <w:t xml:space="preserve">on 2020-01-13 15:01</w:t>
            </w:r>
          </w:p>
        </w:tc>
      </w:tr>
      <w:tr>
        <w:tc>
          <w:tcPr/>
          <w:p>
            <w:pPr>
              <w:pStyle w:val="Compact"/>
              <w:jc w:val="left"/>
            </w:pPr>
            <w:r>
              <w:t xml:space="preserve">kcat</w:t>
            </w:r>
          </w:p>
        </w:tc>
        <w:tc>
          <w:tcPr/>
          <w:p>
            <w:pPr>
              <w:pStyle w:val="Compact"/>
              <w:jc w:val="left"/>
            </w:pPr>
            <w:r>
              <w:t xml:space="preserve">1.350032201 1/min</w:t>
            </w:r>
          </w:p>
        </w:tc>
        <w:tc>
          <w:tcPr/>
          <w:p>
            <w:pPr>
              <w:pStyle w:val="Compact"/>
              <w:jc w:val="left"/>
            </w:pPr>
            <w:r>
              <w:t xml:space="preserve">Parameter Identification-Parameter Identification-Value updated from</w:t>
            </w:r>
            <w:r>
              <w:t xml:space="preserve"> </w:t>
            </w:r>
            <w:r>
              <w:t xml:space="preserve">‘</w:t>
            </w:r>
            <w:r>
              <w:t xml:space="preserve">Parameter Identification 1</w:t>
            </w:r>
            <w:r>
              <w:t xml:space="preserve">’</w:t>
            </w:r>
            <w:r>
              <w:t xml:space="preserve"> </w:t>
            </w:r>
            <w:r>
              <w:t xml:space="preserve">on 2020-01-13 15:01</w:t>
            </w:r>
          </w:p>
        </w:tc>
      </w:tr>
    </w:tbl>
    <w:bookmarkEnd w:id="46"/>
    <w:bookmarkEnd w:id="47"/>
    <w:bookmarkStart w:id="49" w:name="X956bc3a6d8ae9e8614f0b864e7750d7e6a5ae3b"/>
    <w:p>
      <w:pPr>
        <w:pStyle w:val="Heading5"/>
      </w:pPr>
      <w:r>
        <w:t xml:space="preserve">Systemic Process: Total Hepatic Clearance-fitted</w:t>
      </w:r>
    </w:p>
    <w:p>
      <w:pPr>
        <w:pStyle w:val="FirstParagraph"/>
      </w:pPr>
      <w:r>
        <w:t xml:space="preserve">Species: Human</w:t>
      </w:r>
    </w:p>
    <w:bookmarkStart w:id="48" w:name="parameters-5"/>
    <w:p>
      <w:pPr>
        <w:pStyle w:val="Heading6"/>
      </w:pPr>
      <w:r>
        <w:t xml:space="preserve">Parameters</w:t>
      </w:r>
    </w:p>
    <w:tbl>
      <w:tblPr>
        <w:tblStyle w:val="Table"/>
        <w:tblW w:type="pct" w:w="5000"/>
        <w:tblLook w:firstRow="1" w:lastRow="0" w:firstColumn="0" w:lastColumn="0" w:noHBand="0" w:noVBand="0" w:val="0020"/>
        <w:jc w:val="start"/>
      </w:tblPr>
      <w:tblGrid>
        <w:gridCol w:w="1400"/>
        <w:gridCol w:w="869"/>
        <w:gridCol w:w="5650"/>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Value Origin</w:t>
            </w:r>
          </w:p>
        </w:tc>
      </w:tr>
      <w:tr>
        <w:tc>
          <w:tcPr/>
          <w:p>
            <w:pPr>
              <w:pStyle w:val="Compact"/>
              <w:jc w:val="left"/>
            </w:pPr>
            <w:r>
              <w:t xml:space="preserve">Fraction unbound (experiment)</w:t>
            </w:r>
          </w:p>
        </w:tc>
        <w:tc>
          <w:tcPr/>
          <w:p>
            <w:pPr>
              <w:pStyle w:val="Compact"/>
              <w:jc w:val="left"/>
            </w:pPr>
            <w:r>
              <w:t xml:space="preserve">0.305</w:t>
            </w:r>
          </w:p>
        </w:tc>
        <w:tc>
          <w:tcPr/>
          <w:p>
            <w:pPr>
              <w:pStyle w:val="Compact"/>
            </w:pPr>
          </w:p>
        </w:tc>
      </w:tr>
      <w:tr>
        <w:tc>
          <w:tcPr/>
          <w:p>
            <w:pPr>
              <w:pStyle w:val="Compact"/>
              <w:jc w:val="left"/>
            </w:pPr>
            <w:r>
              <w:t xml:space="preserve">Lipophilicity (experiment)</w:t>
            </w:r>
          </w:p>
        </w:tc>
        <w:tc>
          <w:tcPr/>
          <w:p>
            <w:pPr>
              <w:pStyle w:val="Compact"/>
              <w:jc w:val="left"/>
            </w:pPr>
            <w:r>
              <w:t xml:space="preserve">2.48 Log Units</w:t>
            </w:r>
          </w:p>
        </w:tc>
        <w:tc>
          <w:tcPr/>
          <w:p>
            <w:pPr>
              <w:pStyle w:val="Compact"/>
            </w:pPr>
          </w:p>
        </w:tc>
      </w:tr>
      <w:tr>
        <w:tc>
          <w:tcPr/>
          <w:p>
            <w:pPr>
              <w:pStyle w:val="Compact"/>
              <w:jc w:val="left"/>
            </w:pPr>
            <w:r>
              <w:t xml:space="preserve">Plasma clearance</w:t>
            </w:r>
          </w:p>
        </w:tc>
        <w:tc>
          <w:tcPr/>
          <w:p>
            <w:pPr>
              <w:pStyle w:val="Compact"/>
              <w:jc w:val="left"/>
            </w:pPr>
            <w:r>
              <w:t xml:space="preserve">0 ml/min/kg</w:t>
            </w:r>
          </w:p>
        </w:tc>
        <w:tc>
          <w:tcPr/>
          <w:p>
            <w:pPr>
              <w:pStyle w:val="Compact"/>
            </w:pPr>
          </w:p>
        </w:tc>
      </w:tr>
      <w:tr>
        <w:tc>
          <w:tcPr/>
          <w:p>
            <w:pPr>
              <w:pStyle w:val="Compact"/>
              <w:jc w:val="left"/>
            </w:pPr>
            <w:r>
              <w:t xml:space="preserve">Specific clearance</w:t>
            </w:r>
          </w:p>
        </w:tc>
        <w:tc>
          <w:tcPr/>
          <w:p>
            <w:pPr>
              <w:pStyle w:val="Compact"/>
              <w:jc w:val="left"/>
            </w:pPr>
            <w:r>
              <w:t xml:space="preserve">4.1462183378 1/min</w:t>
            </w:r>
          </w:p>
        </w:tc>
        <w:tc>
          <w:tcPr/>
          <w:p>
            <w:pPr>
              <w:pStyle w:val="Compact"/>
              <w:jc w:val="left"/>
            </w:pPr>
            <w:r>
              <w:t xml:space="preserve">Parameter Identification-Parameter Identification-Value updated from</w:t>
            </w:r>
            <w:r>
              <w:t xml:space="preserve"> </w:t>
            </w:r>
            <w:r>
              <w:t xml:space="preserve">‘</w:t>
            </w:r>
            <w:r>
              <w:t xml:space="preserve">Parameter Identification 1</w:t>
            </w:r>
            <w:r>
              <w:t xml:space="preserve">’</w:t>
            </w:r>
            <w:r>
              <w:t xml:space="preserve"> </w:t>
            </w:r>
            <w:r>
              <w:t xml:space="preserve">on 2020-01-13 15:01</w:t>
            </w:r>
          </w:p>
        </w:tc>
      </w:tr>
    </w:tbl>
    <w:bookmarkEnd w:id="48"/>
    <w:bookmarkEnd w:id="49"/>
    <w:bookmarkStart w:id="51" w:name="inhibition-p-gp-eberl2007"/>
    <w:p>
      <w:pPr>
        <w:pStyle w:val="Heading5"/>
      </w:pPr>
      <w:r>
        <w:t xml:space="preserve">Inhibition: P-gp-Eberl2007</w:t>
      </w:r>
    </w:p>
    <w:p>
      <w:pPr>
        <w:pStyle w:val="FirstParagraph"/>
      </w:pPr>
      <w:r>
        <w:t xml:space="preserve">Molecule: P-gp</w:t>
      </w:r>
    </w:p>
    <w:bookmarkStart w:id="50" w:name="parameters-6"/>
    <w:p>
      <w:pPr>
        <w:pStyle w:val="Heading6"/>
      </w:pPr>
      <w:r>
        <w:t xml:space="preserve">Parameters</w:t>
      </w:r>
    </w:p>
    <w:tbl>
      <w:tblPr>
        <w:tblStyle w:val="Table"/>
        <w:tblW w:type="pct" w:w="5000"/>
        <w:tblLook w:firstRow="1" w:lastRow="0" w:firstColumn="0" w:lastColumn="0" w:noHBand="0" w:noVBand="0" w:val="0020"/>
        <w:jc w:val="start"/>
      </w:tblPr>
      <w:tblGrid>
        <w:gridCol w:w="79"/>
        <w:gridCol w:w="218"/>
        <w:gridCol w:w="7621"/>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Value Origin</w:t>
            </w:r>
          </w:p>
        </w:tc>
      </w:tr>
      <w:tr>
        <w:tc>
          <w:tcPr/>
          <w:p>
            <w:pPr>
              <w:pStyle w:val="Compact"/>
              <w:jc w:val="left"/>
            </w:pPr>
            <w:r>
              <w:t xml:space="preserve">Ki</w:t>
            </w:r>
          </w:p>
        </w:tc>
        <w:tc>
          <w:tcPr/>
          <w:p>
            <w:pPr>
              <w:pStyle w:val="Compact"/>
              <w:jc w:val="left"/>
            </w:pPr>
            <w:r>
              <w:t xml:space="preserve">22.7 µmol/l</w:t>
            </w:r>
          </w:p>
        </w:tc>
        <w:tc>
          <w:tcPr/>
          <w:p>
            <w:pPr>
              <w:pStyle w:val="Compact"/>
              <w:jc w:val="left"/>
            </w:pPr>
            <w:r>
              <w:t xml:space="preserve">Publication-Eberl S, Renner B, Neubert A, Reisig M, Bachmakov I, König J, Dörje F, Mürdter TE, Ackermann A, Dormann H, Gassmann KG, Hahn EG, Zierhut S, Brune K, Fromm MF. Role of p-glycoprotein inhibition for drug interactions: evidence from in vitro and pharmacoepidemiological studies. Clin Pharmacokinet. 2007;46(12):1039-49. doi: 10.2165/00003088-200746120-00004. PMID: 18027988.</w:t>
            </w:r>
          </w:p>
        </w:tc>
      </w:tr>
    </w:tbl>
    <w:bookmarkEnd w:id="50"/>
    <w:bookmarkEnd w:id="51"/>
    <w:bookmarkEnd w:id="52"/>
    <w:bookmarkEnd w:id="53"/>
    <w:bookmarkStart w:id="55" w:name="Xbbccdc0f8321bd1fa48ba952a51b7bfff3ebd82"/>
    <w:p>
      <w:pPr>
        <w:pStyle w:val="Heading3"/>
      </w:pPr>
      <w:r>
        <w:t xml:space="preserve">Formulation: Erythromycin_Weibull_enteric-coated-pellets</w:t>
      </w:r>
    </w:p>
    <w:p>
      <w:pPr>
        <w:pStyle w:val="FirstParagraph"/>
      </w:pPr>
      <w:r>
        <w:t xml:space="preserve">Type: Weibull</w:t>
      </w:r>
    </w:p>
    <w:bookmarkStart w:id="54" w:name="parameters-7"/>
    <w:p>
      <w:pPr>
        <w:pStyle w:val="Heading4"/>
      </w:pPr>
      <w:r>
        <w:t xml:space="preserve">Parameters</w:t>
      </w:r>
    </w:p>
    <w:tbl>
      <w:tblPr>
        <w:tblStyle w:val="Table"/>
        <w:tblW w:type="pct" w:w="5000"/>
        <w:tblLook w:firstRow="1" w:lastRow="0" w:firstColumn="0" w:lastColumn="0" w:noHBand="0" w:noVBand="0" w:val="0020"/>
        <w:jc w:val="start"/>
      </w:tblPr>
      <w:tblGrid>
        <w:gridCol w:w="1526"/>
        <w:gridCol w:w="811"/>
        <w:gridCol w:w="5582"/>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Value Origin</w:t>
            </w:r>
          </w:p>
        </w:tc>
      </w:tr>
      <w:tr>
        <w:tc>
          <w:tcPr/>
          <w:p>
            <w:pPr>
              <w:pStyle w:val="Compact"/>
              <w:jc w:val="left"/>
            </w:pPr>
            <w:r>
              <w:t xml:space="preserve">Dissolution time (50% dissolved)</w:t>
            </w:r>
          </w:p>
        </w:tc>
        <w:tc>
          <w:tcPr/>
          <w:p>
            <w:pPr>
              <w:pStyle w:val="Compact"/>
              <w:jc w:val="left"/>
            </w:pPr>
            <w:r>
              <w:t xml:space="preserve">1.7462743767 min</w:t>
            </w:r>
          </w:p>
        </w:tc>
        <w:tc>
          <w:tcPr/>
          <w:p>
            <w:pPr>
              <w:pStyle w:val="Compact"/>
              <w:jc w:val="left"/>
            </w:pPr>
            <w:r>
              <w:t xml:space="preserve">Parameter Identification-Parameter Identification-Value updated from</w:t>
            </w:r>
            <w:r>
              <w:t xml:space="preserve"> </w:t>
            </w:r>
            <w:r>
              <w:t xml:space="preserve">‘</w:t>
            </w:r>
            <w:r>
              <w:t xml:space="preserve">Parameter Identification 1</w:t>
            </w:r>
            <w:r>
              <w:t xml:space="preserve">’</w:t>
            </w:r>
            <w:r>
              <w:t xml:space="preserve"> </w:t>
            </w:r>
            <w:r>
              <w:t xml:space="preserve">on 2020-01-13 15:01</w:t>
            </w:r>
          </w:p>
        </w:tc>
      </w:tr>
      <w:tr>
        <w:tc>
          <w:tcPr/>
          <w:p>
            <w:pPr>
              <w:pStyle w:val="Compact"/>
              <w:jc w:val="left"/>
            </w:pPr>
            <w:r>
              <w:t xml:space="preserve">Lag time</w:t>
            </w:r>
          </w:p>
        </w:tc>
        <w:tc>
          <w:tcPr/>
          <w:p>
            <w:pPr>
              <w:pStyle w:val="Compact"/>
              <w:jc w:val="left"/>
            </w:pPr>
            <w:r>
              <w:t xml:space="preserve">54.3490442506 min</w:t>
            </w:r>
          </w:p>
        </w:tc>
        <w:tc>
          <w:tcPr/>
          <w:p>
            <w:pPr>
              <w:pStyle w:val="Compact"/>
              <w:jc w:val="left"/>
            </w:pPr>
            <w:r>
              <w:t xml:space="preserve">Parameter Identification-Parameter Identification-Value updated from</w:t>
            </w:r>
            <w:r>
              <w:t xml:space="preserve"> </w:t>
            </w:r>
            <w:r>
              <w:t xml:space="preserve">‘</w:t>
            </w:r>
            <w:r>
              <w:t xml:space="preserve">Parameter Identification 1</w:t>
            </w:r>
            <w:r>
              <w:t xml:space="preserve">’</w:t>
            </w:r>
            <w:r>
              <w:t xml:space="preserve"> </w:t>
            </w:r>
            <w:r>
              <w:t xml:space="preserve">on 2020-01-13 15:01</w:t>
            </w:r>
          </w:p>
        </w:tc>
      </w:tr>
      <w:tr>
        <w:tc>
          <w:tcPr/>
          <w:p>
            <w:pPr>
              <w:pStyle w:val="Compact"/>
              <w:jc w:val="left"/>
            </w:pPr>
            <w:r>
              <w:t xml:space="preserve">Dissolution shape</w:t>
            </w:r>
          </w:p>
        </w:tc>
        <w:tc>
          <w:tcPr/>
          <w:p>
            <w:pPr>
              <w:pStyle w:val="Compact"/>
              <w:jc w:val="left"/>
            </w:pPr>
            <w:r>
              <w:t xml:space="preserve">1.0564916105</w:t>
            </w:r>
          </w:p>
        </w:tc>
        <w:tc>
          <w:tcPr/>
          <w:p>
            <w:pPr>
              <w:pStyle w:val="Compact"/>
              <w:jc w:val="left"/>
            </w:pPr>
            <w:r>
              <w:t xml:space="preserve">Parameter Identification-Parameter Identification-Value updated from</w:t>
            </w:r>
            <w:r>
              <w:t xml:space="preserve"> </w:t>
            </w:r>
            <w:r>
              <w:t xml:space="preserve">‘</w:t>
            </w:r>
            <w:r>
              <w:t xml:space="preserve">Parameter Identification 1</w:t>
            </w:r>
            <w:r>
              <w:t xml:space="preserve">’</w:t>
            </w:r>
            <w:r>
              <w:t xml:space="preserve"> </w:t>
            </w:r>
            <w:r>
              <w:t xml:space="preserve">on 2020-01-13 15:01</w:t>
            </w:r>
          </w:p>
        </w:tc>
      </w:tr>
      <w:tr>
        <w:tc>
          <w:tcPr/>
          <w:p>
            <w:pPr>
              <w:pStyle w:val="Compact"/>
              <w:jc w:val="left"/>
            </w:pPr>
            <w:r>
              <w:t xml:space="preserve">Use as suspension</w:t>
            </w:r>
          </w:p>
        </w:tc>
        <w:tc>
          <w:tcPr/>
          <w:p>
            <w:pPr>
              <w:pStyle w:val="Compact"/>
              <w:jc w:val="left"/>
            </w:pPr>
            <w:r>
              <w:t xml:space="preserve">Yes</w:t>
            </w:r>
          </w:p>
        </w:tc>
        <w:tc>
          <w:tcPr/>
          <w:p>
            <w:pPr>
              <w:pStyle w:val="Compact"/>
            </w:pPr>
          </w:p>
        </w:tc>
      </w:tr>
    </w:tbl>
    <w:bookmarkEnd w:id="54"/>
    <w:bookmarkEnd w:id="55"/>
    <w:bookmarkStart w:id="57" w:name="X64fa5b1d3577e7ef51c83a463378e92d7ff65c0"/>
    <w:p>
      <w:pPr>
        <w:pStyle w:val="Heading3"/>
      </w:pPr>
      <w:r>
        <w:t xml:space="preserve">Formulation: Erythromycin_Weibull_enteric-coated-tablet</w:t>
      </w:r>
    </w:p>
    <w:p>
      <w:pPr>
        <w:pStyle w:val="FirstParagraph"/>
      </w:pPr>
      <w:r>
        <w:t xml:space="preserve">Type: Weibull</w:t>
      </w:r>
    </w:p>
    <w:bookmarkStart w:id="56" w:name="parameters-8"/>
    <w:p>
      <w:pPr>
        <w:pStyle w:val="Heading4"/>
      </w:pPr>
      <w:r>
        <w:t xml:space="preserve">Parameters</w:t>
      </w:r>
    </w:p>
    <w:tbl>
      <w:tblPr>
        <w:tblStyle w:val="Table"/>
        <w:tblW w:type="pct" w:w="5000"/>
        <w:tblLook w:firstRow="1" w:lastRow="0" w:firstColumn="0" w:lastColumn="0" w:noHBand="0" w:noVBand="0" w:val="0020"/>
        <w:jc w:val="start"/>
      </w:tblPr>
      <w:tblGrid>
        <w:gridCol w:w="1526"/>
        <w:gridCol w:w="811"/>
        <w:gridCol w:w="5582"/>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Value Origin</w:t>
            </w:r>
          </w:p>
        </w:tc>
      </w:tr>
      <w:tr>
        <w:tc>
          <w:tcPr/>
          <w:p>
            <w:pPr>
              <w:pStyle w:val="Compact"/>
              <w:jc w:val="left"/>
            </w:pPr>
            <w:r>
              <w:t xml:space="preserve">Dissolution time (50% dissolved)</w:t>
            </w:r>
          </w:p>
        </w:tc>
        <w:tc>
          <w:tcPr/>
          <w:p>
            <w:pPr>
              <w:pStyle w:val="Compact"/>
              <w:jc w:val="left"/>
            </w:pPr>
            <w:r>
              <w:t xml:space="preserve">79.6337524677 min</w:t>
            </w:r>
          </w:p>
        </w:tc>
        <w:tc>
          <w:tcPr/>
          <w:p>
            <w:pPr>
              <w:pStyle w:val="Compact"/>
              <w:jc w:val="left"/>
            </w:pPr>
            <w:r>
              <w:t xml:space="preserve">Parameter Identification-Parameter Identification-Value updated from</w:t>
            </w:r>
            <w:r>
              <w:t xml:space="preserve"> </w:t>
            </w:r>
            <w:r>
              <w:t xml:space="preserve">‘</w:t>
            </w:r>
            <w:r>
              <w:t xml:space="preserve">Parameter Identification 1</w:t>
            </w:r>
            <w:r>
              <w:t xml:space="preserve">’</w:t>
            </w:r>
            <w:r>
              <w:t xml:space="preserve"> </w:t>
            </w:r>
            <w:r>
              <w:t xml:space="preserve">on 2020-01-13 15:01</w:t>
            </w:r>
          </w:p>
        </w:tc>
      </w:tr>
      <w:tr>
        <w:tc>
          <w:tcPr/>
          <w:p>
            <w:pPr>
              <w:pStyle w:val="Compact"/>
              <w:jc w:val="left"/>
            </w:pPr>
            <w:r>
              <w:t xml:space="preserve">Lag time</w:t>
            </w:r>
          </w:p>
        </w:tc>
        <w:tc>
          <w:tcPr/>
          <w:p>
            <w:pPr>
              <w:pStyle w:val="Compact"/>
              <w:jc w:val="left"/>
            </w:pPr>
            <w:r>
              <w:t xml:space="preserve">78.7967495765 min</w:t>
            </w:r>
          </w:p>
        </w:tc>
        <w:tc>
          <w:tcPr/>
          <w:p>
            <w:pPr>
              <w:pStyle w:val="Compact"/>
              <w:jc w:val="left"/>
            </w:pPr>
            <w:r>
              <w:t xml:space="preserve">Parameter Identification-Parameter Identification-Value updated from</w:t>
            </w:r>
            <w:r>
              <w:t xml:space="preserve"> </w:t>
            </w:r>
            <w:r>
              <w:t xml:space="preserve">‘</w:t>
            </w:r>
            <w:r>
              <w:t xml:space="preserve">Parameter Identification 1</w:t>
            </w:r>
            <w:r>
              <w:t xml:space="preserve">’</w:t>
            </w:r>
            <w:r>
              <w:t xml:space="preserve"> </w:t>
            </w:r>
            <w:r>
              <w:t xml:space="preserve">on 2020-01-13 15:01</w:t>
            </w:r>
          </w:p>
        </w:tc>
      </w:tr>
      <w:tr>
        <w:tc>
          <w:tcPr/>
          <w:p>
            <w:pPr>
              <w:pStyle w:val="Compact"/>
              <w:jc w:val="left"/>
            </w:pPr>
            <w:r>
              <w:t xml:space="preserve">Dissolution shape</w:t>
            </w:r>
          </w:p>
        </w:tc>
        <w:tc>
          <w:tcPr/>
          <w:p>
            <w:pPr>
              <w:pStyle w:val="Compact"/>
              <w:jc w:val="left"/>
            </w:pPr>
            <w:r>
              <w:t xml:space="preserve">1.0838799888</w:t>
            </w:r>
          </w:p>
        </w:tc>
        <w:tc>
          <w:tcPr/>
          <w:p>
            <w:pPr>
              <w:pStyle w:val="Compact"/>
              <w:jc w:val="left"/>
            </w:pPr>
            <w:r>
              <w:t xml:space="preserve">Parameter Identification-Parameter Identification-Value updated from</w:t>
            </w:r>
            <w:r>
              <w:t xml:space="preserve"> </w:t>
            </w:r>
            <w:r>
              <w:t xml:space="preserve">‘</w:t>
            </w:r>
            <w:r>
              <w:t xml:space="preserve">Parameter Identification 1</w:t>
            </w:r>
            <w:r>
              <w:t xml:space="preserve">’</w:t>
            </w:r>
            <w:r>
              <w:t xml:space="preserve"> </w:t>
            </w:r>
            <w:r>
              <w:t xml:space="preserve">on 2020-01-13 15:01</w:t>
            </w:r>
          </w:p>
        </w:tc>
      </w:tr>
      <w:tr>
        <w:tc>
          <w:tcPr/>
          <w:p>
            <w:pPr>
              <w:pStyle w:val="Compact"/>
              <w:jc w:val="left"/>
            </w:pPr>
            <w:r>
              <w:t xml:space="preserve">Use as suspension</w:t>
            </w:r>
          </w:p>
        </w:tc>
        <w:tc>
          <w:tcPr/>
          <w:p>
            <w:pPr>
              <w:pStyle w:val="Compact"/>
              <w:jc w:val="left"/>
            </w:pPr>
            <w:r>
              <w:t xml:space="preserve">Yes</w:t>
            </w:r>
          </w:p>
        </w:tc>
        <w:tc>
          <w:tcPr/>
          <w:p>
            <w:pPr>
              <w:pStyle w:val="Compact"/>
            </w:pPr>
          </w:p>
        </w:tc>
      </w:tr>
    </w:tbl>
    <w:bookmarkEnd w:id="56"/>
    <w:bookmarkEnd w:id="57"/>
    <w:bookmarkStart w:id="59" w:name="X22ff41599552acbee833e282f8ad91430bf3271"/>
    <w:p>
      <w:pPr>
        <w:pStyle w:val="Heading3"/>
      </w:pPr>
      <w:r>
        <w:t xml:space="preserve">Formulation: Erythromycin_Weibull_filmtablet</w:t>
      </w:r>
    </w:p>
    <w:p>
      <w:pPr>
        <w:pStyle w:val="FirstParagraph"/>
      </w:pPr>
      <w:r>
        <w:t xml:space="preserve">Type: Weibull</w:t>
      </w:r>
    </w:p>
    <w:bookmarkStart w:id="58" w:name="parameters-9"/>
    <w:p>
      <w:pPr>
        <w:pStyle w:val="Heading4"/>
      </w:pPr>
      <w:r>
        <w:t xml:space="preserve">Parameters</w:t>
      </w:r>
    </w:p>
    <w:tbl>
      <w:tblPr>
        <w:tblStyle w:val="Table"/>
        <w:tblW w:type="pct" w:w="5000"/>
        <w:tblLook w:firstRow="1" w:lastRow="0" w:firstColumn="0" w:lastColumn="0" w:noHBand="0" w:noVBand="0" w:val="0020"/>
        <w:jc w:val="start"/>
      </w:tblPr>
      <w:tblGrid>
        <w:gridCol w:w="1536"/>
        <w:gridCol w:w="768"/>
        <w:gridCol w:w="5616"/>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Value Origin</w:t>
            </w:r>
          </w:p>
        </w:tc>
      </w:tr>
      <w:tr>
        <w:tc>
          <w:tcPr/>
          <w:p>
            <w:pPr>
              <w:pStyle w:val="Compact"/>
              <w:jc w:val="left"/>
            </w:pPr>
            <w:r>
              <w:t xml:space="preserve">Dissolution time (50% dissolved)</w:t>
            </w:r>
          </w:p>
        </w:tc>
        <w:tc>
          <w:tcPr/>
          <w:p>
            <w:pPr>
              <w:pStyle w:val="Compact"/>
              <w:jc w:val="left"/>
            </w:pPr>
            <w:r>
              <w:t xml:space="preserve">1.7038947098 min</w:t>
            </w:r>
          </w:p>
        </w:tc>
        <w:tc>
          <w:tcPr/>
          <w:p>
            <w:pPr>
              <w:pStyle w:val="Compact"/>
              <w:jc w:val="left"/>
            </w:pPr>
            <w:r>
              <w:t xml:space="preserve">Parameter Identification-Parameter Identification-Value updated from</w:t>
            </w:r>
            <w:r>
              <w:t xml:space="preserve"> </w:t>
            </w:r>
            <w:r>
              <w:t xml:space="preserve">‘</w:t>
            </w:r>
            <w:r>
              <w:t xml:space="preserve">Parameter Identification 1</w:t>
            </w:r>
            <w:r>
              <w:t xml:space="preserve">’</w:t>
            </w:r>
            <w:r>
              <w:t xml:space="preserve"> </w:t>
            </w:r>
            <w:r>
              <w:t xml:space="preserve">on 2020-01-13 15:01</w:t>
            </w:r>
          </w:p>
        </w:tc>
      </w:tr>
      <w:tr>
        <w:tc>
          <w:tcPr/>
          <w:p>
            <w:pPr>
              <w:pStyle w:val="Compact"/>
              <w:jc w:val="left"/>
            </w:pPr>
            <w:r>
              <w:t xml:space="preserve">Lag time</w:t>
            </w:r>
          </w:p>
        </w:tc>
        <w:tc>
          <w:tcPr/>
          <w:p>
            <w:pPr>
              <w:pStyle w:val="Compact"/>
              <w:jc w:val="left"/>
            </w:pPr>
            <w:r>
              <w:t xml:space="preserve">0 min</w:t>
            </w:r>
          </w:p>
        </w:tc>
        <w:tc>
          <w:tcPr/>
          <w:p>
            <w:pPr>
              <w:pStyle w:val="Compact"/>
              <w:jc w:val="left"/>
            </w:pPr>
            <w:r>
              <w:t xml:space="preserve">Other-Assumption</w:t>
            </w:r>
          </w:p>
        </w:tc>
      </w:tr>
      <w:tr>
        <w:tc>
          <w:tcPr/>
          <w:p>
            <w:pPr>
              <w:pStyle w:val="Compact"/>
              <w:jc w:val="left"/>
            </w:pPr>
            <w:r>
              <w:t xml:space="preserve">Dissolution shape</w:t>
            </w:r>
          </w:p>
        </w:tc>
        <w:tc>
          <w:tcPr/>
          <w:p>
            <w:pPr>
              <w:pStyle w:val="Compact"/>
              <w:jc w:val="left"/>
            </w:pPr>
            <w:r>
              <w:t xml:space="preserve">1.0960212213</w:t>
            </w:r>
          </w:p>
        </w:tc>
        <w:tc>
          <w:tcPr/>
          <w:p>
            <w:pPr>
              <w:pStyle w:val="Compact"/>
              <w:jc w:val="left"/>
            </w:pPr>
            <w:r>
              <w:t xml:space="preserve">Parameter Identification-Parameter Identification-Value updated from</w:t>
            </w:r>
            <w:r>
              <w:t xml:space="preserve"> </w:t>
            </w:r>
            <w:r>
              <w:t xml:space="preserve">‘</w:t>
            </w:r>
            <w:r>
              <w:t xml:space="preserve">Parameter Identification 1</w:t>
            </w:r>
            <w:r>
              <w:t xml:space="preserve">’</w:t>
            </w:r>
            <w:r>
              <w:t xml:space="preserve"> </w:t>
            </w:r>
            <w:r>
              <w:t xml:space="preserve">on 2020-01-13 15:01</w:t>
            </w:r>
          </w:p>
        </w:tc>
      </w:tr>
      <w:tr>
        <w:tc>
          <w:tcPr/>
          <w:p>
            <w:pPr>
              <w:pStyle w:val="Compact"/>
              <w:jc w:val="left"/>
            </w:pPr>
            <w:r>
              <w:t xml:space="preserve">Use as suspension</w:t>
            </w:r>
          </w:p>
        </w:tc>
        <w:tc>
          <w:tcPr/>
          <w:p>
            <w:pPr>
              <w:pStyle w:val="Compact"/>
              <w:jc w:val="left"/>
            </w:pPr>
            <w:r>
              <w:t xml:space="preserve">Yes</w:t>
            </w:r>
          </w:p>
        </w:tc>
        <w:tc>
          <w:tcPr/>
          <w:p>
            <w:pPr>
              <w:pStyle w:val="Compact"/>
            </w:pPr>
          </w:p>
        </w:tc>
      </w:tr>
    </w:tbl>
    <w:bookmarkEnd w:id="58"/>
    <w:bookmarkEnd w:id="59"/>
    <w:bookmarkEnd w:id="60"/>
    <w:bookmarkStart w:id="67" w:name="diagnostics-plots"/>
    <w:p>
      <w:pPr>
        <w:pStyle w:val="Heading2"/>
      </w:pPr>
      <w:r>
        <w:t xml:space="preserve">Diagnostics Plots</w:t>
      </w:r>
      <w:bookmarkStart w:id="diagnostics-plots" w:name="diagnostics-plots"/>
      <w:bookmarkEnd w:id="diagnostics-plots"/>
    </w:p>
    <w:p>
      <w:pPr>
        <w:pStyle w:val="FirstParagraph"/>
      </w:pPr>
      <w:r>
        <w:t xml:space="preserve">Below you find the goodness-of-fit visual diagnostic plots for the PBPK model performance of all data used presented in</w:t>
      </w:r>
      <w:r>
        <w:t xml:space="preserve"> </w:t>
      </w:r>
      <w:hyperlink w:anchor="X9abcee7a663c9050e8c258b57c204b9b7318d59">
        <w:r>
          <w:rPr>
            <w:rStyle w:val="Hyperlink"/>
          </w:rPr>
          <w:t xml:space="preserve">Section 2.2.3</w:t>
        </w:r>
      </w:hyperlink>
      <w:r>
        <w:t xml:space="preserve">.</w:t>
      </w:r>
    </w:p>
    <w:p>
      <w:pPr>
        <w:pStyle w:val="BodyText"/>
      </w:pPr>
      <w:r>
        <w:t xml:space="preserve">The first plot shows simulated versus observed plasma concentration, the second weighted residuals versus time.</w:t>
      </w:r>
    </w:p>
    <w:br w:type="page"/>
    <w:p>
      <w:pPr>
        <w:pStyle w:val="BodyText"/>
      </w:pPr>
      <w:bookmarkStart w:id="table-3-1" w:name="table-3-1"/>
      <w:bookmarkEnd w:id="table-3-1"/>
    </w:p>
    <w:p>
      <w:pPr>
        <w:pStyle w:val="BodyText"/>
      </w:pPr>
      <w:r>
        <w:rPr>
          <w:bCs/>
          <w:b/>
        </w:rPr>
        <w:t xml:space="preserve">Table 3-1: GMFE for Goodness of fit plot for concentration in plasma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GMFE</w:t>
            </w:r>
          </w:p>
        </w:tc>
      </w:tr>
      <w:tr>
        <w:tc>
          <w:tcPr/>
          <w:p>
            <w:pPr>
              <w:pStyle w:val="Compact"/>
              <w:jc w:val="left"/>
            </w:pPr>
            <w:r>
              <w:t xml:space="preserve">IV</w:t>
            </w:r>
          </w:p>
        </w:tc>
        <w:tc>
          <w:tcPr/>
          <w:p>
            <w:pPr>
              <w:pStyle w:val="Compact"/>
              <w:jc w:val="left"/>
            </w:pPr>
            <w:r>
              <w:t xml:space="preserve">1.57</w:t>
            </w:r>
          </w:p>
        </w:tc>
      </w:tr>
      <w:tr>
        <w:tc>
          <w:tcPr/>
          <w:p>
            <w:pPr>
              <w:pStyle w:val="Compact"/>
              <w:jc w:val="left"/>
            </w:pPr>
            <w:r>
              <w:t xml:space="preserve">IV (model building)</w:t>
            </w:r>
          </w:p>
        </w:tc>
        <w:tc>
          <w:tcPr/>
          <w:p>
            <w:pPr>
              <w:pStyle w:val="Compact"/>
              <w:jc w:val="left"/>
            </w:pPr>
            <w:r>
              <w:t xml:space="preserve">1.46</w:t>
            </w:r>
          </w:p>
        </w:tc>
      </w:tr>
      <w:tr>
        <w:tc>
          <w:tcPr/>
          <w:p>
            <w:pPr>
              <w:pStyle w:val="Compact"/>
              <w:jc w:val="left"/>
            </w:pPr>
            <w:r>
              <w:t xml:space="preserve">PO enteric coated capsule, base pellets</w:t>
            </w:r>
          </w:p>
        </w:tc>
        <w:tc>
          <w:tcPr/>
          <w:p>
            <w:pPr>
              <w:pStyle w:val="Compact"/>
              <w:jc w:val="left"/>
            </w:pPr>
            <w:r>
              <w:t xml:space="preserve">1.82</w:t>
            </w:r>
          </w:p>
        </w:tc>
      </w:tr>
      <w:tr>
        <w:tc>
          <w:tcPr/>
          <w:p>
            <w:pPr>
              <w:pStyle w:val="Compact"/>
              <w:jc w:val="left"/>
            </w:pPr>
            <w:r>
              <w:t xml:space="preserve">PO enteric coated capsule, base pellets (model building)</w:t>
            </w:r>
          </w:p>
        </w:tc>
        <w:tc>
          <w:tcPr/>
          <w:p>
            <w:pPr>
              <w:pStyle w:val="Compact"/>
              <w:jc w:val="left"/>
            </w:pPr>
            <w:r>
              <w:t xml:space="preserve">1.24</w:t>
            </w:r>
          </w:p>
        </w:tc>
      </w:tr>
      <w:tr>
        <w:tc>
          <w:tcPr/>
          <w:p>
            <w:pPr>
              <w:pStyle w:val="Compact"/>
              <w:jc w:val="left"/>
            </w:pPr>
            <w:r>
              <w:t xml:space="preserve">PO enteric coated tablet, base (model building)</w:t>
            </w:r>
          </w:p>
        </w:tc>
        <w:tc>
          <w:tcPr/>
          <w:p>
            <w:pPr>
              <w:pStyle w:val="Compact"/>
              <w:jc w:val="left"/>
            </w:pPr>
            <w:r>
              <w:t xml:space="preserve">1.35</w:t>
            </w:r>
          </w:p>
        </w:tc>
      </w:tr>
      <w:tr>
        <w:tc>
          <w:tcPr/>
          <w:p>
            <w:pPr>
              <w:pStyle w:val="Compact"/>
              <w:jc w:val="left"/>
            </w:pPr>
            <w:r>
              <w:t xml:space="preserve">PO film-coated tablet, base</w:t>
            </w:r>
          </w:p>
        </w:tc>
        <w:tc>
          <w:tcPr/>
          <w:p>
            <w:pPr>
              <w:pStyle w:val="Compact"/>
              <w:jc w:val="left"/>
            </w:pPr>
            <w:r>
              <w:t xml:space="preserve">1.90</w:t>
            </w:r>
          </w:p>
        </w:tc>
      </w:tr>
      <w:tr>
        <w:tc>
          <w:tcPr/>
          <w:p>
            <w:pPr>
              <w:pStyle w:val="Compact"/>
              <w:jc w:val="left"/>
            </w:pPr>
            <w:r>
              <w:t xml:space="preserve">PO film-coated tablet, stearate</w:t>
            </w:r>
          </w:p>
        </w:tc>
        <w:tc>
          <w:tcPr/>
          <w:p>
            <w:pPr>
              <w:pStyle w:val="Compact"/>
              <w:jc w:val="left"/>
            </w:pPr>
            <w:r>
              <w:t xml:space="preserve">1.78</w:t>
            </w:r>
          </w:p>
        </w:tc>
      </w:tr>
      <w:tr>
        <w:tc>
          <w:tcPr/>
          <w:p>
            <w:pPr>
              <w:pStyle w:val="Compact"/>
              <w:jc w:val="left"/>
            </w:pPr>
            <w:r>
              <w:t xml:space="preserve">PO film-coated tablet, stearate (model building)</w:t>
            </w:r>
          </w:p>
        </w:tc>
        <w:tc>
          <w:tcPr/>
          <w:p>
            <w:pPr>
              <w:pStyle w:val="Compact"/>
              <w:jc w:val="left"/>
            </w:pPr>
            <w:r>
              <w:t xml:space="preserve">1.38</w:t>
            </w:r>
          </w:p>
        </w:tc>
      </w:tr>
      <w:tr>
        <w:tc>
          <w:tcPr/>
          <w:p>
            <w:pPr>
              <w:pStyle w:val="Compact"/>
              <w:jc w:val="left"/>
            </w:pPr>
            <w:r>
              <w:t xml:space="preserve">All</w:t>
            </w:r>
          </w:p>
        </w:tc>
        <w:tc>
          <w:tcPr/>
          <w:p>
            <w:pPr>
              <w:pStyle w:val="Compact"/>
              <w:jc w:val="left"/>
            </w:pPr>
            <w:r>
              <w:t xml:space="preserve">1.58</w:t>
            </w:r>
          </w:p>
        </w:tc>
      </w:tr>
    </w:tbl>
    <w:p>
      <w:pPr>
        <w:pStyle w:val="BodyText"/>
      </w:pPr>
      <w:r>
        <w:t xml:space="preserve"> </w:t>
      </w:r>
    </w:p>
    <w:br w:type="page"/>
    <w:p>
      <w:pPr>
        <w:pStyle w:val="BodyText"/>
      </w:pPr>
      <w:bookmarkStart w:id="figure-3-1" w:name="figure-3-1"/>
      <w:bookmarkEnd w:id="figure-3-1"/>
    </w:p>
    <w:p>
      <w:pPr>
        <w:pStyle w:val="BodyText"/>
      </w:pPr>
      <w:r>
        <w:drawing>
          <wp:inline>
            <wp:extent cx="5969000" cy="8163859"/>
            <wp:effectExtent b="0" l="0" r="0" t="0"/>
            <wp:docPr descr="" title="" id="62" name="Picture"/>
            <a:graphic>
              <a:graphicData uri="http://schemas.openxmlformats.org/drawingml/2006/picture">
                <pic:pic>
                  <pic:nvPicPr>
                    <pic:cNvPr descr="images/006_section_results-and-discussion/008_section_diagnostics-plots/2_gof_plot_predictedVsObserved.png" id="63" name="Picture"/>
                    <pic:cNvPicPr>
                      <a:picLocks noChangeArrowheads="1" noChangeAspect="1"/>
                    </pic:cNvPicPr>
                  </pic:nvPicPr>
                  <pic:blipFill>
                    <a:blip r:embed="rId61"/>
                    <a:stretch>
                      <a:fillRect/>
                    </a:stretch>
                  </pic:blipFill>
                  <pic:spPr bwMode="auto">
                    <a:xfrm>
                      <a:off x="0" y="0"/>
                      <a:ext cx="5969000" cy="8163859"/>
                    </a:xfrm>
                    <a:prstGeom prst="rect">
                      <a:avLst/>
                    </a:prstGeom>
                    <a:noFill/>
                    <a:ln w="9525">
                      <a:noFill/>
                      <a:headEnd/>
                      <a:tailEnd/>
                    </a:ln>
                  </pic:spPr>
                </pic:pic>
              </a:graphicData>
            </a:graphic>
          </wp:inline>
        </w:drawing>
      </w:r>
    </w:p>
    <w:p>
      <w:pPr>
        <w:pStyle w:val="BodyText"/>
      </w:pPr>
      <w:r>
        <w:rPr>
          <w:bCs/>
          <w:b/>
        </w:rPr>
        <w:t xml:space="preserve">Figure 3-1: Goodness of fit plot for concentration in plasma</w:t>
      </w:r>
    </w:p>
    <w:p>
      <w:pPr>
        <w:pStyle w:val="BodyText"/>
      </w:pPr>
      <w:r>
        <w:t xml:space="preserve"> </w:t>
      </w:r>
    </w:p>
    <w:br w:type="page"/>
    <w:p>
      <w:pPr>
        <w:pStyle w:val="BodyText"/>
      </w:pPr>
      <w:bookmarkStart w:id="figure-3-2" w:name="figure-3-2"/>
      <w:bookmarkEnd w:id="figure-3-2"/>
    </w:p>
    <w:p>
      <w:pPr>
        <w:pStyle w:val="BodyText"/>
      </w:pPr>
      <w:r>
        <w:drawing>
          <wp:inline>
            <wp:extent cx="5969000" cy="5793272"/>
            <wp:effectExtent b="0" l="0" r="0" t="0"/>
            <wp:docPr descr="" title="" id="65" name="Picture"/>
            <a:graphic>
              <a:graphicData uri="http://schemas.openxmlformats.org/drawingml/2006/picture">
                <pic:pic>
                  <pic:nvPicPr>
                    <pic:cNvPr descr="images/006_section_results-and-discussion/008_section_diagnostics-plots/3_gof_plot_residualsOverTime.png" id="66" name="Picture"/>
                    <pic:cNvPicPr>
                      <a:picLocks noChangeArrowheads="1" noChangeAspect="1"/>
                    </pic:cNvPicPr>
                  </pic:nvPicPr>
                  <pic:blipFill>
                    <a:blip r:embed="rId64"/>
                    <a:stretch>
                      <a:fillRect/>
                    </a:stretch>
                  </pic:blipFill>
                  <pic:spPr bwMode="auto">
                    <a:xfrm>
                      <a:off x="0" y="0"/>
                      <a:ext cx="5969000" cy="5793272"/>
                    </a:xfrm>
                    <a:prstGeom prst="rect">
                      <a:avLst/>
                    </a:prstGeom>
                    <a:noFill/>
                    <a:ln w="9525">
                      <a:noFill/>
                      <a:headEnd/>
                      <a:tailEnd/>
                    </a:ln>
                  </pic:spPr>
                </pic:pic>
              </a:graphicData>
            </a:graphic>
          </wp:inline>
        </w:drawing>
      </w:r>
    </w:p>
    <w:p>
      <w:pPr>
        <w:pStyle w:val="BodyText"/>
      </w:pPr>
      <w:r>
        <w:rPr>
          <w:bCs/>
          <w:b/>
        </w:rPr>
        <w:t xml:space="preserve">Figure 3-2: Goodness of fit plot for concentration in plasma</w:t>
      </w:r>
    </w:p>
    <w:p>
      <w:pPr>
        <w:pStyle w:val="BodyText"/>
      </w:pPr>
      <w:r>
        <w:t xml:space="preserve"> </w:t>
      </w:r>
    </w:p>
    <w:bookmarkEnd w:id="67"/>
    <w:bookmarkStart w:id="304" w:name="concentration-time-profiles"/>
    <w:p>
      <w:pPr>
        <w:pStyle w:val="Heading2"/>
      </w:pPr>
      <w:r>
        <w:t xml:space="preserve">Concentration-Time Profiles</w:t>
      </w:r>
      <w:bookmarkStart w:id="ct-profiles" w:name="ct-profiles"/>
      <w:bookmarkEnd w:id="ct-profiles"/>
    </w:p>
    <w:p>
      <w:pPr>
        <w:pStyle w:val="FirstParagraph"/>
      </w:pPr>
      <w:r>
        <w:t xml:space="preserve">Simulated versus observed concentration-time profiles of all data listed in</w:t>
      </w:r>
      <w:r>
        <w:t xml:space="preserve"> </w:t>
      </w:r>
      <w:hyperlink w:anchor="X9abcee7a663c9050e8c258b57c204b9b7318d59">
        <w:r>
          <w:rPr>
            <w:rStyle w:val="Hyperlink"/>
          </w:rPr>
          <w:t xml:space="preserve">Section 2.2.3</w:t>
        </w:r>
      </w:hyperlink>
      <w:r>
        <w:t xml:space="preserve"> </w:t>
      </w:r>
      <w:r>
        <w:t xml:space="preserve">are presented below.</w:t>
      </w:r>
    </w:p>
    <w:bookmarkStart w:id="155" w:name="model-building"/>
    <w:p>
      <w:pPr>
        <w:pStyle w:val="Heading3"/>
      </w:pPr>
      <w:r>
        <w:t xml:space="preserve">Model Building</w:t>
      </w:r>
      <w:bookmarkStart w:id="model-building" w:name="model-building"/>
      <w:bookmarkEnd w:id="model-building"/>
    </w:p>
    <w:br w:type="page"/>
    <w:p>
      <w:pPr>
        <w:pStyle w:val="FirstParagraph"/>
      </w:pPr>
      <w:bookmarkStart w:id="figure-3-3" w:name="figure-3-3"/>
      <w:bookmarkEnd w:id="figure-3-3"/>
    </w:p>
    <w:p>
      <w:pPr>
        <w:pStyle w:val="BodyText"/>
      </w:pPr>
      <w:r>
        <w:drawing>
          <wp:inline>
            <wp:extent cx="5969000" cy="4853513"/>
            <wp:effectExtent b="0" l="0" r="0" t="0"/>
            <wp:docPr descr="" title="" id="69" name="Picture"/>
            <a:graphic>
              <a:graphicData uri="http://schemas.openxmlformats.org/drawingml/2006/picture">
                <pic:pic>
                  <pic:nvPicPr>
                    <pic:cNvPr descr="images/006_section_results-and-discussion/009_section_ct-profiles/010_section_model-building/4_time_profile_plot_Erythromycin_IV_125mg_Sun2010.png" id="70" name="Picture"/>
                    <pic:cNvPicPr>
                      <a:picLocks noChangeArrowheads="1" noChangeAspect="1"/>
                    </pic:cNvPicPr>
                  </pic:nvPicPr>
                  <pic:blipFill>
                    <a:blip r:embed="rId68"/>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3-3: Time Profile Analysis</w:t>
      </w:r>
    </w:p>
    <w:p>
      <w:pPr>
        <w:pStyle w:val="BodyText"/>
      </w:pPr>
      <w:r>
        <w:t xml:space="preserve"> </w:t>
      </w:r>
    </w:p>
    <w:br w:type="page"/>
    <w:p>
      <w:pPr>
        <w:pStyle w:val="BodyText"/>
      </w:pPr>
      <w:bookmarkStart w:id="figure-3-4" w:name="figure-3-4"/>
      <w:bookmarkEnd w:id="figure-3-4"/>
    </w:p>
    <w:p>
      <w:pPr>
        <w:pStyle w:val="BodyText"/>
      </w:pPr>
      <w:r>
        <w:drawing>
          <wp:inline>
            <wp:extent cx="5969000" cy="4853513"/>
            <wp:effectExtent b="0" l="0" r="0" t="0"/>
            <wp:docPr descr="" title="" id="72" name="Picture"/>
            <a:graphic>
              <a:graphicData uri="http://schemas.openxmlformats.org/drawingml/2006/picture">
                <pic:pic>
                  <pic:nvPicPr>
                    <pic:cNvPr descr="images/006_section_results-and-discussion/009_section_ct-profiles/010_section_model-building/5_time_profile_plot_Erythromycin_IV_125mg_Sun2010.png" id="73" name="Picture"/>
                    <pic:cNvPicPr>
                      <a:picLocks noChangeArrowheads="1" noChangeAspect="1"/>
                    </pic:cNvPicPr>
                  </pic:nvPicPr>
                  <pic:blipFill>
                    <a:blip r:embed="rId71"/>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3-4: Time Profile Analysis 1</w:t>
      </w:r>
    </w:p>
    <w:p>
      <w:pPr>
        <w:pStyle w:val="BodyText"/>
      </w:pPr>
      <w:r>
        <w:t xml:space="preserve"> </w:t>
      </w:r>
    </w:p>
    <w:br w:type="page"/>
    <w:p>
      <w:pPr>
        <w:pStyle w:val="BodyText"/>
      </w:pPr>
      <w:bookmarkStart w:id="figure-3-5" w:name="figure-3-5"/>
      <w:bookmarkEnd w:id="figure-3-5"/>
    </w:p>
    <w:p>
      <w:pPr>
        <w:pStyle w:val="BodyText"/>
      </w:pPr>
      <w:r>
        <w:drawing>
          <wp:inline>
            <wp:extent cx="5969000" cy="4853513"/>
            <wp:effectExtent b="0" l="0" r="0" t="0"/>
            <wp:docPr descr="" title="" id="75" name="Picture"/>
            <a:graphic>
              <a:graphicData uri="http://schemas.openxmlformats.org/drawingml/2006/picture">
                <pic:pic>
                  <pic:nvPicPr>
                    <pic:cNvPr descr="images/006_section_results-and-discussion/009_section_ct-profiles/010_section_model-building/6_time_profile_plot_Erythromycin_IV_250mg_3min_Austin1980.png" id="76" name="Picture"/>
                    <pic:cNvPicPr>
                      <a:picLocks noChangeArrowheads="1" noChangeAspect="1"/>
                    </pic:cNvPicPr>
                  </pic:nvPicPr>
                  <pic:blipFill>
                    <a:blip r:embed="rId74"/>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3-5: Time Profile Analysis</w:t>
      </w:r>
    </w:p>
    <w:p>
      <w:pPr>
        <w:pStyle w:val="BodyText"/>
      </w:pPr>
      <w:r>
        <w:t xml:space="preserve"> </w:t>
      </w:r>
    </w:p>
    <w:br w:type="page"/>
    <w:p>
      <w:pPr>
        <w:pStyle w:val="BodyText"/>
      </w:pPr>
      <w:bookmarkStart w:id="figure-3-6" w:name="figure-3-6"/>
      <w:bookmarkEnd w:id="figure-3-6"/>
    </w:p>
    <w:p>
      <w:pPr>
        <w:pStyle w:val="BodyText"/>
      </w:pPr>
      <w:r>
        <w:drawing>
          <wp:inline>
            <wp:extent cx="5969000" cy="4853513"/>
            <wp:effectExtent b="0" l="0" r="0" t="0"/>
            <wp:docPr descr="" title="" id="78" name="Picture"/>
            <a:graphic>
              <a:graphicData uri="http://schemas.openxmlformats.org/drawingml/2006/picture">
                <pic:pic>
                  <pic:nvPicPr>
                    <pic:cNvPr descr="images/006_section_results-and-discussion/009_section_ct-profiles/010_section_model-building/9_time_profile_plot_Erythromycin_IV_300mg_Pasic1987.png" id="79" name="Picture"/>
                    <pic:cNvPicPr>
                      <a:picLocks noChangeArrowheads="1" noChangeAspect="1"/>
                    </pic:cNvPicPr>
                  </pic:nvPicPr>
                  <pic:blipFill>
                    <a:blip r:embed="rId77"/>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3-6: Time Profile Analysis</w:t>
      </w:r>
    </w:p>
    <w:p>
      <w:pPr>
        <w:pStyle w:val="BodyText"/>
      </w:pPr>
      <w:r>
        <w:t xml:space="preserve"> </w:t>
      </w:r>
    </w:p>
    <w:br w:type="page"/>
    <w:p>
      <w:pPr>
        <w:pStyle w:val="BodyText"/>
      </w:pPr>
      <w:bookmarkStart w:id="figure-3-7" w:name="figure-3-7"/>
      <w:bookmarkEnd w:id="figure-3-7"/>
    </w:p>
    <w:p>
      <w:pPr>
        <w:pStyle w:val="BodyText"/>
      </w:pPr>
      <w:r>
        <w:drawing>
          <wp:inline>
            <wp:extent cx="5969000" cy="4853513"/>
            <wp:effectExtent b="0" l="0" r="0" t="0"/>
            <wp:docPr descr="" title="" id="81" name="Picture"/>
            <a:graphic>
              <a:graphicData uri="http://schemas.openxmlformats.org/drawingml/2006/picture">
                <pic:pic>
                  <pic:nvPicPr>
                    <pic:cNvPr descr="images/006_section_results-and-discussion/009_section_ct-profiles/010_section_model-building/10_time_profile_plot_Erythromycin_IV_300mg_Pasic1987.png" id="82" name="Picture"/>
                    <pic:cNvPicPr>
                      <a:picLocks noChangeArrowheads="1" noChangeAspect="1"/>
                    </pic:cNvPicPr>
                  </pic:nvPicPr>
                  <pic:blipFill>
                    <a:blip r:embed="rId80"/>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3-7: Time Profile Analysis 1</w:t>
      </w:r>
    </w:p>
    <w:p>
      <w:pPr>
        <w:pStyle w:val="BodyText"/>
      </w:pPr>
      <w:r>
        <w:t xml:space="preserve"> </w:t>
      </w:r>
    </w:p>
    <w:br w:type="page"/>
    <w:p>
      <w:pPr>
        <w:pStyle w:val="BodyText"/>
      </w:pPr>
      <w:bookmarkStart w:id="figure-3-8" w:name="figure-3-8"/>
      <w:bookmarkEnd w:id="figure-3-8"/>
    </w:p>
    <w:p>
      <w:pPr>
        <w:pStyle w:val="BodyText"/>
      </w:pPr>
      <w:r>
        <w:drawing>
          <wp:inline>
            <wp:extent cx="5969000" cy="5800912"/>
            <wp:effectExtent b="0" l="0" r="0" t="0"/>
            <wp:docPr descr="" title="" id="84" name="Picture"/>
            <a:graphic>
              <a:graphicData uri="http://schemas.openxmlformats.org/drawingml/2006/picture">
                <pic:pic>
                  <pic:nvPicPr>
                    <pic:cNvPr descr="images/006_section_results-and-discussion/009_section_ct-profiles/010_section_model-building/13_time_profile_plot_Erythromycin_IV_500mg_Barre1987.png" id="85" name="Picture"/>
                    <pic:cNvPicPr>
                      <a:picLocks noChangeArrowheads="1" noChangeAspect="1"/>
                    </pic:cNvPicPr>
                  </pic:nvPicPr>
                  <pic:blipFill>
                    <a:blip r:embed="rId83"/>
                    <a:stretch>
                      <a:fillRect/>
                    </a:stretch>
                  </pic:blipFill>
                  <pic:spPr bwMode="auto">
                    <a:xfrm>
                      <a:off x="0" y="0"/>
                      <a:ext cx="5969000" cy="5800912"/>
                    </a:xfrm>
                    <a:prstGeom prst="rect">
                      <a:avLst/>
                    </a:prstGeom>
                    <a:noFill/>
                    <a:ln w="9525">
                      <a:noFill/>
                      <a:headEnd/>
                      <a:tailEnd/>
                    </a:ln>
                  </pic:spPr>
                </pic:pic>
              </a:graphicData>
            </a:graphic>
          </wp:inline>
        </w:drawing>
      </w:r>
    </w:p>
    <w:p>
      <w:pPr>
        <w:pStyle w:val="BodyText"/>
      </w:pPr>
      <w:r>
        <w:rPr>
          <w:bCs/>
          <w:b/>
        </w:rPr>
        <w:t xml:space="preserve">Figure 3-8: Time Profile Analysis</w:t>
      </w:r>
    </w:p>
    <w:p>
      <w:pPr>
        <w:pStyle w:val="BodyText"/>
      </w:pPr>
      <w:r>
        <w:t xml:space="preserve"> </w:t>
      </w:r>
    </w:p>
    <w:br w:type="page"/>
    <w:p>
      <w:pPr>
        <w:pStyle w:val="BodyText"/>
      </w:pPr>
      <w:bookmarkStart w:id="figure-3-9" w:name="figure-3-9"/>
      <w:bookmarkEnd w:id="figure-3-9"/>
    </w:p>
    <w:p>
      <w:pPr>
        <w:pStyle w:val="BodyText"/>
      </w:pPr>
      <w:r>
        <w:drawing>
          <wp:inline>
            <wp:extent cx="5969000" cy="4853513"/>
            <wp:effectExtent b="0" l="0" r="0" t="0"/>
            <wp:docPr descr="" title="" id="87" name="Picture"/>
            <a:graphic>
              <a:graphicData uri="http://schemas.openxmlformats.org/drawingml/2006/picture">
                <pic:pic>
                  <pic:nvPicPr>
                    <pic:cNvPr descr="images/006_section_results-and-discussion/009_section_ct-profiles/010_section_model-building/14_time_profile_plot_Erythromycin_IV_500mg_Barre1987.png" id="88" name="Picture"/>
                    <pic:cNvPicPr>
                      <a:picLocks noChangeArrowheads="1" noChangeAspect="1"/>
                    </pic:cNvPicPr>
                  </pic:nvPicPr>
                  <pic:blipFill>
                    <a:blip r:embed="rId86"/>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3-9: Time Profile Analysis 1</w:t>
      </w:r>
    </w:p>
    <w:p>
      <w:pPr>
        <w:pStyle w:val="BodyText"/>
      </w:pPr>
      <w:r>
        <w:t xml:space="preserve"> </w:t>
      </w:r>
    </w:p>
    <w:br w:type="page"/>
    <w:p>
      <w:pPr>
        <w:pStyle w:val="BodyText"/>
      </w:pPr>
      <w:bookmarkStart w:id="figure-3-10" w:name="figure-3-10"/>
      <w:bookmarkEnd w:id="figure-3-10"/>
    </w:p>
    <w:p>
      <w:pPr>
        <w:pStyle w:val="BodyText"/>
      </w:pPr>
      <w:r>
        <w:drawing>
          <wp:inline>
            <wp:extent cx="5969000" cy="4853513"/>
            <wp:effectExtent b="0" l="0" r="0" t="0"/>
            <wp:docPr descr="" title="" id="90" name="Picture"/>
            <a:graphic>
              <a:graphicData uri="http://schemas.openxmlformats.org/drawingml/2006/picture">
                <pic:pic>
                  <pic:nvPicPr>
                    <pic:cNvPr descr="images/006_section_results-and-discussion/009_section_ct-profiles/010_section_model-building/28_time_profile_plot_Erythromycin_500mg_Kivisto1997_pellets_MD.png" id="91" name="Picture"/>
                    <pic:cNvPicPr>
                      <a:picLocks noChangeArrowheads="1" noChangeAspect="1"/>
                    </pic:cNvPicPr>
                  </pic:nvPicPr>
                  <pic:blipFill>
                    <a:blip r:embed="rId89"/>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3-10: Time Profile Analysis</w:t>
      </w:r>
    </w:p>
    <w:p>
      <w:pPr>
        <w:pStyle w:val="BodyText"/>
      </w:pPr>
      <w:r>
        <w:t xml:space="preserve"> </w:t>
      </w:r>
    </w:p>
    <w:br w:type="page"/>
    <w:p>
      <w:pPr>
        <w:pStyle w:val="BodyText"/>
      </w:pPr>
      <w:bookmarkStart w:id="figure-3-11" w:name="figure-3-11"/>
      <w:bookmarkEnd w:id="figure-3-11"/>
    </w:p>
    <w:p>
      <w:pPr>
        <w:pStyle w:val="BodyText"/>
      </w:pPr>
      <w:r>
        <w:drawing>
          <wp:inline>
            <wp:extent cx="5969000" cy="4853513"/>
            <wp:effectExtent b="0" l="0" r="0" t="0"/>
            <wp:docPr descr="" title="" id="93" name="Picture"/>
            <a:graphic>
              <a:graphicData uri="http://schemas.openxmlformats.org/drawingml/2006/picture">
                <pic:pic>
                  <pic:nvPicPr>
                    <pic:cNvPr descr="images/006_section_results-and-discussion/009_section_ct-profiles/010_section_model-building/29_time_profile_plot_Erythromycin_500mg_Kivisto1997_pellets_MD.png" id="94" name="Picture"/>
                    <pic:cNvPicPr>
                      <a:picLocks noChangeArrowheads="1" noChangeAspect="1"/>
                    </pic:cNvPicPr>
                  </pic:nvPicPr>
                  <pic:blipFill>
                    <a:blip r:embed="rId92"/>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3-11: Time Profile Analysis 1</w:t>
      </w:r>
    </w:p>
    <w:p>
      <w:pPr>
        <w:pStyle w:val="BodyText"/>
      </w:pPr>
      <w:r>
        <w:t xml:space="preserve"> </w:t>
      </w:r>
    </w:p>
    <w:br w:type="page"/>
    <w:p>
      <w:pPr>
        <w:pStyle w:val="BodyText"/>
      </w:pPr>
      <w:bookmarkStart w:id="figure-3-12" w:name="figure-3-12"/>
      <w:bookmarkEnd w:id="figure-3-12"/>
    </w:p>
    <w:p>
      <w:pPr>
        <w:pStyle w:val="BodyText"/>
      </w:pPr>
      <w:r>
        <w:drawing>
          <wp:inline>
            <wp:extent cx="5969000" cy="5464738"/>
            <wp:effectExtent b="0" l="0" r="0" t="0"/>
            <wp:docPr descr="" title="" id="96" name="Picture"/>
            <a:graphic>
              <a:graphicData uri="http://schemas.openxmlformats.org/drawingml/2006/picture">
                <pic:pic>
                  <pic:nvPicPr>
                    <pic:cNvPr descr="images/006_section_results-and-discussion/009_section_ct-profiles/010_section_model-building/34_time_profile_plot_Erythromycin_500mg_DiSanto1981.png" id="97" name="Picture"/>
                    <pic:cNvPicPr>
                      <a:picLocks noChangeArrowheads="1" noChangeAspect="1"/>
                    </pic:cNvPicPr>
                  </pic:nvPicPr>
                  <pic:blipFill>
                    <a:blip r:embed="rId95"/>
                    <a:stretch>
                      <a:fillRect/>
                    </a:stretch>
                  </pic:blipFill>
                  <pic:spPr bwMode="auto">
                    <a:xfrm>
                      <a:off x="0" y="0"/>
                      <a:ext cx="5969000" cy="5464738"/>
                    </a:xfrm>
                    <a:prstGeom prst="rect">
                      <a:avLst/>
                    </a:prstGeom>
                    <a:noFill/>
                    <a:ln w="9525">
                      <a:noFill/>
                      <a:headEnd/>
                      <a:tailEnd/>
                    </a:ln>
                  </pic:spPr>
                </pic:pic>
              </a:graphicData>
            </a:graphic>
          </wp:inline>
        </w:drawing>
      </w:r>
    </w:p>
    <w:p>
      <w:pPr>
        <w:pStyle w:val="BodyText"/>
      </w:pPr>
      <w:r>
        <w:rPr>
          <w:bCs/>
          <w:b/>
        </w:rPr>
        <w:t xml:space="preserve">Figure 3-12: Time Profile Analysis</w:t>
      </w:r>
    </w:p>
    <w:p>
      <w:pPr>
        <w:pStyle w:val="BodyText"/>
      </w:pPr>
      <w:r>
        <w:t xml:space="preserve"> </w:t>
      </w:r>
    </w:p>
    <w:br w:type="page"/>
    <w:p>
      <w:pPr>
        <w:pStyle w:val="BodyText"/>
      </w:pPr>
      <w:bookmarkStart w:id="figure-3-13" w:name="figure-3-13"/>
      <w:bookmarkEnd w:id="figure-3-13"/>
    </w:p>
    <w:p>
      <w:pPr>
        <w:pStyle w:val="BodyText"/>
      </w:pPr>
      <w:r>
        <w:drawing>
          <wp:inline>
            <wp:extent cx="5969000" cy="5464738"/>
            <wp:effectExtent b="0" l="0" r="0" t="0"/>
            <wp:docPr descr="" title="" id="99" name="Picture"/>
            <a:graphic>
              <a:graphicData uri="http://schemas.openxmlformats.org/drawingml/2006/picture">
                <pic:pic>
                  <pic:nvPicPr>
                    <pic:cNvPr descr="images/006_section_results-and-discussion/009_section_ct-profiles/010_section_model-building/35_time_profile_plot_Erythromycin_500mg_DiSanto1981.png" id="100" name="Picture"/>
                    <pic:cNvPicPr>
                      <a:picLocks noChangeArrowheads="1" noChangeAspect="1"/>
                    </pic:cNvPicPr>
                  </pic:nvPicPr>
                  <pic:blipFill>
                    <a:blip r:embed="rId98"/>
                    <a:stretch>
                      <a:fillRect/>
                    </a:stretch>
                  </pic:blipFill>
                  <pic:spPr bwMode="auto">
                    <a:xfrm>
                      <a:off x="0" y="0"/>
                      <a:ext cx="5969000" cy="5464738"/>
                    </a:xfrm>
                    <a:prstGeom prst="rect">
                      <a:avLst/>
                    </a:prstGeom>
                    <a:noFill/>
                    <a:ln w="9525">
                      <a:noFill/>
                      <a:headEnd/>
                      <a:tailEnd/>
                    </a:ln>
                  </pic:spPr>
                </pic:pic>
              </a:graphicData>
            </a:graphic>
          </wp:inline>
        </w:drawing>
      </w:r>
    </w:p>
    <w:p>
      <w:pPr>
        <w:pStyle w:val="BodyText"/>
      </w:pPr>
      <w:r>
        <w:rPr>
          <w:bCs/>
          <w:b/>
        </w:rPr>
        <w:t xml:space="preserve">Figure 3-13: Time Profile Analysis 1</w:t>
      </w:r>
    </w:p>
    <w:p>
      <w:pPr>
        <w:pStyle w:val="BodyText"/>
      </w:pPr>
      <w:r>
        <w:t xml:space="preserve"> </w:t>
      </w:r>
    </w:p>
    <w:br w:type="page"/>
    <w:p>
      <w:pPr>
        <w:pStyle w:val="BodyText"/>
      </w:pPr>
      <w:bookmarkStart w:id="figure-3-14" w:name="figure-3-14"/>
      <w:bookmarkEnd w:id="figure-3-14"/>
    </w:p>
    <w:p>
      <w:pPr>
        <w:pStyle w:val="BodyText"/>
      </w:pPr>
      <w:r>
        <w:drawing>
          <wp:inline>
            <wp:extent cx="5969000" cy="4853513"/>
            <wp:effectExtent b="0" l="0" r="0" t="0"/>
            <wp:docPr descr="" title="" id="102" name="Picture"/>
            <a:graphic>
              <a:graphicData uri="http://schemas.openxmlformats.org/drawingml/2006/picture">
                <pic:pic>
                  <pic:nvPicPr>
                    <pic:cNvPr descr="images/006_section_results-and-discussion/009_section_ct-profiles/010_section_model-building/38_time_profile_plot_Erythromycin_500mg_Posti1982_E.png" id="103" name="Picture"/>
                    <pic:cNvPicPr>
                      <a:picLocks noChangeArrowheads="1" noChangeAspect="1"/>
                    </pic:cNvPicPr>
                  </pic:nvPicPr>
                  <pic:blipFill>
                    <a:blip r:embed="rId101"/>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3-14: Time Profile Analysis</w:t>
      </w:r>
    </w:p>
    <w:p>
      <w:pPr>
        <w:pStyle w:val="BodyText"/>
      </w:pPr>
      <w:r>
        <w:t xml:space="preserve"> </w:t>
      </w:r>
    </w:p>
    <w:br w:type="page"/>
    <w:p>
      <w:pPr>
        <w:pStyle w:val="BodyText"/>
      </w:pPr>
      <w:bookmarkStart w:id="figure-3-15" w:name="figure-3-15"/>
      <w:bookmarkEnd w:id="figure-3-15"/>
    </w:p>
    <w:p>
      <w:pPr>
        <w:pStyle w:val="BodyText"/>
      </w:pPr>
      <w:r>
        <w:drawing>
          <wp:inline>
            <wp:extent cx="5969000" cy="4853513"/>
            <wp:effectExtent b="0" l="0" r="0" t="0"/>
            <wp:docPr descr="" title="" id="105" name="Picture"/>
            <a:graphic>
              <a:graphicData uri="http://schemas.openxmlformats.org/drawingml/2006/picture">
                <pic:pic>
                  <pic:nvPicPr>
                    <pic:cNvPr descr="images/006_section_results-and-discussion/009_section_ct-profiles/010_section_model-building/39_time_profile_plot_Erythromycin_500mg_Posti1982_E.png" id="106" name="Picture"/>
                    <pic:cNvPicPr>
                      <a:picLocks noChangeArrowheads="1" noChangeAspect="1"/>
                    </pic:cNvPicPr>
                  </pic:nvPicPr>
                  <pic:blipFill>
                    <a:blip r:embed="rId104"/>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3-15: Time Profile Analysis 1</w:t>
      </w:r>
    </w:p>
    <w:p>
      <w:pPr>
        <w:pStyle w:val="BodyText"/>
      </w:pPr>
      <w:r>
        <w:t xml:space="preserve"> </w:t>
      </w:r>
    </w:p>
    <w:br w:type="page"/>
    <w:p>
      <w:pPr>
        <w:pStyle w:val="BodyText"/>
      </w:pPr>
      <w:bookmarkStart w:id="figure-3-16" w:name="figure-3-16"/>
      <w:bookmarkEnd w:id="figure-3-16"/>
    </w:p>
    <w:p>
      <w:pPr>
        <w:pStyle w:val="BodyText"/>
      </w:pPr>
      <w:r>
        <w:drawing>
          <wp:inline>
            <wp:extent cx="5969000" cy="5464738"/>
            <wp:effectExtent b="0" l="0" r="0" t="0"/>
            <wp:docPr descr="" title="" id="108" name="Picture"/>
            <a:graphic>
              <a:graphicData uri="http://schemas.openxmlformats.org/drawingml/2006/picture">
                <pic:pic>
                  <pic:nvPicPr>
                    <pic:cNvPr descr="images/006_section_results-and-discussion/009_section_ct-profiles/010_section_model-building/40_time_profile_plot_Erythromycin_1000mg_Miglioli1990_MD.png" id="109" name="Picture"/>
                    <pic:cNvPicPr>
                      <a:picLocks noChangeArrowheads="1" noChangeAspect="1"/>
                    </pic:cNvPicPr>
                  </pic:nvPicPr>
                  <pic:blipFill>
                    <a:blip r:embed="rId107"/>
                    <a:stretch>
                      <a:fillRect/>
                    </a:stretch>
                  </pic:blipFill>
                  <pic:spPr bwMode="auto">
                    <a:xfrm>
                      <a:off x="0" y="0"/>
                      <a:ext cx="5969000" cy="5464738"/>
                    </a:xfrm>
                    <a:prstGeom prst="rect">
                      <a:avLst/>
                    </a:prstGeom>
                    <a:noFill/>
                    <a:ln w="9525">
                      <a:noFill/>
                      <a:headEnd/>
                      <a:tailEnd/>
                    </a:ln>
                  </pic:spPr>
                </pic:pic>
              </a:graphicData>
            </a:graphic>
          </wp:inline>
        </w:drawing>
      </w:r>
    </w:p>
    <w:p>
      <w:pPr>
        <w:pStyle w:val="BodyText"/>
      </w:pPr>
      <w:r>
        <w:rPr>
          <w:bCs/>
          <w:b/>
        </w:rPr>
        <w:t xml:space="preserve">Figure 3-16: Time Profile Analysis</w:t>
      </w:r>
    </w:p>
    <w:p>
      <w:pPr>
        <w:pStyle w:val="BodyText"/>
      </w:pPr>
      <w:r>
        <w:t xml:space="preserve"> </w:t>
      </w:r>
    </w:p>
    <w:br w:type="page"/>
    <w:p>
      <w:pPr>
        <w:pStyle w:val="BodyText"/>
      </w:pPr>
      <w:bookmarkStart w:id="figure-3-17" w:name="figure-3-17"/>
      <w:bookmarkEnd w:id="figure-3-17"/>
    </w:p>
    <w:p>
      <w:pPr>
        <w:pStyle w:val="BodyText"/>
      </w:pPr>
      <w:r>
        <w:drawing>
          <wp:inline>
            <wp:extent cx="5969000" cy="5464738"/>
            <wp:effectExtent b="0" l="0" r="0" t="0"/>
            <wp:docPr descr="" title="" id="111" name="Picture"/>
            <a:graphic>
              <a:graphicData uri="http://schemas.openxmlformats.org/drawingml/2006/picture">
                <pic:pic>
                  <pic:nvPicPr>
                    <pic:cNvPr descr="images/006_section_results-and-discussion/009_section_ct-profiles/010_section_model-building/41_time_profile_plot_Erythromycin_1000mg_Miglioli1990_MD.png" id="112" name="Picture"/>
                    <pic:cNvPicPr>
                      <a:picLocks noChangeArrowheads="1" noChangeAspect="1"/>
                    </pic:cNvPicPr>
                  </pic:nvPicPr>
                  <pic:blipFill>
                    <a:blip r:embed="rId110"/>
                    <a:stretch>
                      <a:fillRect/>
                    </a:stretch>
                  </pic:blipFill>
                  <pic:spPr bwMode="auto">
                    <a:xfrm>
                      <a:off x="0" y="0"/>
                      <a:ext cx="5969000" cy="5464738"/>
                    </a:xfrm>
                    <a:prstGeom prst="rect">
                      <a:avLst/>
                    </a:prstGeom>
                    <a:noFill/>
                    <a:ln w="9525">
                      <a:noFill/>
                      <a:headEnd/>
                      <a:tailEnd/>
                    </a:ln>
                  </pic:spPr>
                </pic:pic>
              </a:graphicData>
            </a:graphic>
          </wp:inline>
        </w:drawing>
      </w:r>
    </w:p>
    <w:p>
      <w:pPr>
        <w:pStyle w:val="BodyText"/>
      </w:pPr>
      <w:r>
        <w:rPr>
          <w:bCs/>
          <w:b/>
        </w:rPr>
        <w:t xml:space="preserve">Figure 3-17: Time Profile Analysis 1</w:t>
      </w:r>
    </w:p>
    <w:p>
      <w:pPr>
        <w:pStyle w:val="BodyText"/>
      </w:pPr>
      <w:r>
        <w:t xml:space="preserve"> </w:t>
      </w:r>
    </w:p>
    <w:br w:type="page"/>
    <w:p>
      <w:pPr>
        <w:pStyle w:val="BodyText"/>
      </w:pPr>
      <w:bookmarkStart w:id="figure-3-18" w:name="figure-3-18"/>
      <w:bookmarkEnd w:id="figure-3-18"/>
    </w:p>
    <w:p>
      <w:pPr>
        <w:pStyle w:val="BodyText"/>
      </w:pPr>
      <w:r>
        <w:drawing>
          <wp:inline>
            <wp:extent cx="5969000" cy="5464738"/>
            <wp:effectExtent b="0" l="0" r="0" t="0"/>
            <wp:docPr descr="" title="" id="114" name="Picture"/>
            <a:graphic>
              <a:graphicData uri="http://schemas.openxmlformats.org/drawingml/2006/picture">
                <pic:pic>
                  <pic:nvPicPr>
                    <pic:cNvPr descr="images/006_section_results-and-discussion/009_section_ct-profiles/010_section_model-building/42_time_profile_plot_Erythromycin_1000mg_Miglioli1990_MD.png" id="115" name="Picture"/>
                    <pic:cNvPicPr>
                      <a:picLocks noChangeArrowheads="1" noChangeAspect="1"/>
                    </pic:cNvPicPr>
                  </pic:nvPicPr>
                  <pic:blipFill>
                    <a:blip r:embed="rId113"/>
                    <a:stretch>
                      <a:fillRect/>
                    </a:stretch>
                  </pic:blipFill>
                  <pic:spPr bwMode="auto">
                    <a:xfrm>
                      <a:off x="0" y="0"/>
                      <a:ext cx="5969000" cy="5464738"/>
                    </a:xfrm>
                    <a:prstGeom prst="rect">
                      <a:avLst/>
                    </a:prstGeom>
                    <a:noFill/>
                    <a:ln w="9525">
                      <a:noFill/>
                      <a:headEnd/>
                      <a:tailEnd/>
                    </a:ln>
                  </pic:spPr>
                </pic:pic>
              </a:graphicData>
            </a:graphic>
          </wp:inline>
        </w:drawing>
      </w:r>
    </w:p>
    <w:p>
      <w:pPr>
        <w:pStyle w:val="BodyText"/>
      </w:pPr>
      <w:r>
        <w:rPr>
          <w:bCs/>
          <w:b/>
        </w:rPr>
        <w:t xml:space="preserve">Figure 3-18: Time Profile Analysis 2</w:t>
      </w:r>
    </w:p>
    <w:p>
      <w:pPr>
        <w:pStyle w:val="BodyText"/>
      </w:pPr>
      <w:r>
        <w:t xml:space="preserve"> </w:t>
      </w:r>
    </w:p>
    <w:br w:type="page"/>
    <w:p>
      <w:pPr>
        <w:pStyle w:val="BodyText"/>
      </w:pPr>
      <w:bookmarkStart w:id="figure-3-19" w:name="figure-3-19"/>
      <w:bookmarkEnd w:id="figure-3-19"/>
    </w:p>
    <w:p>
      <w:pPr>
        <w:pStyle w:val="BodyText"/>
      </w:pPr>
      <w:r>
        <w:drawing>
          <wp:inline>
            <wp:extent cx="5969000" cy="5464738"/>
            <wp:effectExtent b="0" l="0" r="0" t="0"/>
            <wp:docPr descr="" title="" id="117" name="Picture"/>
            <a:graphic>
              <a:graphicData uri="http://schemas.openxmlformats.org/drawingml/2006/picture">
                <pic:pic>
                  <pic:nvPicPr>
                    <pic:cNvPr descr="images/006_section_results-and-discussion/009_section_ct-profiles/010_section_model-building/43_time_profile_plot_Erythromycin_1000mg_Miglioli1990_MD.png" id="118" name="Picture"/>
                    <pic:cNvPicPr>
                      <a:picLocks noChangeArrowheads="1" noChangeAspect="1"/>
                    </pic:cNvPicPr>
                  </pic:nvPicPr>
                  <pic:blipFill>
                    <a:blip r:embed="rId116"/>
                    <a:stretch>
                      <a:fillRect/>
                    </a:stretch>
                  </pic:blipFill>
                  <pic:spPr bwMode="auto">
                    <a:xfrm>
                      <a:off x="0" y="0"/>
                      <a:ext cx="5969000" cy="5464738"/>
                    </a:xfrm>
                    <a:prstGeom prst="rect">
                      <a:avLst/>
                    </a:prstGeom>
                    <a:noFill/>
                    <a:ln w="9525">
                      <a:noFill/>
                      <a:headEnd/>
                      <a:tailEnd/>
                    </a:ln>
                  </pic:spPr>
                </pic:pic>
              </a:graphicData>
            </a:graphic>
          </wp:inline>
        </w:drawing>
      </w:r>
    </w:p>
    <w:p>
      <w:pPr>
        <w:pStyle w:val="BodyText"/>
      </w:pPr>
      <w:r>
        <w:rPr>
          <w:bCs/>
          <w:b/>
        </w:rPr>
        <w:t xml:space="preserve">Figure 3-19: Time Profile Analysis 3</w:t>
      </w:r>
    </w:p>
    <w:p>
      <w:pPr>
        <w:pStyle w:val="BodyText"/>
      </w:pPr>
      <w:r>
        <w:t xml:space="preserve"> </w:t>
      </w:r>
    </w:p>
    <w:br w:type="page"/>
    <w:p>
      <w:pPr>
        <w:pStyle w:val="BodyText"/>
      </w:pPr>
      <w:bookmarkStart w:id="figure-3-20" w:name="figure-3-20"/>
      <w:bookmarkEnd w:id="figure-3-20"/>
    </w:p>
    <w:p>
      <w:pPr>
        <w:pStyle w:val="BodyText"/>
      </w:pPr>
      <w:r>
        <w:drawing>
          <wp:inline>
            <wp:extent cx="5969000" cy="4853513"/>
            <wp:effectExtent b="0" l="0" r="0" t="0"/>
            <wp:docPr descr="" title="" id="120" name="Picture"/>
            <a:graphic>
              <a:graphicData uri="http://schemas.openxmlformats.org/drawingml/2006/picture">
                <pic:pic>
                  <pic:nvPicPr>
                    <pic:cNvPr descr="images/006_section_results-and-discussion/009_section_ct-profiles/010_section_model-building/48_time_profile_plot_Erythromycin_250mg_Yakatan1980_stearate.png" id="121" name="Picture"/>
                    <pic:cNvPicPr>
                      <a:picLocks noChangeArrowheads="1" noChangeAspect="1"/>
                    </pic:cNvPicPr>
                  </pic:nvPicPr>
                  <pic:blipFill>
                    <a:blip r:embed="rId119"/>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3-20: Time Profile Analysis</w:t>
      </w:r>
    </w:p>
    <w:p>
      <w:pPr>
        <w:pStyle w:val="BodyText"/>
      </w:pPr>
      <w:r>
        <w:t xml:space="preserve"> </w:t>
      </w:r>
    </w:p>
    <w:br w:type="page"/>
    <w:p>
      <w:pPr>
        <w:pStyle w:val="BodyText"/>
      </w:pPr>
      <w:bookmarkStart w:id="figure-3-21" w:name="figure-3-21"/>
      <w:bookmarkEnd w:id="figure-3-21"/>
    </w:p>
    <w:p>
      <w:pPr>
        <w:pStyle w:val="BodyText"/>
      </w:pPr>
      <w:r>
        <w:drawing>
          <wp:inline>
            <wp:extent cx="5969000" cy="4853513"/>
            <wp:effectExtent b="0" l="0" r="0" t="0"/>
            <wp:docPr descr="" title="" id="123" name="Picture"/>
            <a:graphic>
              <a:graphicData uri="http://schemas.openxmlformats.org/drawingml/2006/picture">
                <pic:pic>
                  <pic:nvPicPr>
                    <pic:cNvPr descr="images/006_section_results-and-discussion/009_section_ct-profiles/010_section_model-building/49_time_profile_plot_Erythromycin_250mg_Yakatan1980_stearate.png" id="124" name="Picture"/>
                    <pic:cNvPicPr>
                      <a:picLocks noChangeArrowheads="1" noChangeAspect="1"/>
                    </pic:cNvPicPr>
                  </pic:nvPicPr>
                  <pic:blipFill>
                    <a:blip r:embed="rId122"/>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3-21: Time Profile Analysis 1</w:t>
      </w:r>
    </w:p>
    <w:p>
      <w:pPr>
        <w:pStyle w:val="BodyText"/>
      </w:pPr>
      <w:r>
        <w:t xml:space="preserve"> </w:t>
      </w:r>
    </w:p>
    <w:br w:type="page"/>
    <w:p>
      <w:pPr>
        <w:pStyle w:val="BodyText"/>
      </w:pPr>
      <w:bookmarkStart w:id="figure-3-22" w:name="figure-3-22"/>
      <w:bookmarkEnd w:id="figure-3-22"/>
    </w:p>
    <w:p>
      <w:pPr>
        <w:pStyle w:val="BodyText"/>
      </w:pPr>
      <w:r>
        <w:drawing>
          <wp:inline>
            <wp:extent cx="5969000" cy="4853513"/>
            <wp:effectExtent b="0" l="0" r="0" t="0"/>
            <wp:docPr descr="" title="" id="126" name="Picture"/>
            <a:graphic>
              <a:graphicData uri="http://schemas.openxmlformats.org/drawingml/2006/picture">
                <pic:pic>
                  <pic:nvPicPr>
                    <pic:cNvPr descr="images/006_section_results-and-discussion/009_section_ct-profiles/010_section_model-building/50_time_profile_plot_Erythromycin_250mg_Yakatan1980_stearate_MD.png" id="127" name="Picture"/>
                    <pic:cNvPicPr>
                      <a:picLocks noChangeArrowheads="1" noChangeAspect="1"/>
                    </pic:cNvPicPr>
                  </pic:nvPicPr>
                  <pic:blipFill>
                    <a:blip r:embed="rId125"/>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3-22: Time Profile Analysis</w:t>
      </w:r>
    </w:p>
    <w:p>
      <w:pPr>
        <w:pStyle w:val="BodyText"/>
      </w:pPr>
      <w:r>
        <w:t xml:space="preserve"> </w:t>
      </w:r>
    </w:p>
    <w:br w:type="page"/>
    <w:p>
      <w:pPr>
        <w:pStyle w:val="BodyText"/>
      </w:pPr>
      <w:bookmarkStart w:id="figure-3-23" w:name="figure-3-23"/>
      <w:bookmarkEnd w:id="figure-3-23"/>
    </w:p>
    <w:p>
      <w:pPr>
        <w:pStyle w:val="BodyText"/>
      </w:pPr>
      <w:r>
        <w:drawing>
          <wp:inline>
            <wp:extent cx="5969000" cy="4853513"/>
            <wp:effectExtent b="0" l="0" r="0" t="0"/>
            <wp:docPr descr="" title="" id="129" name="Picture"/>
            <a:graphic>
              <a:graphicData uri="http://schemas.openxmlformats.org/drawingml/2006/picture">
                <pic:pic>
                  <pic:nvPicPr>
                    <pic:cNvPr descr="images/006_section_results-and-discussion/009_section_ct-profiles/010_section_model-building/51_time_profile_plot_Erythromycin_250mg_Yakatan1980_stearate_MD.png" id="130" name="Picture"/>
                    <pic:cNvPicPr>
                      <a:picLocks noChangeArrowheads="1" noChangeAspect="1"/>
                    </pic:cNvPicPr>
                  </pic:nvPicPr>
                  <pic:blipFill>
                    <a:blip r:embed="rId128"/>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3-23: Time Profile Analysis 1</w:t>
      </w:r>
    </w:p>
    <w:p>
      <w:pPr>
        <w:pStyle w:val="BodyText"/>
      </w:pPr>
      <w:r>
        <w:t xml:space="preserve"> </w:t>
      </w:r>
    </w:p>
    <w:br w:type="page"/>
    <w:p>
      <w:pPr>
        <w:pStyle w:val="BodyText"/>
      </w:pPr>
      <w:bookmarkStart w:id="figure-3-24" w:name="figure-3-24"/>
      <w:bookmarkEnd w:id="figure-3-24"/>
    </w:p>
    <w:p>
      <w:pPr>
        <w:pStyle w:val="BodyText"/>
      </w:pPr>
      <w:r>
        <w:drawing>
          <wp:inline>
            <wp:extent cx="5969000" cy="6075964"/>
            <wp:effectExtent b="0" l="0" r="0" t="0"/>
            <wp:docPr descr="" title="" id="132" name="Picture"/>
            <a:graphic>
              <a:graphicData uri="http://schemas.openxmlformats.org/drawingml/2006/picture">
                <pic:pic>
                  <pic:nvPicPr>
                    <pic:cNvPr descr="images/006_section_results-and-discussion/009_section_ct-profiles/010_section_model-building/64_time_profile_plot_Erythromycin_500mg_Malmborg1978_MD.png" id="133" name="Picture"/>
                    <pic:cNvPicPr>
                      <a:picLocks noChangeArrowheads="1" noChangeAspect="1"/>
                    </pic:cNvPicPr>
                  </pic:nvPicPr>
                  <pic:blipFill>
                    <a:blip r:embed="rId131"/>
                    <a:stretch>
                      <a:fillRect/>
                    </a:stretch>
                  </pic:blipFill>
                  <pic:spPr bwMode="auto">
                    <a:xfrm>
                      <a:off x="0" y="0"/>
                      <a:ext cx="5969000" cy="6075964"/>
                    </a:xfrm>
                    <a:prstGeom prst="rect">
                      <a:avLst/>
                    </a:prstGeom>
                    <a:noFill/>
                    <a:ln w="9525">
                      <a:noFill/>
                      <a:headEnd/>
                      <a:tailEnd/>
                    </a:ln>
                  </pic:spPr>
                </pic:pic>
              </a:graphicData>
            </a:graphic>
          </wp:inline>
        </w:drawing>
      </w:r>
    </w:p>
    <w:p>
      <w:pPr>
        <w:pStyle w:val="BodyText"/>
      </w:pPr>
      <w:r>
        <w:rPr>
          <w:bCs/>
          <w:b/>
        </w:rPr>
        <w:t xml:space="preserve">Figure 3-24: Time Profile Analysis</w:t>
      </w:r>
    </w:p>
    <w:p>
      <w:pPr>
        <w:pStyle w:val="BodyText"/>
      </w:pPr>
      <w:r>
        <w:t xml:space="preserve"> </w:t>
      </w:r>
    </w:p>
    <w:br w:type="page"/>
    <w:p>
      <w:pPr>
        <w:pStyle w:val="BodyText"/>
      </w:pPr>
      <w:bookmarkStart w:id="figure-3-25" w:name="figure-3-25"/>
      <w:bookmarkEnd w:id="figure-3-25"/>
    </w:p>
    <w:p>
      <w:pPr>
        <w:pStyle w:val="BodyText"/>
      </w:pPr>
      <w:r>
        <w:drawing>
          <wp:inline>
            <wp:extent cx="5969000" cy="6075964"/>
            <wp:effectExtent b="0" l="0" r="0" t="0"/>
            <wp:docPr descr="" title="" id="135" name="Picture"/>
            <a:graphic>
              <a:graphicData uri="http://schemas.openxmlformats.org/drawingml/2006/picture">
                <pic:pic>
                  <pic:nvPicPr>
                    <pic:cNvPr descr="images/006_section_results-and-discussion/009_section_ct-profiles/010_section_model-building/65_time_profile_plot_Erythromycin_500mg_Malmborg1978_MD.png" id="136" name="Picture"/>
                    <pic:cNvPicPr>
                      <a:picLocks noChangeArrowheads="1" noChangeAspect="1"/>
                    </pic:cNvPicPr>
                  </pic:nvPicPr>
                  <pic:blipFill>
                    <a:blip r:embed="rId134"/>
                    <a:stretch>
                      <a:fillRect/>
                    </a:stretch>
                  </pic:blipFill>
                  <pic:spPr bwMode="auto">
                    <a:xfrm>
                      <a:off x="0" y="0"/>
                      <a:ext cx="5969000" cy="6075964"/>
                    </a:xfrm>
                    <a:prstGeom prst="rect">
                      <a:avLst/>
                    </a:prstGeom>
                    <a:noFill/>
                    <a:ln w="9525">
                      <a:noFill/>
                      <a:headEnd/>
                      <a:tailEnd/>
                    </a:ln>
                  </pic:spPr>
                </pic:pic>
              </a:graphicData>
            </a:graphic>
          </wp:inline>
        </w:drawing>
      </w:r>
    </w:p>
    <w:p>
      <w:pPr>
        <w:pStyle w:val="BodyText"/>
      </w:pPr>
      <w:r>
        <w:rPr>
          <w:bCs/>
          <w:b/>
        </w:rPr>
        <w:t xml:space="preserve">Figure 3-25: Time Profile Analysis 1</w:t>
      </w:r>
    </w:p>
    <w:p>
      <w:pPr>
        <w:pStyle w:val="BodyText"/>
      </w:pPr>
      <w:r>
        <w:t xml:space="preserve"> </w:t>
      </w:r>
    </w:p>
    <w:br w:type="page"/>
    <w:p>
      <w:pPr>
        <w:pStyle w:val="BodyText"/>
      </w:pPr>
      <w:bookmarkStart w:id="figure-3-26" w:name="figure-3-26"/>
      <w:bookmarkEnd w:id="figure-3-26"/>
    </w:p>
    <w:p>
      <w:pPr>
        <w:pStyle w:val="BodyText"/>
      </w:pPr>
      <w:r>
        <w:drawing>
          <wp:inline>
            <wp:extent cx="5969000" cy="6075964"/>
            <wp:effectExtent b="0" l="0" r="0" t="0"/>
            <wp:docPr descr="" title="" id="138" name="Picture"/>
            <a:graphic>
              <a:graphicData uri="http://schemas.openxmlformats.org/drawingml/2006/picture">
                <pic:pic>
                  <pic:nvPicPr>
                    <pic:cNvPr descr="images/006_section_results-and-discussion/009_section_ct-profiles/010_section_model-building/66_time_profile_plot_Erythromycin_500mg_Malmborg1978_MD.png" id="139" name="Picture"/>
                    <pic:cNvPicPr>
                      <a:picLocks noChangeArrowheads="1" noChangeAspect="1"/>
                    </pic:cNvPicPr>
                  </pic:nvPicPr>
                  <pic:blipFill>
                    <a:blip r:embed="rId137"/>
                    <a:stretch>
                      <a:fillRect/>
                    </a:stretch>
                  </pic:blipFill>
                  <pic:spPr bwMode="auto">
                    <a:xfrm>
                      <a:off x="0" y="0"/>
                      <a:ext cx="5969000" cy="6075964"/>
                    </a:xfrm>
                    <a:prstGeom prst="rect">
                      <a:avLst/>
                    </a:prstGeom>
                    <a:noFill/>
                    <a:ln w="9525">
                      <a:noFill/>
                      <a:headEnd/>
                      <a:tailEnd/>
                    </a:ln>
                  </pic:spPr>
                </pic:pic>
              </a:graphicData>
            </a:graphic>
          </wp:inline>
        </w:drawing>
      </w:r>
    </w:p>
    <w:p>
      <w:pPr>
        <w:pStyle w:val="BodyText"/>
      </w:pPr>
      <w:r>
        <w:rPr>
          <w:bCs/>
          <w:b/>
        </w:rPr>
        <w:t xml:space="preserve">Figure 3-26: Time Profile Analysis 2</w:t>
      </w:r>
    </w:p>
    <w:p>
      <w:pPr>
        <w:pStyle w:val="BodyText"/>
      </w:pPr>
      <w:r>
        <w:t xml:space="preserve"> </w:t>
      </w:r>
    </w:p>
    <w:br w:type="page"/>
    <w:p>
      <w:pPr>
        <w:pStyle w:val="BodyText"/>
      </w:pPr>
      <w:bookmarkStart w:id="figure-3-27" w:name="figure-3-27"/>
      <w:bookmarkEnd w:id="figure-3-27"/>
    </w:p>
    <w:p>
      <w:pPr>
        <w:pStyle w:val="BodyText"/>
      </w:pPr>
      <w:r>
        <w:drawing>
          <wp:inline>
            <wp:extent cx="5969000" cy="6075964"/>
            <wp:effectExtent b="0" l="0" r="0" t="0"/>
            <wp:docPr descr="" title="" id="141" name="Picture"/>
            <a:graphic>
              <a:graphicData uri="http://schemas.openxmlformats.org/drawingml/2006/picture">
                <pic:pic>
                  <pic:nvPicPr>
                    <pic:cNvPr descr="images/006_section_results-and-discussion/009_section_ct-profiles/010_section_model-building/67_time_profile_plot_Erythromycin_500mg_Malmborg1978_MD.png" id="142" name="Picture"/>
                    <pic:cNvPicPr>
                      <a:picLocks noChangeArrowheads="1" noChangeAspect="1"/>
                    </pic:cNvPicPr>
                  </pic:nvPicPr>
                  <pic:blipFill>
                    <a:blip r:embed="rId140"/>
                    <a:stretch>
                      <a:fillRect/>
                    </a:stretch>
                  </pic:blipFill>
                  <pic:spPr bwMode="auto">
                    <a:xfrm>
                      <a:off x="0" y="0"/>
                      <a:ext cx="5969000" cy="6075964"/>
                    </a:xfrm>
                    <a:prstGeom prst="rect">
                      <a:avLst/>
                    </a:prstGeom>
                    <a:noFill/>
                    <a:ln w="9525">
                      <a:noFill/>
                      <a:headEnd/>
                      <a:tailEnd/>
                    </a:ln>
                  </pic:spPr>
                </pic:pic>
              </a:graphicData>
            </a:graphic>
          </wp:inline>
        </w:drawing>
      </w:r>
    </w:p>
    <w:p>
      <w:pPr>
        <w:pStyle w:val="BodyText"/>
      </w:pPr>
      <w:r>
        <w:rPr>
          <w:bCs/>
          <w:b/>
        </w:rPr>
        <w:t xml:space="preserve">Figure 3-27: Time Profile Analysis 3</w:t>
      </w:r>
    </w:p>
    <w:p>
      <w:pPr>
        <w:pStyle w:val="BodyText"/>
      </w:pPr>
      <w:r>
        <w:t xml:space="preserve"> </w:t>
      </w:r>
    </w:p>
    <w:br w:type="page"/>
    <w:p>
      <w:pPr>
        <w:pStyle w:val="BodyText"/>
      </w:pPr>
      <w:bookmarkStart w:id="figure-3-28" w:name="figure-3-28"/>
      <w:bookmarkEnd w:id="figure-3-28"/>
    </w:p>
    <w:p>
      <w:pPr>
        <w:pStyle w:val="BodyText"/>
      </w:pPr>
      <w:r>
        <w:drawing>
          <wp:inline>
            <wp:extent cx="5969000" cy="4853513"/>
            <wp:effectExtent b="0" l="0" r="0" t="0"/>
            <wp:docPr descr="" title="" id="144" name="Picture"/>
            <a:graphic>
              <a:graphicData uri="http://schemas.openxmlformats.org/drawingml/2006/picture">
                <pic:pic>
                  <pic:nvPicPr>
                    <pic:cNvPr descr="images/006_section_results-and-discussion/009_section_ct-profiles/010_section_model-building/71_time_profile_plot_Erythromycin_500mg_Posti1983_A1.png" id="145" name="Picture"/>
                    <pic:cNvPicPr>
                      <a:picLocks noChangeArrowheads="1" noChangeAspect="1"/>
                    </pic:cNvPicPr>
                  </pic:nvPicPr>
                  <pic:blipFill>
                    <a:blip r:embed="rId143"/>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3-28: Time Profile Analysis</w:t>
      </w:r>
    </w:p>
    <w:p>
      <w:pPr>
        <w:pStyle w:val="BodyText"/>
      </w:pPr>
      <w:r>
        <w:t xml:space="preserve"> </w:t>
      </w:r>
    </w:p>
    <w:br w:type="page"/>
    <w:p>
      <w:pPr>
        <w:pStyle w:val="BodyText"/>
      </w:pPr>
      <w:bookmarkStart w:id="figure-3-29" w:name="figure-3-29"/>
      <w:bookmarkEnd w:id="figure-3-29"/>
    </w:p>
    <w:p>
      <w:pPr>
        <w:pStyle w:val="BodyText"/>
      </w:pPr>
      <w:r>
        <w:drawing>
          <wp:inline>
            <wp:extent cx="5969000" cy="4853513"/>
            <wp:effectExtent b="0" l="0" r="0" t="0"/>
            <wp:docPr descr="" title="" id="147" name="Picture"/>
            <a:graphic>
              <a:graphicData uri="http://schemas.openxmlformats.org/drawingml/2006/picture">
                <pic:pic>
                  <pic:nvPicPr>
                    <pic:cNvPr descr="images/006_section_results-and-discussion/009_section_ct-profiles/010_section_model-building/72_time_profile_plot_Erythromycin_500mg_Posti1983_A1.png" id="148" name="Picture"/>
                    <pic:cNvPicPr>
                      <a:picLocks noChangeArrowheads="1" noChangeAspect="1"/>
                    </pic:cNvPicPr>
                  </pic:nvPicPr>
                  <pic:blipFill>
                    <a:blip r:embed="rId146"/>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3-29: Time Profile Analysis 1</w:t>
      </w:r>
    </w:p>
    <w:p>
      <w:pPr>
        <w:pStyle w:val="BodyText"/>
      </w:pPr>
      <w:r>
        <w:t xml:space="preserve"> </w:t>
      </w:r>
    </w:p>
    <w:br w:type="page"/>
    <w:p>
      <w:pPr>
        <w:pStyle w:val="BodyText"/>
      </w:pPr>
      <w:bookmarkStart w:id="figure-3-30" w:name="figure-3-30"/>
      <w:bookmarkEnd w:id="figure-3-30"/>
    </w:p>
    <w:p>
      <w:pPr>
        <w:pStyle w:val="BodyText"/>
      </w:pPr>
      <w:r>
        <w:drawing>
          <wp:inline>
            <wp:extent cx="5969000" cy="5464738"/>
            <wp:effectExtent b="0" l="0" r="0" t="0"/>
            <wp:docPr descr="" title="" id="150" name="Picture"/>
            <a:graphic>
              <a:graphicData uri="http://schemas.openxmlformats.org/drawingml/2006/picture">
                <pic:pic>
                  <pic:nvPicPr>
                    <pic:cNvPr descr="images/006_section_results-and-discussion/009_section_ct-profiles/010_section_model-building/73_time_profile_plot_Erythromycin_500mg_Posti1983_A2_RN.png" id="151" name="Picture"/>
                    <pic:cNvPicPr>
                      <a:picLocks noChangeArrowheads="1" noChangeAspect="1"/>
                    </pic:cNvPicPr>
                  </pic:nvPicPr>
                  <pic:blipFill>
                    <a:blip r:embed="rId149"/>
                    <a:stretch>
                      <a:fillRect/>
                    </a:stretch>
                  </pic:blipFill>
                  <pic:spPr bwMode="auto">
                    <a:xfrm>
                      <a:off x="0" y="0"/>
                      <a:ext cx="5969000" cy="5464738"/>
                    </a:xfrm>
                    <a:prstGeom prst="rect">
                      <a:avLst/>
                    </a:prstGeom>
                    <a:noFill/>
                    <a:ln w="9525">
                      <a:noFill/>
                      <a:headEnd/>
                      <a:tailEnd/>
                    </a:ln>
                  </pic:spPr>
                </pic:pic>
              </a:graphicData>
            </a:graphic>
          </wp:inline>
        </w:drawing>
      </w:r>
    </w:p>
    <w:p>
      <w:pPr>
        <w:pStyle w:val="BodyText"/>
      </w:pPr>
      <w:r>
        <w:rPr>
          <w:bCs/>
          <w:b/>
        </w:rPr>
        <w:t xml:space="preserve">Figure 3-30: Time Profile Analysis</w:t>
      </w:r>
    </w:p>
    <w:p>
      <w:pPr>
        <w:pStyle w:val="BodyText"/>
      </w:pPr>
      <w:r>
        <w:t xml:space="preserve"> </w:t>
      </w:r>
    </w:p>
    <w:br w:type="page"/>
    <w:p>
      <w:pPr>
        <w:pStyle w:val="BodyText"/>
      </w:pPr>
      <w:bookmarkStart w:id="figure-3-31" w:name="figure-3-31"/>
      <w:bookmarkEnd w:id="figure-3-31"/>
    </w:p>
    <w:p>
      <w:pPr>
        <w:pStyle w:val="BodyText"/>
      </w:pPr>
      <w:r>
        <w:drawing>
          <wp:inline>
            <wp:extent cx="5969000" cy="5464738"/>
            <wp:effectExtent b="0" l="0" r="0" t="0"/>
            <wp:docPr descr="" title="" id="153" name="Picture"/>
            <a:graphic>
              <a:graphicData uri="http://schemas.openxmlformats.org/drawingml/2006/picture">
                <pic:pic>
                  <pic:nvPicPr>
                    <pic:cNvPr descr="images/006_section_results-and-discussion/009_section_ct-profiles/010_section_model-building/74_time_profile_plot_Erythromycin_500mg_Posti1983_A2_RN.png" id="154" name="Picture"/>
                    <pic:cNvPicPr>
                      <a:picLocks noChangeArrowheads="1" noChangeAspect="1"/>
                    </pic:cNvPicPr>
                  </pic:nvPicPr>
                  <pic:blipFill>
                    <a:blip r:embed="rId152"/>
                    <a:stretch>
                      <a:fillRect/>
                    </a:stretch>
                  </pic:blipFill>
                  <pic:spPr bwMode="auto">
                    <a:xfrm>
                      <a:off x="0" y="0"/>
                      <a:ext cx="5969000" cy="5464738"/>
                    </a:xfrm>
                    <a:prstGeom prst="rect">
                      <a:avLst/>
                    </a:prstGeom>
                    <a:noFill/>
                    <a:ln w="9525">
                      <a:noFill/>
                      <a:headEnd/>
                      <a:tailEnd/>
                    </a:ln>
                  </pic:spPr>
                </pic:pic>
              </a:graphicData>
            </a:graphic>
          </wp:inline>
        </w:drawing>
      </w:r>
    </w:p>
    <w:p>
      <w:pPr>
        <w:pStyle w:val="BodyText"/>
      </w:pPr>
      <w:r>
        <w:rPr>
          <w:bCs/>
          <w:b/>
        </w:rPr>
        <w:t xml:space="preserve">Figure 3-31: Time Profile Analysis 1</w:t>
      </w:r>
    </w:p>
    <w:p>
      <w:pPr>
        <w:pStyle w:val="BodyText"/>
      </w:pPr>
      <w:r>
        <w:t xml:space="preserve"> </w:t>
      </w:r>
    </w:p>
    <w:bookmarkEnd w:id="155"/>
    <w:bookmarkStart w:id="303" w:name="model-verification"/>
    <w:p>
      <w:pPr>
        <w:pStyle w:val="Heading3"/>
      </w:pPr>
      <w:r>
        <w:t xml:space="preserve">Model Verification</w:t>
      </w:r>
      <w:bookmarkStart w:id="model-verification" w:name="model-verification"/>
      <w:bookmarkEnd w:id="model-verification"/>
    </w:p>
    <w:br w:type="page"/>
    <w:p>
      <w:pPr>
        <w:pStyle w:val="FirstParagraph"/>
      </w:pPr>
      <w:bookmarkStart w:id="figure-3-32" w:name="figure-3-32"/>
      <w:bookmarkEnd w:id="figure-3-32"/>
    </w:p>
    <w:p>
      <w:pPr>
        <w:pStyle w:val="BodyText"/>
      </w:pPr>
      <w:r>
        <w:drawing>
          <wp:inline>
            <wp:extent cx="5969000" cy="4853513"/>
            <wp:effectExtent b="0" l="0" r="0" t="0"/>
            <wp:docPr descr="" title="" id="157" name="Picture"/>
            <a:graphic>
              <a:graphicData uri="http://schemas.openxmlformats.org/drawingml/2006/picture">
                <pic:pic>
                  <pic:nvPicPr>
                    <pic:cNvPr descr="images/006_section_results-and-discussion/009_section_ct-profiles/011_section_model-verification/1_time_profile_plot_Erythromycin_IV_1000mg_Huppertz2011.png" id="158" name="Picture"/>
                    <pic:cNvPicPr>
                      <a:picLocks noChangeArrowheads="1" noChangeAspect="1"/>
                    </pic:cNvPicPr>
                  </pic:nvPicPr>
                  <pic:blipFill>
                    <a:blip r:embed="rId156"/>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3-32: Time Profile Analysis</w:t>
      </w:r>
    </w:p>
    <w:p>
      <w:pPr>
        <w:pStyle w:val="BodyText"/>
      </w:pPr>
      <w:r>
        <w:t xml:space="preserve"> </w:t>
      </w:r>
    </w:p>
    <w:br w:type="page"/>
    <w:p>
      <w:pPr>
        <w:pStyle w:val="BodyText"/>
      </w:pPr>
      <w:bookmarkStart w:id="figure-3-33" w:name="figure-3-33"/>
      <w:bookmarkEnd w:id="figure-3-33"/>
    </w:p>
    <w:p>
      <w:pPr>
        <w:pStyle w:val="BodyText"/>
      </w:pPr>
      <w:r>
        <w:drawing>
          <wp:inline>
            <wp:extent cx="5969000" cy="4853513"/>
            <wp:effectExtent b="0" l="0" r="0" t="0"/>
            <wp:docPr descr="" title="" id="160" name="Picture"/>
            <a:graphic>
              <a:graphicData uri="http://schemas.openxmlformats.org/drawingml/2006/picture">
                <pic:pic>
                  <pic:nvPicPr>
                    <pic:cNvPr descr="images/006_section_results-and-discussion/009_section_ct-profiles/011_section_model-verification/2_time_profile_plot_Erythromycin_IV_125mg_Austin1980.png" id="161" name="Picture"/>
                    <pic:cNvPicPr>
                      <a:picLocks noChangeArrowheads="1" noChangeAspect="1"/>
                    </pic:cNvPicPr>
                  </pic:nvPicPr>
                  <pic:blipFill>
                    <a:blip r:embed="rId159"/>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3-33: Time Profile Analysis</w:t>
      </w:r>
    </w:p>
    <w:p>
      <w:pPr>
        <w:pStyle w:val="BodyText"/>
      </w:pPr>
      <w:r>
        <w:t xml:space="preserve"> </w:t>
      </w:r>
    </w:p>
    <w:br w:type="page"/>
    <w:p>
      <w:pPr>
        <w:pStyle w:val="BodyText"/>
      </w:pPr>
      <w:bookmarkStart w:id="figure-3-34" w:name="figure-3-34"/>
      <w:bookmarkEnd w:id="figure-3-34"/>
    </w:p>
    <w:p>
      <w:pPr>
        <w:pStyle w:val="BodyText"/>
      </w:pPr>
      <w:r>
        <w:drawing>
          <wp:inline>
            <wp:extent cx="5969000" cy="4853513"/>
            <wp:effectExtent b="0" l="0" r="0" t="0"/>
            <wp:docPr descr="" title="" id="163" name="Picture"/>
            <a:graphic>
              <a:graphicData uri="http://schemas.openxmlformats.org/drawingml/2006/picture">
                <pic:pic>
                  <pic:nvPicPr>
                    <pic:cNvPr descr="images/006_section_results-and-discussion/009_section_ct-profiles/011_section_model-verification/3_time_profile_plot_Erythromycin_IV_125mg_Austin1980.png" id="164" name="Picture"/>
                    <pic:cNvPicPr>
                      <a:picLocks noChangeArrowheads="1" noChangeAspect="1"/>
                    </pic:cNvPicPr>
                  </pic:nvPicPr>
                  <pic:blipFill>
                    <a:blip r:embed="rId162"/>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3-34: Time Profile Analysis 1</w:t>
      </w:r>
    </w:p>
    <w:p>
      <w:pPr>
        <w:pStyle w:val="BodyText"/>
      </w:pPr>
      <w:r>
        <w:t xml:space="preserve"> </w:t>
      </w:r>
    </w:p>
    <w:br w:type="page"/>
    <w:p>
      <w:pPr>
        <w:pStyle w:val="BodyText"/>
      </w:pPr>
      <w:bookmarkStart w:id="figure-3-35" w:name="figure-3-35"/>
      <w:bookmarkEnd w:id="figure-3-35"/>
    </w:p>
    <w:p>
      <w:pPr>
        <w:pStyle w:val="BodyText"/>
      </w:pPr>
      <w:r>
        <w:drawing>
          <wp:inline>
            <wp:extent cx="5969000" cy="4853513"/>
            <wp:effectExtent b="0" l="0" r="0" t="0"/>
            <wp:docPr descr="" title="" id="166" name="Picture"/>
            <a:graphic>
              <a:graphicData uri="http://schemas.openxmlformats.org/drawingml/2006/picture">
                <pic:pic>
                  <pic:nvPicPr>
                    <pic:cNvPr descr="images/006_section_results-and-discussion/009_section_ct-profiles/011_section_model-verification/7_time_profile_plot_Erythromycin_IV_250mg_Austin1980.png" id="167" name="Picture"/>
                    <pic:cNvPicPr>
                      <a:picLocks noChangeArrowheads="1" noChangeAspect="1"/>
                    </pic:cNvPicPr>
                  </pic:nvPicPr>
                  <pic:blipFill>
                    <a:blip r:embed="rId165"/>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3-35: Time Profile Analysis</w:t>
      </w:r>
    </w:p>
    <w:p>
      <w:pPr>
        <w:pStyle w:val="BodyText"/>
      </w:pPr>
      <w:r>
        <w:t xml:space="preserve"> </w:t>
      </w:r>
    </w:p>
    <w:br w:type="page"/>
    <w:p>
      <w:pPr>
        <w:pStyle w:val="BodyText"/>
      </w:pPr>
      <w:bookmarkStart w:id="figure-3-36" w:name="figure-3-36"/>
      <w:bookmarkEnd w:id="figure-3-36"/>
    </w:p>
    <w:p>
      <w:pPr>
        <w:pStyle w:val="BodyText"/>
      </w:pPr>
      <w:r>
        <w:drawing>
          <wp:inline>
            <wp:extent cx="5969000" cy="4853513"/>
            <wp:effectExtent b="0" l="0" r="0" t="0"/>
            <wp:docPr descr="" title="" id="169" name="Picture"/>
            <a:graphic>
              <a:graphicData uri="http://schemas.openxmlformats.org/drawingml/2006/picture">
                <pic:pic>
                  <pic:nvPicPr>
                    <pic:cNvPr descr="images/006_section_results-and-discussion/009_section_ct-profiles/011_section_model-verification/8_time_profile_plot_Erythromycin_IV_250mg_Austin1980.png" id="170" name="Picture"/>
                    <pic:cNvPicPr>
                      <a:picLocks noChangeArrowheads="1" noChangeAspect="1"/>
                    </pic:cNvPicPr>
                  </pic:nvPicPr>
                  <pic:blipFill>
                    <a:blip r:embed="rId168"/>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3-36: Time Profile Analysis 1</w:t>
      </w:r>
    </w:p>
    <w:p>
      <w:pPr>
        <w:pStyle w:val="BodyText"/>
      </w:pPr>
      <w:r>
        <w:t xml:space="preserve"> </w:t>
      </w:r>
    </w:p>
    <w:br w:type="page"/>
    <w:p>
      <w:pPr>
        <w:pStyle w:val="BodyText"/>
      </w:pPr>
      <w:bookmarkStart w:id="figure-3-37" w:name="figure-3-37"/>
      <w:bookmarkEnd w:id="figure-3-37"/>
    </w:p>
    <w:p>
      <w:pPr>
        <w:pStyle w:val="BodyText"/>
      </w:pPr>
      <w:r>
        <w:drawing>
          <wp:inline>
            <wp:extent cx="5969000" cy="4853513"/>
            <wp:effectExtent b="0" l="0" r="0" t="0"/>
            <wp:docPr descr="" title="" id="172" name="Picture"/>
            <a:graphic>
              <a:graphicData uri="http://schemas.openxmlformats.org/drawingml/2006/picture">
                <pic:pic>
                  <pic:nvPicPr>
                    <pic:cNvPr descr="images/006_section_results-and-discussion/009_section_ct-profiles/011_section_model-verification/11_time_profile_plot_Erythromycin_IV_500mg_Austin1980.png" id="173" name="Picture"/>
                    <pic:cNvPicPr>
                      <a:picLocks noChangeArrowheads="1" noChangeAspect="1"/>
                    </pic:cNvPicPr>
                  </pic:nvPicPr>
                  <pic:blipFill>
                    <a:blip r:embed="rId171"/>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3-37: Time Profile Analysis</w:t>
      </w:r>
    </w:p>
    <w:p>
      <w:pPr>
        <w:pStyle w:val="BodyText"/>
      </w:pPr>
      <w:r>
        <w:t xml:space="preserve"> </w:t>
      </w:r>
    </w:p>
    <w:br w:type="page"/>
    <w:p>
      <w:pPr>
        <w:pStyle w:val="BodyText"/>
      </w:pPr>
      <w:bookmarkStart w:id="figure-3-38" w:name="figure-3-38"/>
      <w:bookmarkEnd w:id="figure-3-38"/>
    </w:p>
    <w:p>
      <w:pPr>
        <w:pStyle w:val="BodyText"/>
      </w:pPr>
      <w:r>
        <w:drawing>
          <wp:inline>
            <wp:extent cx="5969000" cy="4853513"/>
            <wp:effectExtent b="0" l="0" r="0" t="0"/>
            <wp:docPr descr="" title="" id="175" name="Picture"/>
            <a:graphic>
              <a:graphicData uri="http://schemas.openxmlformats.org/drawingml/2006/picture">
                <pic:pic>
                  <pic:nvPicPr>
                    <pic:cNvPr descr="images/006_section_results-and-discussion/009_section_ct-profiles/011_section_model-verification/12_time_profile_plot_Erythromycin_IV_500mg_Austin1980.png" id="176" name="Picture"/>
                    <pic:cNvPicPr>
                      <a:picLocks noChangeArrowheads="1" noChangeAspect="1"/>
                    </pic:cNvPicPr>
                  </pic:nvPicPr>
                  <pic:blipFill>
                    <a:blip r:embed="rId174"/>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3-38: Time Profile Analysis 1</w:t>
      </w:r>
    </w:p>
    <w:p>
      <w:pPr>
        <w:pStyle w:val="BodyText"/>
      </w:pPr>
      <w:r>
        <w:t xml:space="preserve"> </w:t>
      </w:r>
    </w:p>
    <w:br w:type="page"/>
    <w:p>
      <w:pPr>
        <w:pStyle w:val="BodyText"/>
      </w:pPr>
      <w:bookmarkStart w:id="figure-3-39" w:name="figure-3-39"/>
      <w:bookmarkEnd w:id="figure-3-39"/>
    </w:p>
    <w:p>
      <w:pPr>
        <w:pStyle w:val="BodyText"/>
      </w:pPr>
      <w:r>
        <w:drawing>
          <wp:inline>
            <wp:extent cx="5969000" cy="4853513"/>
            <wp:effectExtent b="0" l="0" r="0" t="0"/>
            <wp:docPr descr="" title="" id="178" name="Picture"/>
            <a:graphic>
              <a:graphicData uri="http://schemas.openxmlformats.org/drawingml/2006/picture">
                <pic:pic>
                  <pic:nvPicPr>
                    <pic:cNvPr descr="images/006_section_results-and-discussion/009_section_ct-profiles/011_section_model-verification/15_time_profile_plot_Erythromycin_IV_500mg_Simon1980.png" id="179" name="Picture"/>
                    <pic:cNvPicPr>
                      <a:picLocks noChangeArrowheads="1" noChangeAspect="1"/>
                    </pic:cNvPicPr>
                  </pic:nvPicPr>
                  <pic:blipFill>
                    <a:blip r:embed="rId177"/>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3-39: Time Profile Analysis</w:t>
      </w:r>
    </w:p>
    <w:p>
      <w:pPr>
        <w:pStyle w:val="BodyText"/>
      </w:pPr>
      <w:r>
        <w:t xml:space="preserve"> </w:t>
      </w:r>
    </w:p>
    <w:br w:type="page"/>
    <w:p>
      <w:pPr>
        <w:pStyle w:val="BodyText"/>
      </w:pPr>
      <w:bookmarkStart w:id="figure-3-40" w:name="figure-3-40"/>
      <w:bookmarkEnd w:id="figure-3-40"/>
    </w:p>
    <w:p>
      <w:pPr>
        <w:pStyle w:val="BodyText"/>
      </w:pPr>
      <w:r>
        <w:drawing>
          <wp:inline>
            <wp:extent cx="5969000" cy="4853513"/>
            <wp:effectExtent b="0" l="0" r="0" t="0"/>
            <wp:docPr descr="" title="" id="181" name="Picture"/>
            <a:graphic>
              <a:graphicData uri="http://schemas.openxmlformats.org/drawingml/2006/picture">
                <pic:pic>
                  <pic:nvPicPr>
                    <pic:cNvPr descr="images/006_section_results-and-discussion/009_section_ct-profiles/011_section_model-verification/16_time_profile_plot_Erythromycin_IV_900mg_Austin1980.png" id="182" name="Picture"/>
                    <pic:cNvPicPr>
                      <a:picLocks noChangeArrowheads="1" noChangeAspect="1"/>
                    </pic:cNvPicPr>
                  </pic:nvPicPr>
                  <pic:blipFill>
                    <a:blip r:embed="rId180"/>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3-40: Time Profile Analysis</w:t>
      </w:r>
    </w:p>
    <w:p>
      <w:pPr>
        <w:pStyle w:val="BodyText"/>
      </w:pPr>
      <w:r>
        <w:t xml:space="preserve"> </w:t>
      </w:r>
    </w:p>
    <w:br w:type="page"/>
    <w:p>
      <w:pPr>
        <w:pStyle w:val="BodyText"/>
      </w:pPr>
      <w:bookmarkStart w:id="figure-3-41" w:name="figure-3-41"/>
      <w:bookmarkEnd w:id="figure-3-41"/>
    </w:p>
    <w:p>
      <w:pPr>
        <w:pStyle w:val="BodyText"/>
      </w:pPr>
      <w:r>
        <w:drawing>
          <wp:inline>
            <wp:extent cx="5969000" cy="4853513"/>
            <wp:effectExtent b="0" l="0" r="0" t="0"/>
            <wp:docPr descr="" title="" id="184" name="Picture"/>
            <a:graphic>
              <a:graphicData uri="http://schemas.openxmlformats.org/drawingml/2006/picture">
                <pic:pic>
                  <pic:nvPicPr>
                    <pic:cNvPr descr="images/006_section_results-and-discussion/009_section_ct-profiles/011_section_model-verification/17_time_profile_plot_Erythromycin_IV_900mg_Austin1980.png" id="185" name="Picture"/>
                    <pic:cNvPicPr>
                      <a:picLocks noChangeArrowheads="1" noChangeAspect="1"/>
                    </pic:cNvPicPr>
                  </pic:nvPicPr>
                  <pic:blipFill>
                    <a:blip r:embed="rId183"/>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3-41: Time Profile Analysis 1</w:t>
      </w:r>
    </w:p>
    <w:p>
      <w:pPr>
        <w:pStyle w:val="BodyText"/>
      </w:pPr>
      <w:r>
        <w:t xml:space="preserve"> </w:t>
      </w:r>
    </w:p>
    <w:br w:type="page"/>
    <w:p>
      <w:pPr>
        <w:pStyle w:val="BodyText"/>
      </w:pPr>
      <w:bookmarkStart w:id="figure-3-42" w:name="figure-3-42"/>
      <w:bookmarkEnd w:id="figure-3-42"/>
    </w:p>
    <w:p>
      <w:pPr>
        <w:pStyle w:val="BodyText"/>
      </w:pPr>
      <w:r>
        <w:drawing>
          <wp:inline>
            <wp:extent cx="5969000" cy="4853513"/>
            <wp:effectExtent b="0" l="0" r="0" t="0"/>
            <wp:docPr descr="" title="" id="187" name="Picture"/>
            <a:graphic>
              <a:graphicData uri="http://schemas.openxmlformats.org/drawingml/2006/picture">
                <pic:pic>
                  <pic:nvPicPr>
                    <pic:cNvPr descr="images/006_section_results-and-discussion/009_section_ct-profiles/011_section_model-verification/18_time_profile_plot_Erythromycin_1000mg_Josefsson1982a_pellets.png" id="188" name="Picture"/>
                    <pic:cNvPicPr>
                      <a:picLocks noChangeArrowheads="1" noChangeAspect="1"/>
                    </pic:cNvPicPr>
                  </pic:nvPicPr>
                  <pic:blipFill>
                    <a:blip r:embed="rId186"/>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3-42: Time Profile Analysis</w:t>
      </w:r>
    </w:p>
    <w:p>
      <w:pPr>
        <w:pStyle w:val="BodyText"/>
      </w:pPr>
      <w:r>
        <w:t xml:space="preserve"> </w:t>
      </w:r>
    </w:p>
    <w:br w:type="page"/>
    <w:p>
      <w:pPr>
        <w:pStyle w:val="BodyText"/>
      </w:pPr>
      <w:bookmarkStart w:id="figure-3-43" w:name="figure-3-43"/>
      <w:bookmarkEnd w:id="figure-3-43"/>
    </w:p>
    <w:p>
      <w:pPr>
        <w:pStyle w:val="BodyText"/>
      </w:pPr>
      <w:r>
        <w:drawing>
          <wp:inline>
            <wp:extent cx="5969000" cy="4853513"/>
            <wp:effectExtent b="0" l="0" r="0" t="0"/>
            <wp:docPr descr="" title="" id="190" name="Picture"/>
            <a:graphic>
              <a:graphicData uri="http://schemas.openxmlformats.org/drawingml/2006/picture">
                <pic:pic>
                  <pic:nvPicPr>
                    <pic:cNvPr descr="images/006_section_results-and-discussion/009_section_ct-profiles/011_section_model-verification/19_time_profile_plot_Erythromycin_1000mg_Josefsson1982a_pellets.png" id="191" name="Picture"/>
                    <pic:cNvPicPr>
                      <a:picLocks noChangeArrowheads="1" noChangeAspect="1"/>
                    </pic:cNvPicPr>
                  </pic:nvPicPr>
                  <pic:blipFill>
                    <a:blip r:embed="rId189"/>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3-43: Time Profile Analysis 1</w:t>
      </w:r>
    </w:p>
    <w:p>
      <w:pPr>
        <w:pStyle w:val="BodyText"/>
      </w:pPr>
      <w:r>
        <w:t xml:space="preserve"> </w:t>
      </w:r>
    </w:p>
    <w:br w:type="page"/>
    <w:p>
      <w:pPr>
        <w:pStyle w:val="BodyText"/>
      </w:pPr>
      <w:bookmarkStart w:id="figure-3-44" w:name="figure-3-44"/>
      <w:bookmarkEnd w:id="figure-3-44"/>
    </w:p>
    <w:p>
      <w:pPr>
        <w:pStyle w:val="BodyText"/>
      </w:pPr>
      <w:r>
        <w:drawing>
          <wp:inline>
            <wp:extent cx="5969000" cy="4853513"/>
            <wp:effectExtent b="0" l="0" r="0" t="0"/>
            <wp:docPr descr="" title="" id="193" name="Picture"/>
            <a:graphic>
              <a:graphicData uri="http://schemas.openxmlformats.org/drawingml/2006/picture">
                <pic:pic>
                  <pic:nvPicPr>
                    <pic:cNvPr descr="images/006_section_results-and-discussion/009_section_ct-profiles/011_section_model-verification/20_time_profile_plot_Erythromycin_250mg_Birkett1990_SD.png" id="194" name="Picture"/>
                    <pic:cNvPicPr>
                      <a:picLocks noChangeArrowheads="1" noChangeAspect="1"/>
                    </pic:cNvPicPr>
                  </pic:nvPicPr>
                  <pic:blipFill>
                    <a:blip r:embed="rId192"/>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3-44: Time Profile Analysis</w:t>
      </w:r>
    </w:p>
    <w:p>
      <w:pPr>
        <w:pStyle w:val="BodyText"/>
      </w:pPr>
      <w:r>
        <w:t xml:space="preserve"> </w:t>
      </w:r>
    </w:p>
    <w:br w:type="page"/>
    <w:p>
      <w:pPr>
        <w:pStyle w:val="BodyText"/>
      </w:pPr>
      <w:bookmarkStart w:id="figure-3-45" w:name="figure-3-45"/>
      <w:bookmarkEnd w:id="figure-3-45"/>
    </w:p>
    <w:p>
      <w:pPr>
        <w:pStyle w:val="BodyText"/>
      </w:pPr>
      <w:r>
        <w:drawing>
          <wp:inline>
            <wp:extent cx="5969000" cy="4853513"/>
            <wp:effectExtent b="0" l="0" r="0" t="0"/>
            <wp:docPr descr="" title="" id="196" name="Picture"/>
            <a:graphic>
              <a:graphicData uri="http://schemas.openxmlformats.org/drawingml/2006/picture">
                <pic:pic>
                  <pic:nvPicPr>
                    <pic:cNvPr descr="images/006_section_results-and-discussion/009_section_ct-profiles/011_section_model-verification/21_time_profile_plot_Erythromycin_250mg_Birkett1990_SD.png" id="197" name="Picture"/>
                    <pic:cNvPicPr>
                      <a:picLocks noChangeArrowheads="1" noChangeAspect="1"/>
                    </pic:cNvPicPr>
                  </pic:nvPicPr>
                  <pic:blipFill>
                    <a:blip r:embed="rId195"/>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3-45: Time Profile Analysis 1</w:t>
      </w:r>
    </w:p>
    <w:p>
      <w:pPr>
        <w:pStyle w:val="BodyText"/>
      </w:pPr>
      <w:r>
        <w:t xml:space="preserve"> </w:t>
      </w:r>
    </w:p>
    <w:br w:type="page"/>
    <w:p>
      <w:pPr>
        <w:pStyle w:val="BodyText"/>
      </w:pPr>
      <w:bookmarkStart w:id="figure-3-46" w:name="figure-3-46"/>
      <w:bookmarkEnd w:id="figure-3-46"/>
    </w:p>
    <w:p>
      <w:pPr>
        <w:pStyle w:val="BodyText"/>
      </w:pPr>
      <w:r>
        <w:drawing>
          <wp:inline>
            <wp:extent cx="5969000" cy="4853513"/>
            <wp:effectExtent b="0" l="0" r="0" t="0"/>
            <wp:docPr descr="" title="" id="199" name="Picture"/>
            <a:graphic>
              <a:graphicData uri="http://schemas.openxmlformats.org/drawingml/2006/picture">
                <pic:pic>
                  <pic:nvPicPr>
                    <pic:cNvPr descr="images/006_section_results-and-discussion/009_section_ct-profiles/011_section_model-verification/22_time_profile_plot_Erythromycin_250mg_Birkett1990_MD.png" id="200" name="Picture"/>
                    <pic:cNvPicPr>
                      <a:picLocks noChangeArrowheads="1" noChangeAspect="1"/>
                    </pic:cNvPicPr>
                  </pic:nvPicPr>
                  <pic:blipFill>
                    <a:blip r:embed="rId198"/>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3-46: Time Profile Analysis</w:t>
      </w:r>
    </w:p>
    <w:p>
      <w:pPr>
        <w:pStyle w:val="BodyText"/>
      </w:pPr>
      <w:r>
        <w:t xml:space="preserve"> </w:t>
      </w:r>
    </w:p>
    <w:br w:type="page"/>
    <w:p>
      <w:pPr>
        <w:pStyle w:val="BodyText"/>
      </w:pPr>
      <w:bookmarkStart w:id="figure-3-47" w:name="figure-3-47"/>
      <w:bookmarkEnd w:id="figure-3-47"/>
    </w:p>
    <w:p>
      <w:pPr>
        <w:pStyle w:val="BodyText"/>
      </w:pPr>
      <w:r>
        <w:drawing>
          <wp:inline>
            <wp:extent cx="5969000" cy="4853513"/>
            <wp:effectExtent b="0" l="0" r="0" t="0"/>
            <wp:docPr descr="" title="" id="202" name="Picture"/>
            <a:graphic>
              <a:graphicData uri="http://schemas.openxmlformats.org/drawingml/2006/picture">
                <pic:pic>
                  <pic:nvPicPr>
                    <pic:cNvPr descr="images/006_section_results-and-discussion/009_section_ct-profiles/011_section_model-verification/23_time_profile_plot_Erythromycin_250mg_Birkett1990_MD.png" id="203" name="Picture"/>
                    <pic:cNvPicPr>
                      <a:picLocks noChangeArrowheads="1" noChangeAspect="1"/>
                    </pic:cNvPicPr>
                  </pic:nvPicPr>
                  <pic:blipFill>
                    <a:blip r:embed="rId201"/>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3-47: Time Profile Analysis 1</w:t>
      </w:r>
    </w:p>
    <w:p>
      <w:pPr>
        <w:pStyle w:val="BodyText"/>
      </w:pPr>
      <w:r>
        <w:t xml:space="preserve"> </w:t>
      </w:r>
    </w:p>
    <w:br w:type="page"/>
    <w:p>
      <w:pPr>
        <w:pStyle w:val="BodyText"/>
      </w:pPr>
      <w:bookmarkStart w:id="figure-3-48" w:name="figure-3-48"/>
      <w:bookmarkEnd w:id="figure-3-48"/>
    </w:p>
    <w:p>
      <w:pPr>
        <w:pStyle w:val="BodyText"/>
      </w:pPr>
      <w:r>
        <w:drawing>
          <wp:inline>
            <wp:extent cx="5969000" cy="4853513"/>
            <wp:effectExtent b="0" l="0" r="0" t="0"/>
            <wp:docPr descr="" title="" id="205" name="Picture"/>
            <a:graphic>
              <a:graphicData uri="http://schemas.openxmlformats.org/drawingml/2006/picture">
                <pic:pic>
                  <pic:nvPicPr>
                    <pic:cNvPr descr="images/006_section_results-and-discussion/009_section_ct-profiles/011_section_model-verification/24_time_profile_plot_Erythromycin_250mg_Josefsson1982a_pellets.png" id="206" name="Picture"/>
                    <pic:cNvPicPr>
                      <a:picLocks noChangeArrowheads="1" noChangeAspect="1"/>
                    </pic:cNvPicPr>
                  </pic:nvPicPr>
                  <pic:blipFill>
                    <a:blip r:embed="rId204"/>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3-48: Time Profile Analysis</w:t>
      </w:r>
    </w:p>
    <w:p>
      <w:pPr>
        <w:pStyle w:val="BodyText"/>
      </w:pPr>
      <w:r>
        <w:t xml:space="preserve"> </w:t>
      </w:r>
    </w:p>
    <w:br w:type="page"/>
    <w:p>
      <w:pPr>
        <w:pStyle w:val="BodyText"/>
      </w:pPr>
      <w:bookmarkStart w:id="figure-3-49" w:name="figure-3-49"/>
      <w:bookmarkEnd w:id="figure-3-49"/>
    </w:p>
    <w:p>
      <w:pPr>
        <w:pStyle w:val="BodyText"/>
      </w:pPr>
      <w:r>
        <w:drawing>
          <wp:inline>
            <wp:extent cx="5969000" cy="4853513"/>
            <wp:effectExtent b="0" l="0" r="0" t="0"/>
            <wp:docPr descr="" title="" id="208" name="Picture"/>
            <a:graphic>
              <a:graphicData uri="http://schemas.openxmlformats.org/drawingml/2006/picture">
                <pic:pic>
                  <pic:nvPicPr>
                    <pic:cNvPr descr="images/006_section_results-and-discussion/009_section_ct-profiles/011_section_model-verification/25_time_profile_plot_Erythromycin_250mg_Josefsson1982a_pellets.png" id="209" name="Picture"/>
                    <pic:cNvPicPr>
                      <a:picLocks noChangeArrowheads="1" noChangeAspect="1"/>
                    </pic:cNvPicPr>
                  </pic:nvPicPr>
                  <pic:blipFill>
                    <a:blip r:embed="rId207"/>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3-49: Time Profile Analysis 1</w:t>
      </w:r>
    </w:p>
    <w:p>
      <w:pPr>
        <w:pStyle w:val="BodyText"/>
      </w:pPr>
      <w:r>
        <w:t xml:space="preserve"> </w:t>
      </w:r>
    </w:p>
    <w:br w:type="page"/>
    <w:p>
      <w:pPr>
        <w:pStyle w:val="BodyText"/>
      </w:pPr>
      <w:bookmarkStart w:id="figure-3-50" w:name="figure-3-50"/>
      <w:bookmarkEnd w:id="figure-3-50"/>
    </w:p>
    <w:p>
      <w:pPr>
        <w:pStyle w:val="BodyText"/>
      </w:pPr>
      <w:r>
        <w:drawing>
          <wp:inline>
            <wp:extent cx="5969000" cy="4853513"/>
            <wp:effectExtent b="0" l="0" r="0" t="0"/>
            <wp:docPr descr="" title="" id="211" name="Picture"/>
            <a:graphic>
              <a:graphicData uri="http://schemas.openxmlformats.org/drawingml/2006/picture">
                <pic:pic>
                  <pic:nvPicPr>
                    <pic:cNvPr descr="images/006_section_results-and-discussion/009_section_ct-profiles/011_section_model-verification/26_time_profile_plot_Erythromycin_500mg_Josefsson1982a_pellets.png" id="212" name="Picture"/>
                    <pic:cNvPicPr>
                      <a:picLocks noChangeArrowheads="1" noChangeAspect="1"/>
                    </pic:cNvPicPr>
                  </pic:nvPicPr>
                  <pic:blipFill>
                    <a:blip r:embed="rId210"/>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3-50: Time Profile Analysis</w:t>
      </w:r>
    </w:p>
    <w:p>
      <w:pPr>
        <w:pStyle w:val="BodyText"/>
      </w:pPr>
      <w:r>
        <w:t xml:space="preserve"> </w:t>
      </w:r>
    </w:p>
    <w:br w:type="page"/>
    <w:p>
      <w:pPr>
        <w:pStyle w:val="BodyText"/>
      </w:pPr>
      <w:bookmarkStart w:id="figure-3-51" w:name="figure-3-51"/>
      <w:bookmarkEnd w:id="figure-3-51"/>
    </w:p>
    <w:p>
      <w:pPr>
        <w:pStyle w:val="BodyText"/>
      </w:pPr>
      <w:r>
        <w:drawing>
          <wp:inline>
            <wp:extent cx="5969000" cy="4853513"/>
            <wp:effectExtent b="0" l="0" r="0" t="0"/>
            <wp:docPr descr="" title="" id="214" name="Picture"/>
            <a:graphic>
              <a:graphicData uri="http://schemas.openxmlformats.org/drawingml/2006/picture">
                <pic:pic>
                  <pic:nvPicPr>
                    <pic:cNvPr descr="images/006_section_results-and-discussion/009_section_ct-profiles/011_section_model-verification/27_time_profile_plot_Erythromycin_500mg_Josefsson1982a_pellets.png" id="215" name="Picture"/>
                    <pic:cNvPicPr>
                      <a:picLocks noChangeArrowheads="1" noChangeAspect="1"/>
                    </pic:cNvPicPr>
                  </pic:nvPicPr>
                  <pic:blipFill>
                    <a:blip r:embed="rId213"/>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3-51: Time Profile Analysis 1</w:t>
      </w:r>
    </w:p>
    <w:p>
      <w:pPr>
        <w:pStyle w:val="BodyText"/>
      </w:pPr>
      <w:r>
        <w:t xml:space="preserve"> </w:t>
      </w:r>
    </w:p>
    <w:br w:type="page"/>
    <w:p>
      <w:pPr>
        <w:pStyle w:val="BodyText"/>
      </w:pPr>
      <w:bookmarkStart w:id="figure-3-52" w:name="figure-3-52"/>
      <w:bookmarkEnd w:id="figure-3-52"/>
    </w:p>
    <w:p>
      <w:pPr>
        <w:pStyle w:val="BodyText"/>
      </w:pPr>
      <w:r>
        <w:drawing>
          <wp:inline>
            <wp:extent cx="5969000" cy="5464738"/>
            <wp:effectExtent b="0" l="0" r="0" t="0"/>
            <wp:docPr descr="" title="" id="217" name="Picture"/>
            <a:graphic>
              <a:graphicData uri="http://schemas.openxmlformats.org/drawingml/2006/picture">
                <pic:pic>
                  <pic:nvPicPr>
                    <pic:cNvPr descr="images/006_section_results-and-discussion/009_section_ct-profiles/011_section_model-verification/30_time_profile_plot_Erythromycin_500mg_Schreiner1984_pellets.png" id="218" name="Picture"/>
                    <pic:cNvPicPr>
                      <a:picLocks noChangeArrowheads="1" noChangeAspect="1"/>
                    </pic:cNvPicPr>
                  </pic:nvPicPr>
                  <pic:blipFill>
                    <a:blip r:embed="rId216"/>
                    <a:stretch>
                      <a:fillRect/>
                    </a:stretch>
                  </pic:blipFill>
                  <pic:spPr bwMode="auto">
                    <a:xfrm>
                      <a:off x="0" y="0"/>
                      <a:ext cx="5969000" cy="5464738"/>
                    </a:xfrm>
                    <a:prstGeom prst="rect">
                      <a:avLst/>
                    </a:prstGeom>
                    <a:noFill/>
                    <a:ln w="9525">
                      <a:noFill/>
                      <a:headEnd/>
                      <a:tailEnd/>
                    </a:ln>
                  </pic:spPr>
                </pic:pic>
              </a:graphicData>
            </a:graphic>
          </wp:inline>
        </w:drawing>
      </w:r>
    </w:p>
    <w:p>
      <w:pPr>
        <w:pStyle w:val="BodyText"/>
      </w:pPr>
      <w:r>
        <w:rPr>
          <w:bCs/>
          <w:b/>
        </w:rPr>
        <w:t xml:space="preserve">Figure 3-52: Time Profile Analysis</w:t>
      </w:r>
    </w:p>
    <w:p>
      <w:pPr>
        <w:pStyle w:val="BodyText"/>
      </w:pPr>
      <w:r>
        <w:t xml:space="preserve"> </w:t>
      </w:r>
    </w:p>
    <w:br w:type="page"/>
    <w:p>
      <w:pPr>
        <w:pStyle w:val="BodyText"/>
      </w:pPr>
      <w:bookmarkStart w:id="figure-3-53" w:name="figure-3-53"/>
      <w:bookmarkEnd w:id="figure-3-53"/>
    </w:p>
    <w:p>
      <w:pPr>
        <w:pStyle w:val="BodyText"/>
      </w:pPr>
      <w:r>
        <w:drawing>
          <wp:inline>
            <wp:extent cx="5969000" cy="5464738"/>
            <wp:effectExtent b="0" l="0" r="0" t="0"/>
            <wp:docPr descr="" title="" id="220" name="Picture"/>
            <a:graphic>
              <a:graphicData uri="http://schemas.openxmlformats.org/drawingml/2006/picture">
                <pic:pic>
                  <pic:nvPicPr>
                    <pic:cNvPr descr="images/006_section_results-and-discussion/009_section_ct-profiles/011_section_model-verification/31_time_profile_plot_Erythromycin_500mg_Schreiner1984_pellets.png" id="221" name="Picture"/>
                    <pic:cNvPicPr>
                      <a:picLocks noChangeArrowheads="1" noChangeAspect="1"/>
                    </pic:cNvPicPr>
                  </pic:nvPicPr>
                  <pic:blipFill>
                    <a:blip r:embed="rId219"/>
                    <a:stretch>
                      <a:fillRect/>
                    </a:stretch>
                  </pic:blipFill>
                  <pic:spPr bwMode="auto">
                    <a:xfrm>
                      <a:off x="0" y="0"/>
                      <a:ext cx="5969000" cy="5464738"/>
                    </a:xfrm>
                    <a:prstGeom prst="rect">
                      <a:avLst/>
                    </a:prstGeom>
                    <a:noFill/>
                    <a:ln w="9525">
                      <a:noFill/>
                      <a:headEnd/>
                      <a:tailEnd/>
                    </a:ln>
                  </pic:spPr>
                </pic:pic>
              </a:graphicData>
            </a:graphic>
          </wp:inline>
        </w:drawing>
      </w:r>
    </w:p>
    <w:p>
      <w:pPr>
        <w:pStyle w:val="BodyText"/>
      </w:pPr>
      <w:r>
        <w:rPr>
          <w:bCs/>
          <w:b/>
        </w:rPr>
        <w:t xml:space="preserve">Figure 3-53: Time Profile Analysis 1</w:t>
      </w:r>
    </w:p>
    <w:p>
      <w:pPr>
        <w:pStyle w:val="BodyText"/>
      </w:pPr>
      <w:r>
        <w:t xml:space="preserve"> </w:t>
      </w:r>
    </w:p>
    <w:br w:type="page"/>
    <w:p>
      <w:pPr>
        <w:pStyle w:val="BodyText"/>
      </w:pPr>
      <w:bookmarkStart w:id="figure-3-54" w:name="figure-3-54"/>
      <w:bookmarkEnd w:id="figure-3-54"/>
    </w:p>
    <w:p>
      <w:pPr>
        <w:pStyle w:val="BodyText"/>
      </w:pPr>
      <w:r>
        <w:drawing>
          <wp:inline>
            <wp:extent cx="5969000" cy="4853513"/>
            <wp:effectExtent b="0" l="0" r="0" t="0"/>
            <wp:docPr descr="" title="" id="223" name="Picture"/>
            <a:graphic>
              <a:graphicData uri="http://schemas.openxmlformats.org/drawingml/2006/picture">
                <pic:pic>
                  <pic:nvPicPr>
                    <pic:cNvPr descr="images/006_section_results-and-discussion/009_section_ct-profiles/011_section_model-verification/32_time_profile_plot_Erythromycin_250mg_Yakatan1980_base_MD.png" id="224" name="Picture"/>
                    <pic:cNvPicPr>
                      <a:picLocks noChangeArrowheads="1" noChangeAspect="1"/>
                    </pic:cNvPicPr>
                  </pic:nvPicPr>
                  <pic:blipFill>
                    <a:blip r:embed="rId222"/>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3-54: Time Profile Analysis</w:t>
      </w:r>
    </w:p>
    <w:p>
      <w:pPr>
        <w:pStyle w:val="BodyText"/>
      </w:pPr>
      <w:r>
        <w:t xml:space="preserve"> </w:t>
      </w:r>
    </w:p>
    <w:br w:type="page"/>
    <w:p>
      <w:pPr>
        <w:pStyle w:val="BodyText"/>
      </w:pPr>
      <w:bookmarkStart w:id="figure-3-55" w:name="figure-3-55"/>
      <w:bookmarkEnd w:id="figure-3-55"/>
    </w:p>
    <w:p>
      <w:pPr>
        <w:pStyle w:val="BodyText"/>
      </w:pPr>
      <w:r>
        <w:drawing>
          <wp:inline>
            <wp:extent cx="5969000" cy="4853513"/>
            <wp:effectExtent b="0" l="0" r="0" t="0"/>
            <wp:docPr descr="" title="" id="226" name="Picture"/>
            <a:graphic>
              <a:graphicData uri="http://schemas.openxmlformats.org/drawingml/2006/picture">
                <pic:pic>
                  <pic:nvPicPr>
                    <pic:cNvPr descr="images/006_section_results-and-discussion/009_section_ct-profiles/011_section_model-verification/33_time_profile_plot_Erythromycin_250mg_Yakatan1980_base_MD.png" id="227" name="Picture"/>
                    <pic:cNvPicPr>
                      <a:picLocks noChangeArrowheads="1" noChangeAspect="1"/>
                    </pic:cNvPicPr>
                  </pic:nvPicPr>
                  <pic:blipFill>
                    <a:blip r:embed="rId225"/>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3-55: Time Profile Analysis 1</w:t>
      </w:r>
    </w:p>
    <w:p>
      <w:pPr>
        <w:pStyle w:val="BodyText"/>
      </w:pPr>
      <w:r>
        <w:t xml:space="preserve"> </w:t>
      </w:r>
    </w:p>
    <w:br w:type="page"/>
    <w:p>
      <w:pPr>
        <w:pStyle w:val="BodyText"/>
      </w:pPr>
      <w:bookmarkStart w:id="figure-3-56" w:name="figure-3-56"/>
      <w:bookmarkEnd w:id="figure-3-56"/>
    </w:p>
    <w:p>
      <w:pPr>
        <w:pStyle w:val="BodyText"/>
      </w:pPr>
      <w:r>
        <w:drawing>
          <wp:inline>
            <wp:extent cx="5969000" cy="4853513"/>
            <wp:effectExtent b="0" l="0" r="0" t="0"/>
            <wp:docPr descr="" title="" id="229" name="Picture"/>
            <a:graphic>
              <a:graphicData uri="http://schemas.openxmlformats.org/drawingml/2006/picture">
                <pic:pic>
                  <pic:nvPicPr>
                    <pic:cNvPr descr="images/006_section_results-and-discussion/009_section_ct-profiles/011_section_model-verification/36_time_profile_plot_Erythromycin_500mg_Kroboth1982.png" id="230" name="Picture"/>
                    <pic:cNvPicPr>
                      <a:picLocks noChangeArrowheads="1" noChangeAspect="1"/>
                    </pic:cNvPicPr>
                  </pic:nvPicPr>
                  <pic:blipFill>
                    <a:blip r:embed="rId228"/>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3-56: Time Profile Analysis</w:t>
      </w:r>
    </w:p>
    <w:p>
      <w:pPr>
        <w:pStyle w:val="BodyText"/>
      </w:pPr>
      <w:r>
        <w:t xml:space="preserve"> </w:t>
      </w:r>
    </w:p>
    <w:br w:type="page"/>
    <w:p>
      <w:pPr>
        <w:pStyle w:val="BodyText"/>
      </w:pPr>
      <w:bookmarkStart w:id="figure-3-57" w:name="figure-3-57"/>
      <w:bookmarkEnd w:id="figure-3-57"/>
    </w:p>
    <w:p>
      <w:pPr>
        <w:pStyle w:val="BodyText"/>
      </w:pPr>
      <w:r>
        <w:drawing>
          <wp:inline>
            <wp:extent cx="5969000" cy="4853513"/>
            <wp:effectExtent b="0" l="0" r="0" t="0"/>
            <wp:docPr descr="" title="" id="232" name="Picture"/>
            <a:graphic>
              <a:graphicData uri="http://schemas.openxmlformats.org/drawingml/2006/picture">
                <pic:pic>
                  <pic:nvPicPr>
                    <pic:cNvPr descr="images/006_section_results-and-discussion/009_section_ct-profiles/011_section_model-verification/37_time_profile_plot_Erythromycin_500mg_Kroboth1982.png" id="233" name="Picture"/>
                    <pic:cNvPicPr>
                      <a:picLocks noChangeArrowheads="1" noChangeAspect="1"/>
                    </pic:cNvPicPr>
                  </pic:nvPicPr>
                  <pic:blipFill>
                    <a:blip r:embed="rId231"/>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3-57: Time Profile Analysis 1</w:t>
      </w:r>
    </w:p>
    <w:p>
      <w:pPr>
        <w:pStyle w:val="BodyText"/>
      </w:pPr>
      <w:r>
        <w:t xml:space="preserve"> </w:t>
      </w:r>
    </w:p>
    <w:br w:type="page"/>
    <w:p>
      <w:pPr>
        <w:pStyle w:val="BodyText"/>
      </w:pPr>
      <w:bookmarkStart w:id="figure-3-58" w:name="figure-3-58"/>
      <w:bookmarkEnd w:id="figure-3-58"/>
    </w:p>
    <w:p>
      <w:pPr>
        <w:pStyle w:val="BodyText"/>
      </w:pPr>
      <w:r>
        <w:drawing>
          <wp:inline>
            <wp:extent cx="5969000" cy="4853513"/>
            <wp:effectExtent b="0" l="0" r="0" t="0"/>
            <wp:docPr descr="" title="" id="235" name="Picture"/>
            <a:graphic>
              <a:graphicData uri="http://schemas.openxmlformats.org/drawingml/2006/picture">
                <pic:pic>
                  <pic:nvPicPr>
                    <pic:cNvPr descr="images/006_section_results-and-discussion/009_section_ct-profiles/011_section_model-verification/44_time_profile_plot_Erythromycin_1500mg_Shanson1984.png" id="236" name="Picture"/>
                    <pic:cNvPicPr>
                      <a:picLocks noChangeArrowheads="1" noChangeAspect="1"/>
                    </pic:cNvPicPr>
                  </pic:nvPicPr>
                  <pic:blipFill>
                    <a:blip r:embed="rId234"/>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3-58: Time Profile Analysis</w:t>
      </w:r>
    </w:p>
    <w:p>
      <w:pPr>
        <w:pStyle w:val="BodyText"/>
      </w:pPr>
      <w:r>
        <w:t xml:space="preserve"> </w:t>
      </w:r>
    </w:p>
    <w:br w:type="page"/>
    <w:p>
      <w:pPr>
        <w:pStyle w:val="BodyText"/>
      </w:pPr>
      <w:bookmarkStart w:id="figure-3-59" w:name="figure-3-59"/>
      <w:bookmarkEnd w:id="figure-3-59"/>
    </w:p>
    <w:p>
      <w:pPr>
        <w:pStyle w:val="BodyText"/>
      </w:pPr>
      <w:r>
        <w:drawing>
          <wp:inline>
            <wp:extent cx="5969000" cy="4853513"/>
            <wp:effectExtent b="0" l="0" r="0" t="0"/>
            <wp:docPr descr="" title="" id="238" name="Picture"/>
            <a:graphic>
              <a:graphicData uri="http://schemas.openxmlformats.org/drawingml/2006/picture">
                <pic:pic>
                  <pic:nvPicPr>
                    <pic:cNvPr descr="images/006_section_results-and-discussion/009_section_ct-profiles/011_section_model-verification/45_time_profile_plot_Erythromycin_1500mg_Shanson1984.png" id="239" name="Picture"/>
                    <pic:cNvPicPr>
                      <a:picLocks noChangeArrowheads="1" noChangeAspect="1"/>
                    </pic:cNvPicPr>
                  </pic:nvPicPr>
                  <pic:blipFill>
                    <a:blip r:embed="rId237"/>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3-59: Time Profile Analysis 1</w:t>
      </w:r>
    </w:p>
    <w:p>
      <w:pPr>
        <w:pStyle w:val="BodyText"/>
      </w:pPr>
      <w:r>
        <w:t xml:space="preserve"> </w:t>
      </w:r>
    </w:p>
    <w:br w:type="page"/>
    <w:p>
      <w:pPr>
        <w:pStyle w:val="BodyText"/>
      </w:pPr>
      <w:bookmarkStart w:id="figure-3-60" w:name="figure-3-60"/>
      <w:bookmarkEnd w:id="figure-3-60"/>
    </w:p>
    <w:p>
      <w:pPr>
        <w:pStyle w:val="BodyText"/>
      </w:pPr>
      <w:r>
        <w:drawing>
          <wp:inline>
            <wp:extent cx="5969000" cy="7298415"/>
            <wp:effectExtent b="0" l="0" r="0" t="0"/>
            <wp:docPr descr="" title="" id="241" name="Picture"/>
            <a:graphic>
              <a:graphicData uri="http://schemas.openxmlformats.org/drawingml/2006/picture">
                <pic:pic>
                  <pic:nvPicPr>
                    <pic:cNvPr descr="images/006_section_results-and-discussion/009_section_ct-profiles/011_section_model-verification/46_time_profile_plot_Erythromycin_250mg_Yakatan1979.png" id="242" name="Picture"/>
                    <pic:cNvPicPr>
                      <a:picLocks noChangeArrowheads="1" noChangeAspect="1"/>
                    </pic:cNvPicPr>
                  </pic:nvPicPr>
                  <pic:blipFill>
                    <a:blip r:embed="rId240"/>
                    <a:stretch>
                      <a:fillRect/>
                    </a:stretch>
                  </pic:blipFill>
                  <pic:spPr bwMode="auto">
                    <a:xfrm>
                      <a:off x="0" y="0"/>
                      <a:ext cx="5969000" cy="7298415"/>
                    </a:xfrm>
                    <a:prstGeom prst="rect">
                      <a:avLst/>
                    </a:prstGeom>
                    <a:noFill/>
                    <a:ln w="9525">
                      <a:noFill/>
                      <a:headEnd/>
                      <a:tailEnd/>
                    </a:ln>
                  </pic:spPr>
                </pic:pic>
              </a:graphicData>
            </a:graphic>
          </wp:inline>
        </w:drawing>
      </w:r>
    </w:p>
    <w:p>
      <w:pPr>
        <w:pStyle w:val="BodyText"/>
      </w:pPr>
      <w:r>
        <w:rPr>
          <w:bCs/>
          <w:b/>
        </w:rPr>
        <w:t xml:space="preserve">Figure 3-60: Time Profile Analysis</w:t>
      </w:r>
    </w:p>
    <w:p>
      <w:pPr>
        <w:pStyle w:val="BodyText"/>
      </w:pPr>
      <w:r>
        <w:t xml:space="preserve"> </w:t>
      </w:r>
    </w:p>
    <w:br w:type="page"/>
    <w:p>
      <w:pPr>
        <w:pStyle w:val="BodyText"/>
      </w:pPr>
      <w:bookmarkStart w:id="figure-3-61" w:name="figure-3-61"/>
      <w:bookmarkEnd w:id="figure-3-61"/>
    </w:p>
    <w:p>
      <w:pPr>
        <w:pStyle w:val="BodyText"/>
      </w:pPr>
      <w:r>
        <w:drawing>
          <wp:inline>
            <wp:extent cx="5969000" cy="7298415"/>
            <wp:effectExtent b="0" l="0" r="0" t="0"/>
            <wp:docPr descr="" title="" id="244" name="Picture"/>
            <a:graphic>
              <a:graphicData uri="http://schemas.openxmlformats.org/drawingml/2006/picture">
                <pic:pic>
                  <pic:nvPicPr>
                    <pic:cNvPr descr="images/006_section_results-and-discussion/009_section_ct-profiles/011_section_model-verification/47_time_profile_plot_Erythromycin_250mg_Yakatan1979.png" id="245" name="Picture"/>
                    <pic:cNvPicPr>
                      <a:picLocks noChangeArrowheads="1" noChangeAspect="1"/>
                    </pic:cNvPicPr>
                  </pic:nvPicPr>
                  <pic:blipFill>
                    <a:blip r:embed="rId243"/>
                    <a:stretch>
                      <a:fillRect/>
                    </a:stretch>
                  </pic:blipFill>
                  <pic:spPr bwMode="auto">
                    <a:xfrm>
                      <a:off x="0" y="0"/>
                      <a:ext cx="5969000" cy="7298415"/>
                    </a:xfrm>
                    <a:prstGeom prst="rect">
                      <a:avLst/>
                    </a:prstGeom>
                    <a:noFill/>
                    <a:ln w="9525">
                      <a:noFill/>
                      <a:headEnd/>
                      <a:tailEnd/>
                    </a:ln>
                  </pic:spPr>
                </pic:pic>
              </a:graphicData>
            </a:graphic>
          </wp:inline>
        </w:drawing>
      </w:r>
    </w:p>
    <w:p>
      <w:pPr>
        <w:pStyle w:val="BodyText"/>
      </w:pPr>
      <w:r>
        <w:rPr>
          <w:bCs/>
          <w:b/>
        </w:rPr>
        <w:t xml:space="preserve">Figure 3-61: Time Profile Analysis 1</w:t>
      </w:r>
    </w:p>
    <w:p>
      <w:pPr>
        <w:pStyle w:val="BodyText"/>
      </w:pPr>
      <w:r>
        <w:t xml:space="preserve"> </w:t>
      </w:r>
    </w:p>
    <w:br w:type="page"/>
    <w:p>
      <w:pPr>
        <w:pStyle w:val="BodyText"/>
      </w:pPr>
      <w:bookmarkStart w:id="figure-3-62" w:name="figure-3-62"/>
      <w:bookmarkEnd w:id="figure-3-62"/>
    </w:p>
    <w:p>
      <w:pPr>
        <w:pStyle w:val="BodyText"/>
      </w:pPr>
      <w:r>
        <w:drawing>
          <wp:inline>
            <wp:extent cx="5969000" cy="4853513"/>
            <wp:effectExtent b="0" l="0" r="0" t="0"/>
            <wp:docPr descr="" title="" id="247" name="Picture"/>
            <a:graphic>
              <a:graphicData uri="http://schemas.openxmlformats.org/drawingml/2006/picture">
                <pic:pic>
                  <pic:nvPicPr>
                    <pic:cNvPr descr="images/006_section_results-and-discussion/009_section_ct-profiles/011_section_model-verification/52_time_profile_plot_Erythromycin_500mg_Berend1979_MD.png" id="248" name="Picture"/>
                    <pic:cNvPicPr>
                      <a:picLocks noChangeArrowheads="1" noChangeAspect="1"/>
                    </pic:cNvPicPr>
                  </pic:nvPicPr>
                  <pic:blipFill>
                    <a:blip r:embed="rId246"/>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3-62: Time Profile Analysis</w:t>
      </w:r>
    </w:p>
    <w:p>
      <w:pPr>
        <w:pStyle w:val="BodyText"/>
      </w:pPr>
      <w:r>
        <w:t xml:space="preserve"> </w:t>
      </w:r>
    </w:p>
    <w:br w:type="page"/>
    <w:p>
      <w:pPr>
        <w:pStyle w:val="BodyText"/>
      </w:pPr>
      <w:bookmarkStart w:id="figure-3-63" w:name="figure-3-63"/>
      <w:bookmarkEnd w:id="figure-3-63"/>
    </w:p>
    <w:p>
      <w:pPr>
        <w:pStyle w:val="BodyText"/>
      </w:pPr>
      <w:r>
        <w:drawing>
          <wp:inline>
            <wp:extent cx="5969000" cy="4853513"/>
            <wp:effectExtent b="0" l="0" r="0" t="0"/>
            <wp:docPr descr="" title="" id="250" name="Picture"/>
            <a:graphic>
              <a:graphicData uri="http://schemas.openxmlformats.org/drawingml/2006/picture">
                <pic:pic>
                  <pic:nvPicPr>
                    <pic:cNvPr descr="images/006_section_results-and-discussion/009_section_ct-profiles/011_section_model-verification/53_time_profile_plot_Erythromycin_500mg_Berend1979_MD.png" id="251" name="Picture"/>
                    <pic:cNvPicPr>
                      <a:picLocks noChangeArrowheads="1" noChangeAspect="1"/>
                    </pic:cNvPicPr>
                  </pic:nvPicPr>
                  <pic:blipFill>
                    <a:blip r:embed="rId249"/>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3-63: Time Profile Analysis 1</w:t>
      </w:r>
    </w:p>
    <w:p>
      <w:pPr>
        <w:pStyle w:val="BodyText"/>
      </w:pPr>
      <w:r>
        <w:t xml:space="preserve"> </w:t>
      </w:r>
    </w:p>
    <w:br w:type="page"/>
    <w:p>
      <w:pPr>
        <w:pStyle w:val="BodyText"/>
      </w:pPr>
      <w:bookmarkStart w:id="figure-3-64" w:name="figure-3-64"/>
      <w:bookmarkEnd w:id="figure-3-64"/>
    </w:p>
    <w:p>
      <w:pPr>
        <w:pStyle w:val="BodyText"/>
      </w:pPr>
      <w:r>
        <w:drawing>
          <wp:inline>
            <wp:extent cx="5969000" cy="4853513"/>
            <wp:effectExtent b="0" l="0" r="0" t="0"/>
            <wp:docPr descr="" title="" id="253" name="Picture"/>
            <a:graphic>
              <a:graphicData uri="http://schemas.openxmlformats.org/drawingml/2006/picture">
                <pic:pic>
                  <pic:nvPicPr>
                    <pic:cNvPr descr="images/006_section_results-and-discussion/009_section_ct-profiles/011_section_model-verification/54_time_profile_plot_Erythromycin_500mg_Brannan1995_MD.png" id="254" name="Picture"/>
                    <pic:cNvPicPr>
                      <a:picLocks noChangeArrowheads="1" noChangeAspect="1"/>
                    </pic:cNvPicPr>
                  </pic:nvPicPr>
                  <pic:blipFill>
                    <a:blip r:embed="rId252"/>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3-64: Time Profile Analysis</w:t>
      </w:r>
    </w:p>
    <w:p>
      <w:pPr>
        <w:pStyle w:val="BodyText"/>
      </w:pPr>
      <w:r>
        <w:t xml:space="preserve"> </w:t>
      </w:r>
    </w:p>
    <w:br w:type="page"/>
    <w:p>
      <w:pPr>
        <w:pStyle w:val="BodyText"/>
      </w:pPr>
      <w:bookmarkStart w:id="figure-3-65" w:name="figure-3-65"/>
      <w:bookmarkEnd w:id="figure-3-65"/>
    </w:p>
    <w:p>
      <w:pPr>
        <w:pStyle w:val="BodyText"/>
      </w:pPr>
      <w:r>
        <w:drawing>
          <wp:inline>
            <wp:extent cx="5969000" cy="4853513"/>
            <wp:effectExtent b="0" l="0" r="0" t="0"/>
            <wp:docPr descr="" title="" id="256" name="Picture"/>
            <a:graphic>
              <a:graphicData uri="http://schemas.openxmlformats.org/drawingml/2006/picture">
                <pic:pic>
                  <pic:nvPicPr>
                    <pic:cNvPr descr="images/006_section_results-and-discussion/009_section_ct-profiles/011_section_model-verification/55_time_profile_plot_Erythromycin_500mg_Brannan1995_MD.png" id="257" name="Picture"/>
                    <pic:cNvPicPr>
                      <a:picLocks noChangeArrowheads="1" noChangeAspect="1"/>
                    </pic:cNvPicPr>
                  </pic:nvPicPr>
                  <pic:blipFill>
                    <a:blip r:embed="rId255"/>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3-65: Time Profile Analysis 1</w:t>
      </w:r>
    </w:p>
    <w:p>
      <w:pPr>
        <w:pStyle w:val="BodyText"/>
      </w:pPr>
      <w:r>
        <w:t xml:space="preserve"> </w:t>
      </w:r>
    </w:p>
    <w:br w:type="page"/>
    <w:p>
      <w:pPr>
        <w:pStyle w:val="BodyText"/>
      </w:pPr>
      <w:bookmarkStart w:id="figure-3-66" w:name="figure-3-66"/>
      <w:bookmarkEnd w:id="figure-3-66"/>
    </w:p>
    <w:p>
      <w:pPr>
        <w:pStyle w:val="BodyText"/>
      </w:pPr>
      <w:r>
        <w:drawing>
          <wp:inline>
            <wp:extent cx="5969000" cy="4853513"/>
            <wp:effectExtent b="0" l="0" r="0" t="0"/>
            <wp:docPr descr="" title="" id="259" name="Picture"/>
            <a:graphic>
              <a:graphicData uri="http://schemas.openxmlformats.org/drawingml/2006/picture">
                <pic:pic>
                  <pic:nvPicPr>
                    <pic:cNvPr descr="images/006_section_results-and-discussion/009_section_ct-profiles/011_section_model-verification/56_time_profile_plot_Erythromycin_500mg_Henry1980.png" id="260" name="Picture"/>
                    <pic:cNvPicPr>
                      <a:picLocks noChangeArrowheads="1" noChangeAspect="1"/>
                    </pic:cNvPicPr>
                  </pic:nvPicPr>
                  <pic:blipFill>
                    <a:blip r:embed="rId258"/>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3-66: Time Profile Analysis</w:t>
      </w:r>
    </w:p>
    <w:p>
      <w:pPr>
        <w:pStyle w:val="BodyText"/>
      </w:pPr>
      <w:r>
        <w:t xml:space="preserve"> </w:t>
      </w:r>
    </w:p>
    <w:br w:type="page"/>
    <w:p>
      <w:pPr>
        <w:pStyle w:val="BodyText"/>
      </w:pPr>
      <w:bookmarkStart w:id="figure-3-67" w:name="figure-3-67"/>
      <w:bookmarkEnd w:id="figure-3-67"/>
    </w:p>
    <w:p>
      <w:pPr>
        <w:pStyle w:val="BodyText"/>
      </w:pPr>
      <w:r>
        <w:drawing>
          <wp:inline>
            <wp:extent cx="5969000" cy="4853513"/>
            <wp:effectExtent b="0" l="0" r="0" t="0"/>
            <wp:docPr descr="" title="" id="262" name="Picture"/>
            <a:graphic>
              <a:graphicData uri="http://schemas.openxmlformats.org/drawingml/2006/picture">
                <pic:pic>
                  <pic:nvPicPr>
                    <pic:cNvPr descr="images/006_section_results-and-discussion/009_section_ct-profiles/011_section_model-verification/57_time_profile_plot_Erythromycin_500mg_Henry1980.png" id="263" name="Picture"/>
                    <pic:cNvPicPr>
                      <a:picLocks noChangeArrowheads="1" noChangeAspect="1"/>
                    </pic:cNvPicPr>
                  </pic:nvPicPr>
                  <pic:blipFill>
                    <a:blip r:embed="rId261"/>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3-67: Time Profile Analysis 1</w:t>
      </w:r>
    </w:p>
    <w:p>
      <w:pPr>
        <w:pStyle w:val="BodyText"/>
      </w:pPr>
      <w:r>
        <w:t xml:space="preserve"> </w:t>
      </w:r>
    </w:p>
    <w:br w:type="page"/>
    <w:p>
      <w:pPr>
        <w:pStyle w:val="BodyText"/>
      </w:pPr>
      <w:bookmarkStart w:id="figure-3-68" w:name="figure-3-68"/>
      <w:bookmarkEnd w:id="figure-3-68"/>
    </w:p>
    <w:p>
      <w:pPr>
        <w:pStyle w:val="BodyText"/>
      </w:pPr>
      <w:r>
        <w:drawing>
          <wp:inline>
            <wp:extent cx="5969000" cy="4853513"/>
            <wp:effectExtent b="0" l="0" r="0" t="0"/>
            <wp:docPr descr="" title="" id="265" name="Picture"/>
            <a:graphic>
              <a:graphicData uri="http://schemas.openxmlformats.org/drawingml/2006/picture">
                <pic:pic>
                  <pic:nvPicPr>
                    <pic:cNvPr descr="images/006_section_results-and-discussion/009_section_ct-profiles/011_section_model-verification/58_time_profile_plot_Erythromycin_500mg_Iliopoulou1982_MD.png" id="266" name="Picture"/>
                    <pic:cNvPicPr>
                      <a:picLocks noChangeArrowheads="1" noChangeAspect="1"/>
                    </pic:cNvPicPr>
                  </pic:nvPicPr>
                  <pic:blipFill>
                    <a:blip r:embed="rId264"/>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3-68: Time Profile Analysis</w:t>
      </w:r>
    </w:p>
    <w:p>
      <w:pPr>
        <w:pStyle w:val="BodyText"/>
      </w:pPr>
      <w:r>
        <w:t xml:space="preserve"> </w:t>
      </w:r>
    </w:p>
    <w:br w:type="page"/>
    <w:p>
      <w:pPr>
        <w:pStyle w:val="BodyText"/>
      </w:pPr>
      <w:bookmarkStart w:id="figure-3-69" w:name="figure-3-69"/>
      <w:bookmarkEnd w:id="figure-3-69"/>
    </w:p>
    <w:p>
      <w:pPr>
        <w:pStyle w:val="BodyText"/>
      </w:pPr>
      <w:r>
        <w:drawing>
          <wp:inline>
            <wp:extent cx="5969000" cy="4853513"/>
            <wp:effectExtent b="0" l="0" r="0" t="0"/>
            <wp:docPr descr="" title="" id="268" name="Picture"/>
            <a:graphic>
              <a:graphicData uri="http://schemas.openxmlformats.org/drawingml/2006/picture">
                <pic:pic>
                  <pic:nvPicPr>
                    <pic:cNvPr descr="images/006_section_results-and-discussion/009_section_ct-profiles/011_section_model-verification/59_time_profile_plot_Erythromycin_500mg_Iliopoulou1982_MD.png" id="269" name="Picture"/>
                    <pic:cNvPicPr>
                      <a:picLocks noChangeArrowheads="1" noChangeAspect="1"/>
                    </pic:cNvPicPr>
                  </pic:nvPicPr>
                  <pic:blipFill>
                    <a:blip r:embed="rId267"/>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3-69: Time Profile Analysis 1</w:t>
      </w:r>
    </w:p>
    <w:p>
      <w:pPr>
        <w:pStyle w:val="BodyText"/>
      </w:pPr>
      <w:r>
        <w:t xml:space="preserve"> </w:t>
      </w:r>
    </w:p>
    <w:br w:type="page"/>
    <w:p>
      <w:pPr>
        <w:pStyle w:val="BodyText"/>
      </w:pPr>
      <w:bookmarkStart w:id="figure-3-70" w:name="figure-3-70"/>
      <w:bookmarkEnd w:id="figure-3-70"/>
    </w:p>
    <w:p>
      <w:pPr>
        <w:pStyle w:val="BodyText"/>
      </w:pPr>
      <w:r>
        <w:drawing>
          <wp:inline>
            <wp:extent cx="5969000" cy="4853513"/>
            <wp:effectExtent b="0" l="0" r="0" t="0"/>
            <wp:docPr descr="" title="" id="271" name="Picture"/>
            <a:graphic>
              <a:graphicData uri="http://schemas.openxmlformats.org/drawingml/2006/picture">
                <pic:pic>
                  <pic:nvPicPr>
                    <pic:cNvPr descr="images/006_section_results-and-discussion/009_section_ct-profiles/011_section_model-verification/60_time_profile_plot_Erythromycin_500mg_Josefsson1982a.png" id="272" name="Picture"/>
                    <pic:cNvPicPr>
                      <a:picLocks noChangeArrowheads="1" noChangeAspect="1"/>
                    </pic:cNvPicPr>
                  </pic:nvPicPr>
                  <pic:blipFill>
                    <a:blip r:embed="rId270"/>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3-70: Time Profile Analysis</w:t>
      </w:r>
    </w:p>
    <w:p>
      <w:pPr>
        <w:pStyle w:val="BodyText"/>
      </w:pPr>
      <w:r>
        <w:t xml:space="preserve"> </w:t>
      </w:r>
    </w:p>
    <w:br w:type="page"/>
    <w:p>
      <w:pPr>
        <w:pStyle w:val="BodyText"/>
      </w:pPr>
      <w:bookmarkStart w:id="figure-3-71" w:name="figure-3-71"/>
      <w:bookmarkEnd w:id="figure-3-71"/>
    </w:p>
    <w:p>
      <w:pPr>
        <w:pStyle w:val="BodyText"/>
      </w:pPr>
      <w:r>
        <w:drawing>
          <wp:inline>
            <wp:extent cx="5969000" cy="4853513"/>
            <wp:effectExtent b="0" l="0" r="0" t="0"/>
            <wp:docPr descr="" title="" id="274" name="Picture"/>
            <a:graphic>
              <a:graphicData uri="http://schemas.openxmlformats.org/drawingml/2006/picture">
                <pic:pic>
                  <pic:nvPicPr>
                    <pic:cNvPr descr="images/006_section_results-and-discussion/009_section_ct-profiles/011_section_model-verification/61_time_profile_plot_Erythromycin_500mg_Josefsson1982a.png" id="275" name="Picture"/>
                    <pic:cNvPicPr>
                      <a:picLocks noChangeArrowheads="1" noChangeAspect="1"/>
                    </pic:cNvPicPr>
                  </pic:nvPicPr>
                  <pic:blipFill>
                    <a:blip r:embed="rId273"/>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3-71: Time Profile Analysis 1</w:t>
      </w:r>
    </w:p>
    <w:p>
      <w:pPr>
        <w:pStyle w:val="BodyText"/>
      </w:pPr>
      <w:r>
        <w:t xml:space="preserve"> </w:t>
      </w:r>
    </w:p>
    <w:br w:type="page"/>
    <w:p>
      <w:pPr>
        <w:pStyle w:val="BodyText"/>
      </w:pPr>
      <w:bookmarkStart w:id="figure-3-72" w:name="figure-3-72"/>
      <w:bookmarkEnd w:id="figure-3-72"/>
    </w:p>
    <w:p>
      <w:pPr>
        <w:pStyle w:val="BodyText"/>
      </w:pPr>
      <w:r>
        <w:drawing>
          <wp:inline>
            <wp:extent cx="5969000" cy="4853513"/>
            <wp:effectExtent b="0" l="0" r="0" t="0"/>
            <wp:docPr descr="" title="" id="277" name="Picture"/>
            <a:graphic>
              <a:graphicData uri="http://schemas.openxmlformats.org/drawingml/2006/picture">
                <pic:pic>
                  <pic:nvPicPr>
                    <pic:cNvPr descr="images/006_section_results-and-discussion/009_section_ct-profiles/011_section_model-verification/62_time_profile_plot_Erythromycin_500mg_Kavi1988.png" id="278" name="Picture"/>
                    <pic:cNvPicPr>
                      <a:picLocks noChangeArrowheads="1" noChangeAspect="1"/>
                    </pic:cNvPicPr>
                  </pic:nvPicPr>
                  <pic:blipFill>
                    <a:blip r:embed="rId276"/>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3-72: Time Profile Analysis</w:t>
      </w:r>
    </w:p>
    <w:p>
      <w:pPr>
        <w:pStyle w:val="BodyText"/>
      </w:pPr>
      <w:r>
        <w:t xml:space="preserve"> </w:t>
      </w:r>
    </w:p>
    <w:br w:type="page"/>
    <w:p>
      <w:pPr>
        <w:pStyle w:val="BodyText"/>
      </w:pPr>
      <w:bookmarkStart w:id="figure-3-73" w:name="figure-3-73"/>
      <w:bookmarkEnd w:id="figure-3-73"/>
    </w:p>
    <w:p>
      <w:pPr>
        <w:pStyle w:val="BodyText"/>
      </w:pPr>
      <w:r>
        <w:drawing>
          <wp:inline>
            <wp:extent cx="5969000" cy="4853513"/>
            <wp:effectExtent b="0" l="0" r="0" t="0"/>
            <wp:docPr descr="" title="" id="280" name="Picture"/>
            <a:graphic>
              <a:graphicData uri="http://schemas.openxmlformats.org/drawingml/2006/picture">
                <pic:pic>
                  <pic:nvPicPr>
                    <pic:cNvPr descr="images/006_section_results-and-discussion/009_section_ct-profiles/011_section_model-verification/63_time_profile_plot_Erythromycin_500mg_Kavi1988.png" id="281" name="Picture"/>
                    <pic:cNvPicPr>
                      <a:picLocks noChangeArrowheads="1" noChangeAspect="1"/>
                    </pic:cNvPicPr>
                  </pic:nvPicPr>
                  <pic:blipFill>
                    <a:blip r:embed="rId279"/>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3-73: Time Profile Analysis 1</w:t>
      </w:r>
    </w:p>
    <w:p>
      <w:pPr>
        <w:pStyle w:val="BodyText"/>
      </w:pPr>
      <w:r>
        <w:t xml:space="preserve"> </w:t>
      </w:r>
    </w:p>
    <w:br w:type="page"/>
    <w:p>
      <w:pPr>
        <w:pStyle w:val="BodyText"/>
      </w:pPr>
      <w:bookmarkStart w:id="figure-3-74" w:name="figure-3-74"/>
      <w:bookmarkEnd w:id="figure-3-74"/>
    </w:p>
    <w:p>
      <w:pPr>
        <w:pStyle w:val="BodyText"/>
      </w:pPr>
      <w:r>
        <w:drawing>
          <wp:inline>
            <wp:extent cx="5969000" cy="5464738"/>
            <wp:effectExtent b="0" l="0" r="0" t="0"/>
            <wp:docPr descr="" title="" id="283" name="Picture"/>
            <a:graphic>
              <a:graphicData uri="http://schemas.openxmlformats.org/drawingml/2006/picture">
                <pic:pic>
                  <pic:nvPicPr>
                    <pic:cNvPr descr="images/006_section_results-and-discussion/009_section_ct-profiles/011_section_model-verification/68_time_profile_plot_Erythromycin_500mg_Parsons1977.png" id="284" name="Picture"/>
                    <pic:cNvPicPr>
                      <a:picLocks noChangeArrowheads="1" noChangeAspect="1"/>
                    </pic:cNvPicPr>
                  </pic:nvPicPr>
                  <pic:blipFill>
                    <a:blip r:embed="rId282"/>
                    <a:stretch>
                      <a:fillRect/>
                    </a:stretch>
                  </pic:blipFill>
                  <pic:spPr bwMode="auto">
                    <a:xfrm>
                      <a:off x="0" y="0"/>
                      <a:ext cx="5969000" cy="5464738"/>
                    </a:xfrm>
                    <a:prstGeom prst="rect">
                      <a:avLst/>
                    </a:prstGeom>
                    <a:noFill/>
                    <a:ln w="9525">
                      <a:noFill/>
                      <a:headEnd/>
                      <a:tailEnd/>
                    </a:ln>
                  </pic:spPr>
                </pic:pic>
              </a:graphicData>
            </a:graphic>
          </wp:inline>
        </w:drawing>
      </w:r>
    </w:p>
    <w:p>
      <w:pPr>
        <w:pStyle w:val="BodyText"/>
      </w:pPr>
      <w:r>
        <w:rPr>
          <w:bCs/>
          <w:b/>
        </w:rPr>
        <w:t xml:space="preserve">Figure 3-74: Time Profile Analysis</w:t>
      </w:r>
    </w:p>
    <w:p>
      <w:pPr>
        <w:pStyle w:val="BodyText"/>
      </w:pPr>
      <w:r>
        <w:t xml:space="preserve"> </w:t>
      </w:r>
    </w:p>
    <w:br w:type="page"/>
    <w:p>
      <w:pPr>
        <w:pStyle w:val="BodyText"/>
      </w:pPr>
      <w:bookmarkStart w:id="figure-3-75" w:name="figure-3-75"/>
      <w:bookmarkEnd w:id="figure-3-75"/>
    </w:p>
    <w:p>
      <w:pPr>
        <w:pStyle w:val="BodyText"/>
      </w:pPr>
      <w:r>
        <w:drawing>
          <wp:inline>
            <wp:extent cx="5969000" cy="5464738"/>
            <wp:effectExtent b="0" l="0" r="0" t="0"/>
            <wp:docPr descr="" title="" id="286" name="Picture"/>
            <a:graphic>
              <a:graphicData uri="http://schemas.openxmlformats.org/drawingml/2006/picture">
                <pic:pic>
                  <pic:nvPicPr>
                    <pic:cNvPr descr="images/006_section_results-and-discussion/009_section_ct-profiles/011_section_model-verification/69_time_profile_plot_Erythromycin_500mg_Parsons1977.png" id="287" name="Picture"/>
                    <pic:cNvPicPr>
                      <a:picLocks noChangeArrowheads="1" noChangeAspect="1"/>
                    </pic:cNvPicPr>
                  </pic:nvPicPr>
                  <pic:blipFill>
                    <a:blip r:embed="rId285"/>
                    <a:stretch>
                      <a:fillRect/>
                    </a:stretch>
                  </pic:blipFill>
                  <pic:spPr bwMode="auto">
                    <a:xfrm>
                      <a:off x="0" y="0"/>
                      <a:ext cx="5969000" cy="5464738"/>
                    </a:xfrm>
                    <a:prstGeom prst="rect">
                      <a:avLst/>
                    </a:prstGeom>
                    <a:noFill/>
                    <a:ln w="9525">
                      <a:noFill/>
                      <a:headEnd/>
                      <a:tailEnd/>
                    </a:ln>
                  </pic:spPr>
                </pic:pic>
              </a:graphicData>
            </a:graphic>
          </wp:inline>
        </w:drawing>
      </w:r>
    </w:p>
    <w:p>
      <w:pPr>
        <w:pStyle w:val="BodyText"/>
      </w:pPr>
      <w:r>
        <w:rPr>
          <w:bCs/>
          <w:b/>
        </w:rPr>
        <w:t xml:space="preserve">Figure 3-75: Time Profile Analysis 1</w:t>
      </w:r>
    </w:p>
    <w:p>
      <w:pPr>
        <w:pStyle w:val="BodyText"/>
      </w:pPr>
      <w:r>
        <w:t xml:space="preserve"> </w:t>
      </w:r>
    </w:p>
    <w:br w:type="page"/>
    <w:p>
      <w:pPr>
        <w:pStyle w:val="BodyText"/>
      </w:pPr>
      <w:bookmarkStart w:id="figure-3-76" w:name="figure-3-76"/>
      <w:bookmarkEnd w:id="figure-3-76"/>
    </w:p>
    <w:p>
      <w:pPr>
        <w:pStyle w:val="BodyText"/>
      </w:pPr>
      <w:r>
        <w:drawing>
          <wp:inline>
            <wp:extent cx="5969000" cy="5464738"/>
            <wp:effectExtent b="0" l="0" r="0" t="0"/>
            <wp:docPr descr="" title="" id="289" name="Picture"/>
            <a:graphic>
              <a:graphicData uri="http://schemas.openxmlformats.org/drawingml/2006/picture">
                <pic:pic>
                  <pic:nvPicPr>
                    <pic:cNvPr descr="images/006_section_results-and-discussion/009_section_ct-profiles/011_section_model-verification/70_time_profile_plot_Erythromycin_500mg_Parsons1977.png" id="290" name="Picture"/>
                    <pic:cNvPicPr>
                      <a:picLocks noChangeArrowheads="1" noChangeAspect="1"/>
                    </pic:cNvPicPr>
                  </pic:nvPicPr>
                  <pic:blipFill>
                    <a:blip r:embed="rId288"/>
                    <a:stretch>
                      <a:fillRect/>
                    </a:stretch>
                  </pic:blipFill>
                  <pic:spPr bwMode="auto">
                    <a:xfrm>
                      <a:off x="0" y="0"/>
                      <a:ext cx="5969000" cy="5464738"/>
                    </a:xfrm>
                    <a:prstGeom prst="rect">
                      <a:avLst/>
                    </a:prstGeom>
                    <a:noFill/>
                    <a:ln w="9525">
                      <a:noFill/>
                      <a:headEnd/>
                      <a:tailEnd/>
                    </a:ln>
                  </pic:spPr>
                </pic:pic>
              </a:graphicData>
            </a:graphic>
          </wp:inline>
        </w:drawing>
      </w:r>
    </w:p>
    <w:p>
      <w:pPr>
        <w:pStyle w:val="BodyText"/>
      </w:pPr>
      <w:r>
        <w:rPr>
          <w:bCs/>
          <w:b/>
        </w:rPr>
        <w:t xml:space="preserve">Figure 3-76: Time Profile Analysis 2</w:t>
      </w:r>
    </w:p>
    <w:p>
      <w:pPr>
        <w:pStyle w:val="BodyText"/>
      </w:pPr>
      <w:r>
        <w:t xml:space="preserve"> </w:t>
      </w:r>
    </w:p>
    <w:br w:type="page"/>
    <w:p>
      <w:pPr>
        <w:pStyle w:val="BodyText"/>
      </w:pPr>
      <w:bookmarkStart w:id="figure-3-77" w:name="figure-3-77"/>
      <w:bookmarkEnd w:id="figure-3-77"/>
    </w:p>
    <w:p>
      <w:pPr>
        <w:pStyle w:val="BodyText"/>
      </w:pPr>
      <w:r>
        <w:drawing>
          <wp:inline>
            <wp:extent cx="5969000" cy="5464738"/>
            <wp:effectExtent b="0" l="0" r="0" t="0"/>
            <wp:docPr descr="" title="" id="292" name="Picture"/>
            <a:graphic>
              <a:graphicData uri="http://schemas.openxmlformats.org/drawingml/2006/picture">
                <pic:pic>
                  <pic:nvPicPr>
                    <pic:cNvPr descr="images/006_section_results-and-discussion/009_section_ct-profiles/011_section_model-verification/75_time_profile_plot_Erythromycin_500mg_Schreiner1984_stearate.png" id="293" name="Picture"/>
                    <pic:cNvPicPr>
                      <a:picLocks noChangeArrowheads="1" noChangeAspect="1"/>
                    </pic:cNvPicPr>
                  </pic:nvPicPr>
                  <pic:blipFill>
                    <a:blip r:embed="rId291"/>
                    <a:stretch>
                      <a:fillRect/>
                    </a:stretch>
                  </pic:blipFill>
                  <pic:spPr bwMode="auto">
                    <a:xfrm>
                      <a:off x="0" y="0"/>
                      <a:ext cx="5969000" cy="5464738"/>
                    </a:xfrm>
                    <a:prstGeom prst="rect">
                      <a:avLst/>
                    </a:prstGeom>
                    <a:noFill/>
                    <a:ln w="9525">
                      <a:noFill/>
                      <a:headEnd/>
                      <a:tailEnd/>
                    </a:ln>
                  </pic:spPr>
                </pic:pic>
              </a:graphicData>
            </a:graphic>
          </wp:inline>
        </w:drawing>
      </w:r>
    </w:p>
    <w:p>
      <w:pPr>
        <w:pStyle w:val="BodyText"/>
      </w:pPr>
      <w:r>
        <w:rPr>
          <w:bCs/>
          <w:b/>
        </w:rPr>
        <w:t xml:space="preserve">Figure 3-77: Time Profile Analysis</w:t>
      </w:r>
    </w:p>
    <w:p>
      <w:pPr>
        <w:pStyle w:val="BodyText"/>
      </w:pPr>
      <w:r>
        <w:t xml:space="preserve"> </w:t>
      </w:r>
    </w:p>
    <w:br w:type="page"/>
    <w:p>
      <w:pPr>
        <w:pStyle w:val="BodyText"/>
      </w:pPr>
      <w:bookmarkStart w:id="figure-3-78" w:name="figure-3-78"/>
      <w:bookmarkEnd w:id="figure-3-78"/>
    </w:p>
    <w:p>
      <w:pPr>
        <w:pStyle w:val="BodyText"/>
      </w:pPr>
      <w:r>
        <w:drawing>
          <wp:inline>
            <wp:extent cx="5969000" cy="5464738"/>
            <wp:effectExtent b="0" l="0" r="0" t="0"/>
            <wp:docPr descr="" title="" id="295" name="Picture"/>
            <a:graphic>
              <a:graphicData uri="http://schemas.openxmlformats.org/drawingml/2006/picture">
                <pic:pic>
                  <pic:nvPicPr>
                    <pic:cNvPr descr="images/006_section_results-and-discussion/009_section_ct-profiles/011_section_model-verification/76_time_profile_plot_Erythromycin_500mg_Schreiner1984_stearate.png" id="296" name="Picture"/>
                    <pic:cNvPicPr>
                      <a:picLocks noChangeArrowheads="1" noChangeAspect="1"/>
                    </pic:cNvPicPr>
                  </pic:nvPicPr>
                  <pic:blipFill>
                    <a:blip r:embed="rId294"/>
                    <a:stretch>
                      <a:fillRect/>
                    </a:stretch>
                  </pic:blipFill>
                  <pic:spPr bwMode="auto">
                    <a:xfrm>
                      <a:off x="0" y="0"/>
                      <a:ext cx="5969000" cy="5464738"/>
                    </a:xfrm>
                    <a:prstGeom prst="rect">
                      <a:avLst/>
                    </a:prstGeom>
                    <a:noFill/>
                    <a:ln w="9525">
                      <a:noFill/>
                      <a:headEnd/>
                      <a:tailEnd/>
                    </a:ln>
                  </pic:spPr>
                </pic:pic>
              </a:graphicData>
            </a:graphic>
          </wp:inline>
        </w:drawing>
      </w:r>
    </w:p>
    <w:p>
      <w:pPr>
        <w:pStyle w:val="BodyText"/>
      </w:pPr>
      <w:r>
        <w:rPr>
          <w:bCs/>
          <w:b/>
        </w:rPr>
        <w:t xml:space="preserve">Figure 3-78: Time Profile Analysis 1</w:t>
      </w:r>
    </w:p>
    <w:p>
      <w:pPr>
        <w:pStyle w:val="BodyText"/>
      </w:pPr>
      <w:r>
        <w:t xml:space="preserve"> </w:t>
      </w:r>
    </w:p>
    <w:br w:type="page"/>
    <w:p>
      <w:pPr>
        <w:pStyle w:val="BodyText"/>
      </w:pPr>
      <w:bookmarkStart w:id="figure-3-79" w:name="figure-3-79"/>
      <w:bookmarkEnd w:id="figure-3-79"/>
    </w:p>
    <w:p>
      <w:pPr>
        <w:pStyle w:val="BodyText"/>
      </w:pPr>
      <w:r>
        <w:drawing>
          <wp:inline>
            <wp:extent cx="5969000" cy="4853513"/>
            <wp:effectExtent b="0" l="0" r="0" t="0"/>
            <wp:docPr descr="" title="" id="298" name="Picture"/>
            <a:graphic>
              <a:graphicData uri="http://schemas.openxmlformats.org/drawingml/2006/picture">
                <pic:pic>
                  <pic:nvPicPr>
                    <pic:cNvPr descr="images/006_section_results-and-discussion/009_section_ct-profiles/011_section_model-verification/77_time_profile_plot_Erythromycin_500mg_Simon1980.png" id="299" name="Picture"/>
                    <pic:cNvPicPr>
                      <a:picLocks noChangeArrowheads="1" noChangeAspect="1"/>
                    </pic:cNvPicPr>
                  </pic:nvPicPr>
                  <pic:blipFill>
                    <a:blip r:embed="rId297"/>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3-79: Time Profile Analysis</w:t>
      </w:r>
    </w:p>
    <w:p>
      <w:pPr>
        <w:pStyle w:val="BodyText"/>
      </w:pPr>
      <w:r>
        <w:t xml:space="preserve"> </w:t>
      </w:r>
    </w:p>
    <w:br w:type="page"/>
    <w:p>
      <w:pPr>
        <w:pStyle w:val="BodyText"/>
      </w:pPr>
      <w:bookmarkStart w:id="figure-3-80" w:name="figure-3-80"/>
      <w:bookmarkEnd w:id="figure-3-80"/>
    </w:p>
    <w:p>
      <w:pPr>
        <w:pStyle w:val="BodyText"/>
      </w:pPr>
      <w:r>
        <w:drawing>
          <wp:inline>
            <wp:extent cx="5969000" cy="4853513"/>
            <wp:effectExtent b="0" l="0" r="0" t="0"/>
            <wp:docPr descr="" title="" id="301" name="Picture"/>
            <a:graphic>
              <a:graphicData uri="http://schemas.openxmlformats.org/drawingml/2006/picture">
                <pic:pic>
                  <pic:nvPicPr>
                    <pic:cNvPr descr="images/006_section_results-and-discussion/009_section_ct-profiles/011_section_model-verification/78_time_profile_plot_Erythromycin_500mg_Simon1980.png" id="302" name="Picture"/>
                    <pic:cNvPicPr>
                      <a:picLocks noChangeArrowheads="1" noChangeAspect="1"/>
                    </pic:cNvPicPr>
                  </pic:nvPicPr>
                  <pic:blipFill>
                    <a:blip r:embed="rId300"/>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3-80: Time Profile Analysis 1</w:t>
      </w:r>
    </w:p>
    <w:p>
      <w:pPr>
        <w:pStyle w:val="BodyText"/>
      </w:pPr>
      <w:r>
        <w:t xml:space="preserve"> </w:t>
      </w:r>
    </w:p>
    <w:bookmarkEnd w:id="303"/>
    <w:bookmarkEnd w:id="304"/>
    <w:bookmarkEnd w:id="305"/>
    <w:bookmarkStart w:id="306" w:name="conclusion"/>
    <w:p>
      <w:pPr>
        <w:pStyle w:val="Heading1"/>
      </w:pPr>
      <w:r>
        <w:t xml:space="preserve">Conclusion</w:t>
      </w:r>
      <w:bookmarkStart w:id="conclusion" w:name="conclusion"/>
      <w:bookmarkEnd w:id="conclusion"/>
    </w:p>
    <w:p>
      <w:pPr>
        <w:pStyle w:val="FirstParagraph"/>
      </w:pPr>
      <w:r>
        <w:t xml:space="preserve">The final erythromycin PBPK model applies metabolism by CYP3A4, glomerular filtration, and a dummy clearance technically implemented as hepatic plasma clearance accounting for additional clearance pathways, as well as mechanism-based inhibition of CYP3A4. Overall, the model adequately describes the oral pharmacokinetics of erythromycin in healthy adults receiving different single or multiple doses of several oral dosage forms and is considered verified for the use as a perpetrator drug in drug-drug interaction simulations.</w:t>
      </w:r>
    </w:p>
    <w:bookmarkEnd w:id="306"/>
    <w:bookmarkStart w:id="307" w:name="references"/>
    <w:p>
      <w:pPr>
        <w:pStyle w:val="Heading1"/>
      </w:pPr>
      <w:r>
        <w:t xml:space="preserve">References</w:t>
      </w:r>
      <w:bookmarkStart w:id="main-references" w:name="main-references"/>
      <w:bookmarkEnd w:id="main-references"/>
    </w:p>
    <w:p>
      <w:pPr>
        <w:pStyle w:val="FirstParagraph"/>
      </w:pPr>
      <w:r>
        <w:rPr>
          <w:bCs/>
          <w:b/>
        </w:rPr>
        <w:t xml:space="preserve">Acocella 1968</w:t>
      </w:r>
      <w:r>
        <w:t xml:space="preserve"> </w:t>
      </w:r>
      <w:r>
        <w:t xml:space="preserve">Acocella G, Mattiussi R, Nicolis FB, Pallanza R, Tenconi LT. Biliary excretion of antibiotics in man.</w:t>
      </w:r>
      <w:r>
        <w:t xml:space="preserve"> </w:t>
      </w:r>
      <w:r>
        <w:rPr>
          <w:iCs/>
          <w:i/>
        </w:rPr>
        <w:t xml:space="preserve">Gut</w:t>
      </w:r>
      <w:r>
        <w:t xml:space="preserve"> </w:t>
      </w:r>
      <w:r>
        <w:t xml:space="preserve">1968, 9(5): 536-545.</w:t>
      </w:r>
    </w:p>
    <w:p>
      <w:pPr>
        <w:pStyle w:val="BodyText"/>
      </w:pPr>
      <w:r>
        <w:rPr>
          <w:bCs/>
          <w:b/>
        </w:rPr>
        <w:t xml:space="preserve">Akiyoshi 2013</w:t>
      </w:r>
      <w:r>
        <w:t xml:space="preserve"> </w:t>
      </w:r>
      <w:r>
        <w:t xml:space="preserve">Akiyoshi T, Ito M, Murase S, Miyazaki M, Guengerich FP, Nakamura K, Yamamoto K, Ohtani H. Mechanism-based inhibition profiles of erythromycin and clarithromycin with cytochrome P450 3A4 genetic variants.</w:t>
      </w:r>
      <w:r>
        <w:t xml:space="preserve"> </w:t>
      </w:r>
      <w:r>
        <w:rPr>
          <w:iCs/>
          <w:i/>
        </w:rPr>
        <w:t xml:space="preserve">Drug Metab Pharmacokinet</w:t>
      </w:r>
      <w:r>
        <w:t xml:space="preserve"> </w:t>
      </w:r>
      <w:r>
        <w:t xml:space="preserve">2013, 28(5): 411-415.</w:t>
      </w:r>
    </w:p>
    <w:p>
      <w:pPr>
        <w:pStyle w:val="BodyText"/>
      </w:pPr>
      <w:r>
        <w:rPr>
          <w:bCs/>
          <w:b/>
        </w:rPr>
        <w:t xml:space="preserve">Atkinson 2005</w:t>
      </w:r>
      <w:r>
        <w:t xml:space="preserve"> </w:t>
      </w:r>
      <w:r>
        <w:t xml:space="preserve">Atkinson A, Kenny JR, Grime K. Automated Assessment of Time-Dependent Inhibition of Human CYP Enzymes using LC-MS-MS Analysis.</w:t>
      </w:r>
      <w:r>
        <w:t xml:space="preserve"> </w:t>
      </w:r>
      <w:r>
        <w:rPr>
          <w:iCs/>
          <w:i/>
        </w:rPr>
        <w:t xml:space="preserve">Drug Metab Dispos</w:t>
      </w:r>
      <w:r>
        <w:t xml:space="preserve"> </w:t>
      </w:r>
      <w:r>
        <w:t xml:space="preserve">2005, 33(11): 1637-1347.</w:t>
      </w:r>
    </w:p>
    <w:p>
      <w:pPr>
        <w:pStyle w:val="BodyText"/>
      </w:pPr>
      <w:r>
        <w:rPr>
          <w:bCs/>
          <w:b/>
        </w:rPr>
        <w:t xml:space="preserve">Aueviriyavit 2010</w:t>
      </w:r>
      <w:r>
        <w:t xml:space="preserve"> </w:t>
      </w:r>
      <w:r>
        <w:t xml:space="preserve">Aueviriyavit S, Kobayashi K, Chiba K. Species differences in mechanism-based inactivation of CYP3A in humans, rats and mice.</w:t>
      </w:r>
      <w:r>
        <w:t xml:space="preserve"> </w:t>
      </w:r>
      <w:r>
        <w:rPr>
          <w:iCs/>
          <w:i/>
        </w:rPr>
        <w:t xml:space="preserve">Drug Metab Pharmacokinet</w:t>
      </w:r>
      <w:r>
        <w:t xml:space="preserve"> </w:t>
      </w:r>
      <w:r>
        <w:t xml:space="preserve">2010, 25(1): 93-100.</w:t>
      </w:r>
    </w:p>
    <w:p>
      <w:pPr>
        <w:pStyle w:val="BodyText"/>
      </w:pPr>
      <w:r>
        <w:rPr>
          <w:bCs/>
          <w:b/>
        </w:rPr>
        <w:t xml:space="preserve">Austin 1980</w:t>
      </w:r>
      <w:r>
        <w:t xml:space="preserve"> </w:t>
      </w:r>
      <w:r>
        <w:t xml:space="preserve">Austin KL, Mather LE, Philpot CR, McDonald PJ. Intersubject and dose-related variability after intravenous administration of erythromycin.</w:t>
      </w:r>
      <w:r>
        <w:t xml:space="preserve"> </w:t>
      </w:r>
      <w:r>
        <w:rPr>
          <w:iCs/>
          <w:i/>
        </w:rPr>
        <w:t xml:space="preserve">Br J Clin Pharmacol</w:t>
      </w:r>
      <w:r>
        <w:t xml:space="preserve"> </w:t>
      </w:r>
      <w:r>
        <w:t xml:space="preserve">1980, 10(3): 273-379.</w:t>
      </w:r>
    </w:p>
    <w:p>
      <w:pPr>
        <w:pStyle w:val="BodyText"/>
      </w:pPr>
      <w:r>
        <w:rPr>
          <w:bCs/>
          <w:b/>
        </w:rPr>
        <w:t xml:space="preserve">Barre 1987</w:t>
      </w:r>
      <w:r>
        <w:t xml:space="preserve"> </w:t>
      </w:r>
      <w:r>
        <w:t xml:space="preserve">Barre J, Mallat A, Rosenbaum J, Deforges L, Houin G, Dhumeaux D, Tillement JP. Pharmacokinetics of erythromycin in patients with severe cirrhosis. Respective influence of decreased serum binding and impaired liver metabolic capacity.</w:t>
      </w:r>
      <w:r>
        <w:t xml:space="preserve"> </w:t>
      </w:r>
      <w:r>
        <w:rPr>
          <w:iCs/>
          <w:i/>
        </w:rPr>
        <w:t xml:space="preserve">Br J Clin Pharmacol</w:t>
      </w:r>
      <w:r>
        <w:t xml:space="preserve"> </w:t>
      </w:r>
      <w:r>
        <w:t xml:space="preserve">1987, 23(6): 753-757.</w:t>
      </w:r>
    </w:p>
    <w:p>
      <w:pPr>
        <w:pStyle w:val="BodyText"/>
      </w:pPr>
      <w:r>
        <w:rPr>
          <w:bCs/>
          <w:b/>
        </w:rPr>
        <w:t xml:space="preserve">Berend 1979</w:t>
      </w:r>
      <w:r>
        <w:t xml:space="preserve"> </w:t>
      </w:r>
      <w:r>
        <w:t xml:space="preserve">Berend N, Rutland J, Marlin GE. Plasma and saliva concentrations for a new formulation of erythromycin stearate.</w:t>
      </w:r>
      <w:r>
        <w:t xml:space="preserve"> </w:t>
      </w:r>
      <w:r>
        <w:rPr>
          <w:iCs/>
          <w:i/>
        </w:rPr>
        <w:t xml:space="preserve">Curr Med Res Opin</w:t>
      </w:r>
      <w:r>
        <w:t xml:space="preserve"> </w:t>
      </w:r>
      <w:r>
        <w:t xml:space="preserve">1979, 6(2): 118-123.</w:t>
      </w:r>
    </w:p>
    <w:p>
      <w:pPr>
        <w:pStyle w:val="BodyText"/>
      </w:pPr>
      <w:r>
        <w:rPr>
          <w:bCs/>
          <w:b/>
        </w:rPr>
        <w:t xml:space="preserve">Birkett 1990</w:t>
      </w:r>
      <w:r>
        <w:t xml:space="preserve"> </w:t>
      </w:r>
      <w:r>
        <w:t xml:space="preserve">Birkett DJ, Robson RA, Grgurinovich N, Tonkin A. Single oral dose pharmacokinetics of erythromycin and roxithromycin and the effects of chronic dosing.</w:t>
      </w:r>
      <w:r>
        <w:t xml:space="preserve"> </w:t>
      </w:r>
      <w:r>
        <w:rPr>
          <w:iCs/>
          <w:i/>
        </w:rPr>
        <w:t xml:space="preserve">Ther Drug Monit</w:t>
      </w:r>
      <w:r>
        <w:t xml:space="preserve"> </w:t>
      </w:r>
      <w:r>
        <w:t xml:space="preserve">1990, 12(1): 65-71.</w:t>
      </w:r>
    </w:p>
    <w:p>
      <w:pPr>
        <w:pStyle w:val="BodyText"/>
      </w:pPr>
      <w:r>
        <w:rPr>
          <w:bCs/>
          <w:b/>
        </w:rPr>
        <w:t xml:space="preserve">Brannan 1995</w:t>
      </w:r>
      <w:r>
        <w:t xml:space="preserve"> </w:t>
      </w:r>
      <w:r>
        <w:t xml:space="preserve">Brannan MD, Reidenberg P, Radwanski E, Shneyer L, Lin CC, Cayen MN, Affrime MB. Loratadine administered concomitantly with erythromycin: pharmacokinetic and electrocardiographic evaluations.</w:t>
      </w:r>
      <w:r>
        <w:t xml:space="preserve"> </w:t>
      </w:r>
      <w:r>
        <w:rPr>
          <w:iCs/>
          <w:i/>
        </w:rPr>
        <w:t xml:space="preserve">Clin Pharmacol Ther</w:t>
      </w:r>
      <w:r>
        <w:t xml:space="preserve"> </w:t>
      </w:r>
      <w:r>
        <w:t xml:space="preserve">1995, 58(3): 269-278.</w:t>
      </w:r>
    </w:p>
    <w:p>
      <w:pPr>
        <w:pStyle w:val="BodyText"/>
      </w:pPr>
      <w:r>
        <w:rPr>
          <w:bCs/>
          <w:b/>
        </w:rPr>
        <w:t xml:space="preserve">Capobianco 1994</w:t>
      </w:r>
      <w:r>
        <w:t xml:space="preserve"> </w:t>
      </w:r>
      <w:r>
        <w:t xml:space="preserve">Capobianco JO, Goldman RC. Macrolide transport in Escherichia coli strains having normal and altered OmpC and/or OmpF porins.</w:t>
      </w:r>
      <w:r>
        <w:t xml:space="preserve"> </w:t>
      </w:r>
      <w:r>
        <w:rPr>
          <w:iCs/>
          <w:i/>
        </w:rPr>
        <w:t xml:space="preserve">Int J Antimicrob Agents</w:t>
      </w:r>
      <w:r>
        <w:t xml:space="preserve"> </w:t>
      </w:r>
      <w:r>
        <w:t xml:space="preserve">1994, 4(3): 183-189.</w:t>
      </w:r>
    </w:p>
    <w:p>
      <w:pPr>
        <w:pStyle w:val="BodyText"/>
      </w:pPr>
      <w:r>
        <w:rPr>
          <w:bCs/>
          <w:b/>
        </w:rPr>
        <w:t xml:space="preserve">Carlier 1987</w:t>
      </w:r>
      <w:r>
        <w:t xml:space="preserve"> </w:t>
      </w:r>
      <w:r>
        <w:t xml:space="preserve">Carlier MB, Zenebergh A, Tulkens PM. Cellular uptake and subcellular distribution of roxithromycin and erythromycin in phagocytic cells.</w:t>
      </w:r>
      <w:r>
        <w:t xml:space="preserve"> </w:t>
      </w:r>
      <w:r>
        <w:rPr>
          <w:iCs/>
          <w:i/>
        </w:rPr>
        <w:t xml:space="preserve">J Antimicrob Chemother</w:t>
      </w:r>
      <w:r>
        <w:t xml:space="preserve"> </w:t>
      </w:r>
      <w:r>
        <w:t xml:space="preserve">1987, 20 Suppl B, 47-56.</w:t>
      </w:r>
    </w:p>
    <w:p>
      <w:pPr>
        <w:pStyle w:val="BodyText"/>
      </w:pPr>
      <w:r>
        <w:rPr>
          <w:bCs/>
          <w:b/>
        </w:rPr>
        <w:t xml:space="preserve">Chan 2000</w:t>
      </w:r>
      <w:r>
        <w:t xml:space="preserve"> </w:t>
      </w:r>
      <w:r>
        <w:t xml:space="preserve">Chan WK, Delucchi AB. Resveratrol, a red wine constituent, is a mechanism-based inactivator of cytochrome P450 3A4.</w:t>
      </w:r>
      <w:r>
        <w:t xml:space="preserve"> </w:t>
      </w:r>
      <w:r>
        <w:rPr>
          <w:iCs/>
          <w:i/>
        </w:rPr>
        <w:t xml:space="preserve">Life Sci</w:t>
      </w:r>
      <w:r>
        <w:t xml:space="preserve"> </w:t>
      </w:r>
      <w:r>
        <w:t xml:space="preserve">2000, 67(25): 3103-3112.</w:t>
      </w:r>
    </w:p>
    <w:p>
      <w:pPr>
        <w:pStyle w:val="BodyText"/>
      </w:pPr>
      <w:r>
        <w:rPr>
          <w:bCs/>
          <w:b/>
        </w:rPr>
        <w:t xml:space="preserve">Chelvan 1979</w:t>
      </w:r>
      <w:r>
        <w:t xml:space="preserve"> </w:t>
      </w:r>
      <w:r>
        <w:t xml:space="preserve">Chelvan P, Hamilton-Miller JM, Brumfitt W. Biliary excretion of erythromycin after parenteral administration.</w:t>
      </w:r>
      <w:r>
        <w:t xml:space="preserve"> </w:t>
      </w:r>
      <w:r>
        <w:rPr>
          <w:iCs/>
          <w:i/>
        </w:rPr>
        <w:t xml:space="preserve">Br J Clin Pharmacol</w:t>
      </w:r>
      <w:r>
        <w:t xml:space="preserve"> </w:t>
      </w:r>
      <w:r>
        <w:t xml:space="preserve">1979, 8(3): 233-235.</w:t>
      </w:r>
    </w:p>
    <w:p>
      <w:pPr>
        <w:pStyle w:val="BodyText"/>
      </w:pPr>
      <w:r>
        <w:rPr>
          <w:bCs/>
          <w:b/>
        </w:rPr>
        <w:t xml:space="preserve">Chen 2011</w:t>
      </w:r>
      <w:r>
        <w:t xml:space="preserve"> </w:t>
      </w:r>
      <w:r>
        <w:t xml:space="preserve">Chen Y, Liu L, Monshouwer M, Fretland AJ. Determination of time-dependent inactivation of CYP3A4 in cryopreserved human hepatocytes and assessment of human drug-drug interactions.</w:t>
      </w:r>
      <w:r>
        <w:t xml:space="preserve"> </w:t>
      </w:r>
      <w:r>
        <w:rPr>
          <w:iCs/>
          <w:i/>
        </w:rPr>
        <w:t xml:space="preserve">Drug Metab Dispos</w:t>
      </w:r>
      <w:r>
        <w:t xml:space="preserve"> </w:t>
      </w:r>
      <w:r>
        <w:t xml:space="preserve">2011, 39(11): 2085-2092.</w:t>
      </w:r>
    </w:p>
    <w:p>
      <w:pPr>
        <w:pStyle w:val="BodyText"/>
      </w:pPr>
      <w:r>
        <w:rPr>
          <w:bCs/>
          <w:b/>
        </w:rPr>
        <w:t xml:space="preserve">Chun 1977</w:t>
      </w:r>
      <w:r>
        <w:t xml:space="preserve"> </w:t>
      </w:r>
      <w:r>
        <w:t xml:space="preserve">Chun AHC, Seitz JA. Pharmacokinetics and biological availability of erythromycin.</w:t>
      </w:r>
      <w:r>
        <w:t xml:space="preserve"> </w:t>
      </w:r>
      <w:r>
        <w:rPr>
          <w:iCs/>
          <w:i/>
        </w:rPr>
        <w:t xml:space="preserve">Infection</w:t>
      </w:r>
      <w:r>
        <w:t xml:space="preserve"> </w:t>
      </w:r>
      <w:r>
        <w:t xml:space="preserve">1977, 5(1): 14-22.</w:t>
      </w:r>
    </w:p>
    <w:p>
      <w:pPr>
        <w:pStyle w:val="BodyText"/>
      </w:pPr>
      <w:r>
        <w:rPr>
          <w:bCs/>
          <w:b/>
        </w:rPr>
        <w:t xml:space="preserve">Cui 2000</w:t>
      </w:r>
      <w:r>
        <w:t xml:space="preserve"> </w:t>
      </w:r>
      <w:r>
        <w:t xml:space="preserve">Cui X, Nelson DR, Strobel HW. A novel human cytochrome P450 4F isoform (CYP4F11): cDNA cloning, expression, and genomic structural characterization.</w:t>
      </w:r>
      <w:r>
        <w:t xml:space="preserve"> </w:t>
      </w:r>
      <w:r>
        <w:rPr>
          <w:iCs/>
          <w:i/>
        </w:rPr>
        <w:t xml:space="preserve">Genomics</w:t>
      </w:r>
      <w:r>
        <w:t xml:space="preserve"> </w:t>
      </w:r>
      <w:r>
        <w:t xml:space="preserve">2000, 68(2): 161-166.</w:t>
      </w:r>
    </w:p>
    <w:p>
      <w:pPr>
        <w:pStyle w:val="BodyText"/>
      </w:pPr>
      <w:r>
        <w:rPr>
          <w:bCs/>
          <w:b/>
        </w:rPr>
        <w:t xml:space="preserve">DiSanto 1981</w:t>
      </w:r>
      <w:r>
        <w:t xml:space="preserve"> </w:t>
      </w:r>
      <w:r>
        <w:t xml:space="preserve">DiSanto AR, Chodos DJ. Influence of study design in assessing food effects on absorption of erythromycin base and erythromycin stearate.</w:t>
      </w:r>
      <w:r>
        <w:t xml:space="preserve"> </w:t>
      </w:r>
      <w:r>
        <w:rPr>
          <w:iCs/>
          <w:i/>
        </w:rPr>
        <w:t xml:space="preserve">Antimicrob Agents Chemother</w:t>
      </w:r>
      <w:r>
        <w:t xml:space="preserve"> </w:t>
      </w:r>
      <w:r>
        <w:t xml:space="preserve">1981, 20(2): 190-196.</w:t>
      </w:r>
    </w:p>
    <w:p>
      <w:pPr>
        <w:pStyle w:val="BodyText"/>
      </w:pPr>
      <w:r>
        <w:rPr>
          <w:bCs/>
          <w:b/>
        </w:rPr>
        <w:t xml:space="preserve">drugbank</w:t>
      </w:r>
      <w:r>
        <w:t xml:space="preserve"> </w:t>
      </w:r>
      <w:r>
        <w:t xml:space="preserve">(https://www.drugbank.ca/drugs/DB00199), accessed on 05-14-2018.</w:t>
      </w:r>
    </w:p>
    <w:p>
      <w:pPr>
        <w:pStyle w:val="BodyText"/>
      </w:pPr>
      <w:r>
        <w:rPr>
          <w:bCs/>
          <w:b/>
        </w:rPr>
        <w:t xml:space="preserve">Eberl 2007</w:t>
      </w:r>
      <w:r>
        <w:t xml:space="preserve"> </w:t>
      </w:r>
      <w:r>
        <w:t xml:space="preserve">Eberl S, Renner B, Neubert A, Reisig M, Bachmakov I, König J, Dörje F, Mürdter TE, Ackermann A, Dormann H, Gassmann KG, Hahn EG, Zierhut S, Brune K, Fromm MF. Role of p-glycoprotein inhibition for drug interactions: evidence from in vitro and pharmacoepidemiological studies.</w:t>
      </w:r>
      <w:r>
        <w:t xml:space="preserve"> </w:t>
      </w:r>
      <w:r>
        <w:rPr>
          <w:iCs/>
          <w:i/>
        </w:rPr>
        <w:t xml:space="preserve">Clin Pharmacokinet</w:t>
      </w:r>
      <w:r>
        <w:t xml:space="preserve"> </w:t>
      </w:r>
      <w:r>
        <w:t xml:space="preserve">2007, 46(12): 1039-1049.</w:t>
      </w:r>
    </w:p>
    <w:p>
      <w:pPr>
        <w:pStyle w:val="BodyText"/>
      </w:pPr>
      <w:r>
        <w:rPr>
          <w:bCs/>
          <w:b/>
        </w:rPr>
        <w:t xml:space="preserve">Henry 1980</w:t>
      </w:r>
      <w:r>
        <w:t xml:space="preserve"> </w:t>
      </w:r>
      <w:r>
        <w:t xml:space="preserve">Henry J, Turner P, Garland M, Esmieu F. Plasma and salivary concentrations of erythromycin after administration of three different formulations.</w:t>
      </w:r>
      <w:r>
        <w:t xml:space="preserve"> </w:t>
      </w:r>
      <w:r>
        <w:rPr>
          <w:iCs/>
          <w:i/>
        </w:rPr>
        <w:t xml:space="preserve">Postgrad Med J</w:t>
      </w:r>
      <w:r>
        <w:t xml:space="preserve"> </w:t>
      </w:r>
      <w:r>
        <w:t xml:space="preserve">1980, 56(660): 707-710.</w:t>
      </w:r>
    </w:p>
    <w:p>
      <w:pPr>
        <w:pStyle w:val="BodyText"/>
      </w:pPr>
      <w:r>
        <w:rPr>
          <w:bCs/>
          <w:b/>
        </w:rPr>
        <w:t xml:space="preserve">Huppertz 2011</w:t>
      </w:r>
      <w:r>
        <w:t xml:space="preserve"> </w:t>
      </w:r>
      <w:r>
        <w:t xml:space="preserve">Huppertz A, Breuer J, Fels LM, Schultze‐Mosgau M, Sutter G, Klein S, et al. Evaluation of possible drug–drug interaction between gadoxetic acid and erythromycin as an inhibitor of organic anion transporting peptides (OATP).</w:t>
      </w:r>
      <w:r>
        <w:t xml:space="preserve"> </w:t>
      </w:r>
      <w:r>
        <w:rPr>
          <w:iCs/>
          <w:i/>
        </w:rPr>
        <w:t xml:space="preserve">J Magn Reson Imaging</w:t>
      </w:r>
      <w:r>
        <w:t xml:space="preserve"> </w:t>
      </w:r>
      <w:r>
        <w:t xml:space="preserve">2011, 33(2): 409-416.</w:t>
      </w:r>
    </w:p>
    <w:p>
      <w:pPr>
        <w:pStyle w:val="BodyText"/>
      </w:pPr>
      <w:r>
        <w:rPr>
          <w:bCs/>
          <w:b/>
        </w:rPr>
        <w:t xml:space="preserve">Iliopoulou 1982</w:t>
      </w:r>
      <w:r>
        <w:t xml:space="preserve"> </w:t>
      </w:r>
      <w:r>
        <w:t xml:space="preserve">Iliopoulou A, Aldhous ME, Johnston A, Turner P. Pharmacokinetic interaction between theophylline and erythromycin.</w:t>
      </w:r>
      <w:r>
        <w:t xml:space="preserve"> </w:t>
      </w:r>
      <w:r>
        <w:rPr>
          <w:iCs/>
          <w:i/>
        </w:rPr>
        <w:t xml:space="preserve">Br J Clin Pharmacol</w:t>
      </w:r>
      <w:r>
        <w:t xml:space="preserve"> </w:t>
      </w:r>
      <w:r>
        <w:t xml:space="preserve">1982, 14(4): 495-499.</w:t>
      </w:r>
    </w:p>
    <w:p>
      <w:pPr>
        <w:pStyle w:val="BodyText"/>
      </w:pPr>
      <w:r>
        <w:rPr>
          <w:bCs/>
          <w:b/>
        </w:rPr>
        <w:t xml:space="preserve">Ishikawa 2017</w:t>
      </w:r>
      <w:r>
        <w:t xml:space="preserve"> </w:t>
      </w:r>
      <w:r>
        <w:t xml:space="preserve">Ishikawa Y, Akiyoshi T, Imaoka A, Ohtani H. Inactivation kinetics and residual activity of CYP3A4 after treatment with erythromycin.</w:t>
      </w:r>
      <w:r>
        <w:t xml:space="preserve"> </w:t>
      </w:r>
      <w:r>
        <w:rPr>
          <w:iCs/>
          <w:i/>
        </w:rPr>
        <w:t xml:space="preserve">Biopharm Drug Dispos</w:t>
      </w:r>
      <w:r>
        <w:t xml:space="preserve"> </w:t>
      </w:r>
      <w:r>
        <w:t xml:space="preserve">2017, 38(7): 420-425.</w:t>
      </w:r>
    </w:p>
    <w:p>
      <w:pPr>
        <w:pStyle w:val="BodyText"/>
      </w:pPr>
      <w:r>
        <w:rPr>
          <w:bCs/>
          <w:b/>
        </w:rPr>
        <w:t xml:space="preserve">Jones 1969</w:t>
      </w:r>
      <w:r>
        <w:t xml:space="preserve"> </w:t>
      </w:r>
      <w:r>
        <w:t xml:space="preserve">Jones PH, Rowley EK, Weiss AL, Bishop DL, Chun AH. (1969). Insoluble erythromycin salts.</w:t>
      </w:r>
      <w:r>
        <w:t xml:space="preserve"> </w:t>
      </w:r>
      <w:r>
        <w:rPr>
          <w:iCs/>
          <w:i/>
        </w:rPr>
        <w:t xml:space="preserve">J Pharm Sci</w:t>
      </w:r>
      <w:r>
        <w:t xml:space="preserve"> </w:t>
      </w:r>
      <w:r>
        <w:t xml:space="preserve">1969, 58(3): 337-339.</w:t>
      </w:r>
    </w:p>
    <w:p>
      <w:pPr>
        <w:pStyle w:val="BodyText"/>
      </w:pPr>
      <w:r>
        <w:rPr>
          <w:bCs/>
          <w:b/>
        </w:rPr>
        <w:t xml:space="preserve">Josefsson 1982</w:t>
      </w:r>
      <w:r>
        <w:t xml:space="preserve"> </w:t>
      </w:r>
      <w:r>
        <w:t xml:space="preserve">Josefsson K, Bergan T, Magni L. Dose-related pharmacokinetics after oral administration of a new formulation of erythromycin base.</w:t>
      </w:r>
      <w:r>
        <w:t xml:space="preserve"> </w:t>
      </w:r>
      <w:r>
        <w:rPr>
          <w:iCs/>
          <w:i/>
        </w:rPr>
        <w:t xml:space="preserve">Br J Clin Pharmacol</w:t>
      </w:r>
      <w:r>
        <w:t xml:space="preserve"> </w:t>
      </w:r>
      <w:r>
        <w:t xml:space="preserve">1982, 13(5): 685-691.</w:t>
      </w:r>
    </w:p>
    <w:p>
      <w:pPr>
        <w:pStyle w:val="BodyText"/>
      </w:pPr>
      <w:r>
        <w:rPr>
          <w:bCs/>
          <w:b/>
        </w:rPr>
        <w:t xml:space="preserve">Kalsotra 2004</w:t>
      </w:r>
      <w:r>
        <w:t xml:space="preserve"> </w:t>
      </w:r>
      <w:r>
        <w:t xml:space="preserve">Kalsotra A, Turman CM, Kikuta Y, Strobel HW. Expression and characterization of human cytochrome P450 4F11: Putative role in the metabolism of therapeutic drugs and eicosanoids.</w:t>
      </w:r>
      <w:r>
        <w:t xml:space="preserve"> </w:t>
      </w:r>
      <w:r>
        <w:rPr>
          <w:iCs/>
          <w:i/>
        </w:rPr>
        <w:t xml:space="preserve">Toxicol Appl Pharmacol</w:t>
      </w:r>
      <w:r>
        <w:t xml:space="preserve"> </w:t>
      </w:r>
      <w:r>
        <w:t xml:space="preserve">2004, 199(3): 295-304.</w:t>
      </w:r>
    </w:p>
    <w:p>
      <w:pPr>
        <w:pStyle w:val="BodyText"/>
      </w:pPr>
      <w:r>
        <w:rPr>
          <w:bCs/>
          <w:b/>
        </w:rPr>
        <w:t xml:space="preserve">Kanamitsu 2000</w:t>
      </w:r>
      <w:r>
        <w:t xml:space="preserve"> </w:t>
      </w:r>
      <w:r>
        <w:t xml:space="preserve">Kanamitsu SI, Ito K, Green CE, Tyson CA, Shimada N, Sugiyama Y. Prediction of in vivo interaction between triazolam and erythromycin based on in vitro studies using human liver microsomes and recombinant human CYP3A4.</w:t>
      </w:r>
      <w:r>
        <w:t xml:space="preserve"> </w:t>
      </w:r>
      <w:r>
        <w:rPr>
          <w:iCs/>
          <w:i/>
        </w:rPr>
        <w:t xml:space="preserve">Pharm Res</w:t>
      </w:r>
      <w:r>
        <w:t xml:space="preserve"> </w:t>
      </w:r>
      <w:r>
        <w:t xml:space="preserve">2000, 17(4): 419-426.</w:t>
      </w:r>
    </w:p>
    <w:p>
      <w:pPr>
        <w:pStyle w:val="BodyText"/>
      </w:pPr>
      <w:r>
        <w:rPr>
          <w:bCs/>
          <w:b/>
        </w:rPr>
        <w:t xml:space="preserve">Kavi 1988</w:t>
      </w:r>
      <w:r>
        <w:t xml:space="preserve"> </w:t>
      </w:r>
      <w:r>
        <w:t xml:space="preserve">Kavi J, Webberley JM, Andrews JM, Wise R. A comparison of the pharmacokinetics and tissue penetration of spiramycin and erythromycin.</w:t>
      </w:r>
      <w:r>
        <w:t xml:space="preserve"> </w:t>
      </w:r>
      <w:r>
        <w:rPr>
          <w:iCs/>
          <w:i/>
        </w:rPr>
        <w:t xml:space="preserve">J Antimicrob Chemother</w:t>
      </w:r>
      <w:r>
        <w:t xml:space="preserve"> </w:t>
      </w:r>
      <w:r>
        <w:t xml:space="preserve">1988, 22 Suppl B: 105-110.</w:t>
      </w:r>
    </w:p>
    <w:p>
      <w:pPr>
        <w:pStyle w:val="BodyText"/>
      </w:pPr>
      <w:r>
        <w:rPr>
          <w:bCs/>
          <w:b/>
        </w:rPr>
        <w:t xml:space="preserve">Kivistö 1997</w:t>
      </w:r>
      <w:r>
        <w:t xml:space="preserve"> </w:t>
      </w:r>
      <w:r>
        <w:t xml:space="preserve">Kivistö KT, Lamberg TS, Kantola T, Neuvonen PJ. Plasma buspirone concentrations are greatly increased by erythromycin and itraconazole.</w:t>
      </w:r>
      <w:r>
        <w:t xml:space="preserve"> </w:t>
      </w:r>
      <w:r>
        <w:rPr>
          <w:iCs/>
          <w:i/>
        </w:rPr>
        <w:t xml:space="preserve">Clin Pharmacol Ther</w:t>
      </w:r>
      <w:r>
        <w:t xml:space="preserve"> </w:t>
      </w:r>
      <w:r>
        <w:t xml:space="preserve">1997, 62(3): 348-354.</w:t>
      </w:r>
    </w:p>
    <w:p>
      <w:pPr>
        <w:pStyle w:val="BodyText"/>
      </w:pPr>
      <w:r>
        <w:rPr>
          <w:bCs/>
          <w:b/>
        </w:rPr>
        <w:t xml:space="preserve">Kosaka 2017</w:t>
      </w:r>
      <w:r>
        <w:t xml:space="preserve"> </w:t>
      </w:r>
      <w:r>
        <w:t xml:space="preserve">Kosaka M, Kosugi Y, Hirabayashi H. Risk assessment using cytochrome P450 time-dependent inhibition assays at single time and concentration in the early stage of drug discovery.</w:t>
      </w:r>
      <w:r>
        <w:t xml:space="preserve"> </w:t>
      </w:r>
      <w:r>
        <w:rPr>
          <w:iCs/>
          <w:i/>
        </w:rPr>
        <w:t xml:space="preserve">J Pharm Sci</w:t>
      </w:r>
      <w:r>
        <w:t xml:space="preserve"> </w:t>
      </w:r>
      <w:r>
        <w:t xml:space="preserve">2017, 106(9): 2839-2846.</w:t>
      </w:r>
    </w:p>
    <w:p>
      <w:pPr>
        <w:pStyle w:val="BodyText"/>
      </w:pPr>
      <w:r>
        <w:rPr>
          <w:bCs/>
          <w:b/>
        </w:rPr>
        <w:t xml:space="preserve">Kozakai 2013</w:t>
      </w:r>
      <w:r>
        <w:t xml:space="preserve"> </w:t>
      </w:r>
      <w:r>
        <w:t xml:space="preserve">Kozakai K, Yamada Y, Oshikata M, Kawase T, Suzuki E, Haramaki Y, Taniguchi H. Cocktail-substrate approach-based high-throughput assay for evaluation of direct and time-dependent inhibition of multiple cytochrome P450 isoforms.</w:t>
      </w:r>
      <w:r>
        <w:t xml:space="preserve"> </w:t>
      </w:r>
      <w:r>
        <w:rPr>
          <w:iCs/>
          <w:i/>
        </w:rPr>
        <w:t xml:space="preserve">Drug Metab Pharmacokinet</w:t>
      </w:r>
      <w:r>
        <w:t xml:space="preserve"> </w:t>
      </w:r>
      <w:r>
        <w:t xml:space="preserve">2013, 29(2): 198-207.</w:t>
      </w:r>
    </w:p>
    <w:p>
      <w:pPr>
        <w:pStyle w:val="BodyText"/>
      </w:pPr>
      <w:r>
        <w:rPr>
          <w:bCs/>
          <w:b/>
        </w:rPr>
        <w:t xml:space="preserve">Kroboth 1982</w:t>
      </w:r>
      <w:r>
        <w:t xml:space="preserve"> </w:t>
      </w:r>
      <w:r>
        <w:t xml:space="preserve">Kroboth PD, Brown A, Lyon JA, Kroboth FJ, Juhl RP. Pharmacokinetics of single-dose erythromycin in normal and alcoholic liver disease subjects.</w:t>
      </w:r>
      <w:r>
        <w:t xml:space="preserve"> </w:t>
      </w:r>
      <w:r>
        <w:rPr>
          <w:iCs/>
          <w:i/>
        </w:rPr>
        <w:t xml:space="preserve">Antimicrob Agents Chemother</w:t>
      </w:r>
      <w:r>
        <w:t xml:space="preserve"> </w:t>
      </w:r>
      <w:r>
        <w:t xml:space="preserve">1982, 21(1): 135-140.</w:t>
      </w:r>
    </w:p>
    <w:p>
      <w:pPr>
        <w:pStyle w:val="BodyText"/>
      </w:pPr>
      <w:r>
        <w:rPr>
          <w:bCs/>
          <w:b/>
        </w:rPr>
        <w:t xml:space="preserve">Kuepfer 2016</w:t>
      </w:r>
      <w:r>
        <w:t xml:space="preserve"> </w:t>
      </w:r>
      <w:r>
        <w:t xml:space="preserve">Kuepfer L, Niederalt C, Wendl T, Schlender JF, Willmann S, Lippert J, Block M, Eissing T, Teutonico D. Applied concepts in PBPK modeling: how to build a PBPK/PD model.</w:t>
      </w:r>
      <w:r>
        <w:t xml:space="preserve"> </w:t>
      </w:r>
      <w:r>
        <w:rPr>
          <w:iCs/>
          <w:i/>
        </w:rPr>
        <w:t xml:space="preserve">CPT Pharmacometrics Syst Pharmacol</w:t>
      </w:r>
      <w:r>
        <w:t xml:space="preserve"> </w:t>
      </w:r>
      <w:r>
        <w:t xml:space="preserve">2016, 5(10): 516-531.</w:t>
      </w:r>
    </w:p>
    <w:p>
      <w:pPr>
        <w:pStyle w:val="BodyText"/>
      </w:pPr>
      <w:r>
        <w:rPr>
          <w:bCs/>
          <w:b/>
        </w:rPr>
        <w:t xml:space="preserve">Lancaster 2012</w:t>
      </w:r>
      <w:r>
        <w:t xml:space="preserve"> </w:t>
      </w:r>
      <w:r>
        <w:t xml:space="preserve">Lancaster CS, Bruun GH, Peer CJ, Mikkelsen TS, Corydon TJ, Gibson AA, Hu S, Orwick SJ, Mathijssen RH, Figg WD, Baker SD, Sparreboom A. OATP1B1 polymorphism as a determinant of erythromycin disposition.</w:t>
      </w:r>
      <w:r>
        <w:t xml:space="preserve"> </w:t>
      </w:r>
      <w:r>
        <w:rPr>
          <w:iCs/>
          <w:i/>
        </w:rPr>
        <w:t xml:space="preserve">Clin Pharmacol Ther</w:t>
      </w:r>
      <w:r>
        <w:t xml:space="preserve"> </w:t>
      </w:r>
      <w:r>
        <w:t xml:space="preserve">2012, 92(5): 642-650.</w:t>
      </w:r>
    </w:p>
    <w:p>
      <w:pPr>
        <w:pStyle w:val="BodyText"/>
      </w:pPr>
      <w:r>
        <w:rPr>
          <w:bCs/>
          <w:b/>
        </w:rPr>
        <w:t xml:space="preserve">Larrey 1983</w:t>
      </w:r>
      <w:r>
        <w:t xml:space="preserve"> </w:t>
      </w:r>
      <w:r>
        <w:t xml:space="preserve">Larrey D, Tinel M, and Pessayre D. Formation of inactive cytochrome P-450 Fe(II)-metabolite complexes with several erythromycin derivatives but not with josamycin and midecamycin in rats.</w:t>
      </w:r>
      <w:r>
        <w:t xml:space="preserve"> </w:t>
      </w:r>
      <w:r>
        <w:rPr>
          <w:iCs/>
          <w:i/>
        </w:rPr>
        <w:t xml:space="preserve">Biochem Pharmacol</w:t>
      </w:r>
      <w:r>
        <w:t xml:space="preserve"> </w:t>
      </w:r>
      <w:r>
        <w:t xml:space="preserve">1983, 32(9): 1487-1493.</w:t>
      </w:r>
    </w:p>
    <w:p>
      <w:pPr>
        <w:pStyle w:val="BodyText"/>
      </w:pPr>
      <w:r>
        <w:rPr>
          <w:bCs/>
          <w:b/>
        </w:rPr>
        <w:t xml:space="preserve">Lien 1974</w:t>
      </w:r>
      <w:r>
        <w:t xml:space="preserve"> </w:t>
      </w:r>
      <w:r>
        <w:t xml:space="preserve">Lien EJ, Kuwahara J, Koda RT. Diffusion of drugs into prostatic fluid and milk.</w:t>
      </w:r>
      <w:r>
        <w:t xml:space="preserve"> </w:t>
      </w:r>
      <w:r>
        <w:rPr>
          <w:iCs/>
          <w:i/>
        </w:rPr>
        <w:t xml:space="preserve">Drug Intelligence &amp; Clinical Pharmacy</w:t>
      </w:r>
      <w:r>
        <w:t xml:space="preserve"> </w:t>
      </w:r>
      <w:r>
        <w:t xml:space="preserve">1974, 8(8): 470-475.</w:t>
      </w:r>
    </w:p>
    <w:p>
      <w:pPr>
        <w:pStyle w:val="BodyText"/>
      </w:pPr>
      <w:r>
        <w:rPr>
          <w:bCs/>
          <w:b/>
        </w:rPr>
        <w:t xml:space="preserve">Malmborg 1978</w:t>
      </w:r>
      <w:r>
        <w:t xml:space="preserve"> </w:t>
      </w:r>
      <w:r>
        <w:t xml:space="preserve">Malmborg AS. Absorption of erythromycin stearate after oral administration.</w:t>
      </w:r>
      <w:r>
        <w:t xml:space="preserve"> </w:t>
      </w:r>
      <w:r>
        <w:rPr>
          <w:iCs/>
          <w:i/>
        </w:rPr>
        <w:t xml:space="preserve">Curr Med Res Opin</w:t>
      </w:r>
      <w:r>
        <w:t xml:space="preserve"> </w:t>
      </w:r>
      <w:r>
        <w:t xml:space="preserve">1978, 5 Sup 2: 15-18.</w:t>
      </w:r>
    </w:p>
    <w:p>
      <w:pPr>
        <w:pStyle w:val="BodyText"/>
      </w:pPr>
      <w:r>
        <w:rPr>
          <w:bCs/>
          <w:b/>
        </w:rPr>
        <w:t xml:space="preserve">Manna 1998</w:t>
      </w:r>
      <w:r>
        <w:t xml:space="preserve"> </w:t>
      </w:r>
      <w:r>
        <w:t xml:space="preserve">Manna PK, Basu SK. Preparation and Evaluation of Erythromycin Fumarate-a New Derivative of Erythromycin.</w:t>
      </w:r>
      <w:r>
        <w:t xml:space="preserve"> </w:t>
      </w:r>
      <w:r>
        <w:rPr>
          <w:iCs/>
          <w:i/>
        </w:rPr>
        <w:t xml:space="preserve">Drug Dev Ind Pharm</w:t>
      </w:r>
      <w:r>
        <w:t xml:space="preserve"> </w:t>
      </w:r>
      <w:r>
        <w:t xml:space="preserve">1998, 24(9): 879-882.</w:t>
      </w:r>
    </w:p>
    <w:p>
      <w:pPr>
        <w:pStyle w:val="BodyText"/>
      </w:pPr>
      <w:r>
        <w:rPr>
          <w:bCs/>
          <w:b/>
        </w:rPr>
        <w:t xml:space="preserve">Mather 1981</w:t>
      </w:r>
      <w:r>
        <w:t xml:space="preserve"> </w:t>
      </w:r>
      <w:r>
        <w:t xml:space="preserve">Mather LE, Austin KL, Philpot CR, McDonald PJ. Absorption and bioavailability of oral erythromycin.</w:t>
      </w:r>
      <w:r>
        <w:t xml:space="preserve"> </w:t>
      </w:r>
      <w:r>
        <w:rPr>
          <w:iCs/>
          <w:i/>
        </w:rPr>
        <w:t xml:space="preserve">Br J Clin Pharmacol</w:t>
      </w:r>
      <w:r>
        <w:t xml:space="preserve"> </w:t>
      </w:r>
      <w:r>
        <w:t xml:space="preserve">1981, 12(2): 131-140.</w:t>
      </w:r>
    </w:p>
    <w:p>
      <w:pPr>
        <w:pStyle w:val="BodyText"/>
      </w:pPr>
      <w:r>
        <w:rPr>
          <w:bCs/>
          <w:b/>
        </w:rPr>
        <w:t xml:space="preserve">Mao 2011</w:t>
      </w:r>
      <w:r>
        <w:t xml:space="preserve"> </w:t>
      </w:r>
      <w:r>
        <w:t xml:space="preserve">Mao J, Mohutsky MA, Harrelson JP, Wrighton SA, Hall SD. Prediction of CYP3A-mediated drug-drug interactions using human hepatocytes suspended in human plasma.</w:t>
      </w:r>
      <w:r>
        <w:t xml:space="preserve"> </w:t>
      </w:r>
      <w:r>
        <w:rPr>
          <w:iCs/>
          <w:i/>
        </w:rPr>
        <w:t xml:space="preserve">Drug Metab Dispos</w:t>
      </w:r>
      <w:r>
        <w:t xml:space="preserve"> </w:t>
      </w:r>
      <w:r>
        <w:t xml:space="preserve">2011, 39(4): 591-602.</w:t>
      </w:r>
    </w:p>
    <w:p>
      <w:pPr>
        <w:pStyle w:val="BodyText"/>
      </w:pPr>
      <w:r>
        <w:rPr>
          <w:bCs/>
          <w:b/>
        </w:rPr>
        <w:t xml:space="preserve">Mao 2016</w:t>
      </w:r>
      <w:r>
        <w:t xml:space="preserve"> </w:t>
      </w:r>
      <w:r>
        <w:t xml:space="preserve">Mao J, Tay S, Khojasteh CS, Chen Y, Hop CE, Kenny JR. Evaluation of time dependent inhibition assays for marketed oncology drugs: comparison of human hepatocytes and liver microsomes in the presence and absence of human plasma.</w:t>
      </w:r>
      <w:r>
        <w:t xml:space="preserve"> </w:t>
      </w:r>
      <w:r>
        <w:rPr>
          <w:iCs/>
          <w:i/>
        </w:rPr>
        <w:t xml:space="preserve">Pharm Res</w:t>
      </w:r>
      <w:r>
        <w:t xml:space="preserve"> </w:t>
      </w:r>
      <w:r>
        <w:t xml:space="preserve">2016, 33(5): 1204-1219.</w:t>
      </w:r>
    </w:p>
    <w:p>
      <w:pPr>
        <w:pStyle w:val="BodyText"/>
      </w:pPr>
      <w:r>
        <w:rPr>
          <w:bCs/>
          <w:b/>
        </w:rPr>
        <w:t xml:space="preserve">McConn 2004</w:t>
      </w:r>
      <w:r>
        <w:t xml:space="preserve"> </w:t>
      </w:r>
      <w:r>
        <w:t xml:space="preserve">McConn DJ, Lin YS, Allen K, Kunze KL, Thummel KE. Differences in the inhibition of cytochromes P450 3A4 and 3A5 by metabolite-inhibitor complex-forming drugs.</w:t>
      </w:r>
      <w:r>
        <w:t xml:space="preserve"> </w:t>
      </w:r>
      <w:r>
        <w:rPr>
          <w:iCs/>
          <w:i/>
        </w:rPr>
        <w:t xml:space="preserve">Drug Metab Dispos</w:t>
      </w:r>
      <w:r>
        <w:t xml:space="preserve"> </w:t>
      </w:r>
      <w:r>
        <w:t xml:space="preserve">2004, 32(10): 1083-1091.</w:t>
      </w:r>
    </w:p>
    <w:p>
      <w:pPr>
        <w:pStyle w:val="BodyText"/>
      </w:pPr>
      <w:r>
        <w:rPr>
          <w:bCs/>
          <w:b/>
        </w:rPr>
        <w:t xml:space="preserve">McFarland 1997</w:t>
      </w:r>
      <w:r>
        <w:t xml:space="preserve"> </w:t>
      </w:r>
      <w:r>
        <w:t xml:space="preserve">McFarland JW, Berger CM, Froshauer SA, Hayashi SF, Hecker SJ, Jaynes BH, et al. Quantitative structure− activity relationships among macrolide antibacterial agents: in vitro and in vivo potency against Pasteurella multocida.</w:t>
      </w:r>
      <w:r>
        <w:t xml:space="preserve"> </w:t>
      </w:r>
      <w:r>
        <w:rPr>
          <w:iCs/>
          <w:i/>
        </w:rPr>
        <w:t xml:space="preserve">J Med Chem</w:t>
      </w:r>
      <w:r>
        <w:t xml:space="preserve"> </w:t>
      </w:r>
      <w:r>
        <w:t xml:space="preserve">1997, 40(9): 1340-1346.</w:t>
      </w:r>
    </w:p>
    <w:p>
      <w:pPr>
        <w:pStyle w:val="BodyText"/>
      </w:pPr>
      <w:r>
        <w:rPr>
          <w:bCs/>
          <w:b/>
        </w:rPr>
        <w:t xml:space="preserve">McGinnity 2006</w:t>
      </w:r>
      <w:r>
        <w:t xml:space="preserve"> </w:t>
      </w:r>
      <w:r>
        <w:t xml:space="preserve">McGinnity DF, Berry AJ, Kenny JR, Grime K, Riley RJ. Evaluation of time-dependent cytochrome P450 inhibition using cultured human hepatocytes.</w:t>
      </w:r>
      <w:r>
        <w:t xml:space="preserve"> </w:t>
      </w:r>
      <w:r>
        <w:rPr>
          <w:iCs/>
          <w:i/>
        </w:rPr>
        <w:t xml:space="preserve">Drug Metab Dispos</w:t>
      </w:r>
      <w:r>
        <w:t xml:space="preserve"> </w:t>
      </w:r>
      <w:r>
        <w:t xml:space="preserve">2006, 34(8): 1291-1300.</w:t>
      </w:r>
    </w:p>
    <w:p>
      <w:pPr>
        <w:pStyle w:val="BodyText"/>
      </w:pPr>
      <w:r>
        <w:rPr>
          <w:bCs/>
          <w:b/>
        </w:rPr>
        <w:t xml:space="preserve">Michaels 2014</w:t>
      </w:r>
      <w:r>
        <w:t xml:space="preserve"> </w:t>
      </w:r>
      <w:r>
        <w:t xml:space="preserve">Michaels S, Wang MZ. The revised human liver cytochrome P450</w:t>
      </w:r>
      <w:r>
        <w:t xml:space="preserve"> </w:t>
      </w:r>
      <w:r>
        <w:t xml:space="preserve">“</w:t>
      </w:r>
      <w:r>
        <w:t xml:space="preserve">Pie</w:t>
      </w:r>
      <w:r>
        <w:t xml:space="preserve">”</w:t>
      </w:r>
      <w:r>
        <w:t xml:space="preserve">: absolute protein quantification of CYP4F and CYP3A enzymes using targeted quantitative proteomics.</w:t>
      </w:r>
      <w:r>
        <w:t xml:space="preserve"> </w:t>
      </w:r>
      <w:r>
        <w:rPr>
          <w:iCs/>
          <w:i/>
        </w:rPr>
        <w:t xml:space="preserve">Drug Metab Dispos</w:t>
      </w:r>
      <w:r>
        <w:t xml:space="preserve"> </w:t>
      </w:r>
      <w:r>
        <w:t xml:space="preserve">2014, 42(8): 1241-1251.</w:t>
      </w:r>
    </w:p>
    <w:p>
      <w:pPr>
        <w:pStyle w:val="BodyText"/>
      </w:pPr>
      <w:r>
        <w:rPr>
          <w:bCs/>
          <w:b/>
        </w:rPr>
        <w:t xml:space="preserve">Miglioli 1990</w:t>
      </w:r>
      <w:r>
        <w:t xml:space="preserve"> </w:t>
      </w:r>
      <w:r>
        <w:t xml:space="preserve">Miglioli PA, Pivetta P, Strazzabosco M, Orlando R, Okolicsanyi L, Palatini P. Effect of age on single- and multiple-dose pharmacokinetics of erythromycin.</w:t>
      </w:r>
      <w:r>
        <w:t xml:space="preserve"> </w:t>
      </w:r>
      <w:r>
        <w:rPr>
          <w:iCs/>
          <w:i/>
        </w:rPr>
        <w:t xml:space="preserve">Eur J Clin Pharmacol</w:t>
      </w:r>
      <w:r>
        <w:t xml:space="preserve"> </w:t>
      </w:r>
      <w:r>
        <w:t xml:space="preserve">1990, 39(2): 161-164.</w:t>
      </w:r>
    </w:p>
    <w:p>
      <w:pPr>
        <w:pStyle w:val="BodyText"/>
      </w:pPr>
      <w:r>
        <w:rPr>
          <w:bCs/>
          <w:b/>
        </w:rPr>
        <w:t xml:space="preserve">Miller 1984</w:t>
      </w:r>
      <w:r>
        <w:t xml:space="preserve"> </w:t>
      </w:r>
      <w:r>
        <w:t xml:space="preserve">Miller MF, Martin JR, Johnson P, Ulrich JT, Rdzok EJ, Billing P. Erythromycin uptake and accumulation by human polymorphonuclear leukocytes and efficacy of erythromycin in killing ingested Legionella pneumophila.</w:t>
      </w:r>
      <w:r>
        <w:t xml:space="preserve"> </w:t>
      </w:r>
      <w:r>
        <w:rPr>
          <w:iCs/>
          <w:i/>
        </w:rPr>
        <w:t xml:space="preserve">J Infect Dis</w:t>
      </w:r>
      <w:r>
        <w:t xml:space="preserve"> </w:t>
      </w:r>
      <w:r>
        <w:t xml:space="preserve">1984, 149(5): 714-718.</w:t>
      </w:r>
    </w:p>
    <w:p>
      <w:pPr>
        <w:pStyle w:val="BodyText"/>
      </w:pPr>
      <w:r>
        <w:rPr>
          <w:bCs/>
          <w:b/>
        </w:rPr>
        <w:t xml:space="preserve">Mordi 2000</w:t>
      </w:r>
      <w:r>
        <w:t xml:space="preserve"> </w:t>
      </w:r>
      <w:r>
        <w:t xml:space="preserve">Mordi MN, Pelta MD, Boote V, Morris GA, Barber J. Acid-catalyzed degradation of clarithromycin and erythromycin B: a comparative study using NMR spectroscopy.</w:t>
      </w:r>
      <w:r>
        <w:t xml:space="preserve"> </w:t>
      </w:r>
      <w:r>
        <w:rPr>
          <w:iCs/>
          <w:i/>
        </w:rPr>
        <w:t xml:space="preserve">J Med Chem</w:t>
      </w:r>
      <w:r>
        <w:t xml:space="preserve"> </w:t>
      </w:r>
      <w:r>
        <w:t xml:space="preserve">2000, 43(3): 467-474.</w:t>
      </w:r>
    </w:p>
    <w:p>
      <w:pPr>
        <w:pStyle w:val="BodyText"/>
      </w:pPr>
      <w:r>
        <w:rPr>
          <w:bCs/>
          <w:b/>
        </w:rPr>
        <w:t xml:space="preserve">Obach 2007</w:t>
      </w:r>
      <w:r>
        <w:t xml:space="preserve"> </w:t>
      </w:r>
      <w:r>
        <w:t xml:space="preserve">Obach RS, Walsky RL, Venkatakrishnan K. Mechanism-based inactivation of human cytochrome p450 enzymes and the prediction of drug-drug interactions.</w:t>
      </w:r>
      <w:r>
        <w:t xml:space="preserve"> </w:t>
      </w:r>
      <w:r>
        <w:rPr>
          <w:iCs/>
          <w:i/>
        </w:rPr>
        <w:t xml:space="preserve">Drug Metab Dispos</w:t>
      </w:r>
      <w:r>
        <w:t xml:space="preserve"> </w:t>
      </w:r>
      <w:r>
        <w:t xml:space="preserve">2007, 35(2): 246-255.</w:t>
      </w:r>
    </w:p>
    <w:p>
      <w:pPr>
        <w:pStyle w:val="BodyText"/>
      </w:pPr>
      <w:r>
        <w:rPr>
          <w:bCs/>
          <w:b/>
        </w:rPr>
        <w:t xml:space="preserve">Olkkola 1993</w:t>
      </w:r>
      <w:r>
        <w:t xml:space="preserve"> </w:t>
      </w:r>
      <w:r>
        <w:t xml:space="preserve">Olkkola KT, Aranko K, Luurila H, Hiller A, Saarnivaara L, Himberg JJ, Neuvonen PJ. A potentially hazardous interaction between erythromycin and midazolam.</w:t>
      </w:r>
      <w:r>
        <w:t xml:space="preserve"> </w:t>
      </w:r>
      <w:r>
        <w:rPr>
          <w:iCs/>
          <w:i/>
        </w:rPr>
        <w:t xml:space="preserve">Clin Pharmacol Ther</w:t>
      </w:r>
      <w:r>
        <w:t xml:space="preserve"> </w:t>
      </w:r>
      <w:r>
        <w:t xml:space="preserve">1993, 53(3): 298-305.</w:t>
      </w:r>
    </w:p>
    <w:p>
      <w:pPr>
        <w:pStyle w:val="BodyText"/>
      </w:pPr>
      <w:r>
        <w:rPr>
          <w:bCs/>
          <w:b/>
        </w:rPr>
        <w:t xml:space="preserve">Open Systems Pharmacology Documentation</w:t>
      </w:r>
      <w:r>
        <w:t xml:space="preserve">. (https://docs.open-systems-pharmacology.org/), accessed on 07-30-2019.</w:t>
      </w:r>
    </w:p>
    <w:p>
      <w:pPr>
        <w:pStyle w:val="BodyText"/>
      </w:pPr>
      <w:r>
        <w:rPr>
          <w:bCs/>
          <w:b/>
        </w:rPr>
        <w:t xml:space="preserve">Parsons 1977</w:t>
      </w:r>
      <w:r>
        <w:t xml:space="preserve"> </w:t>
      </w:r>
      <w:r>
        <w:t xml:space="preserve">Parsons RL, Paddock M, Hossack A. Particular aspects of the pharmacokinetics of erythromycin.</w:t>
      </w:r>
      <w:r>
        <w:t xml:space="preserve"> </w:t>
      </w:r>
      <w:r>
        <w:rPr>
          <w:iCs/>
          <w:i/>
        </w:rPr>
        <w:t xml:space="preserve">Infection</w:t>
      </w:r>
      <w:r>
        <w:t xml:space="preserve"> </w:t>
      </w:r>
      <w:r>
        <w:t xml:space="preserve">1977, 5(1): 23-28.</w:t>
      </w:r>
    </w:p>
    <w:p>
      <w:pPr>
        <w:pStyle w:val="BodyText"/>
      </w:pPr>
      <w:r>
        <w:rPr>
          <w:bCs/>
          <w:b/>
        </w:rPr>
        <w:t xml:space="preserve">Pasic 1987</w:t>
      </w:r>
      <w:r>
        <w:t xml:space="preserve"> </w:t>
      </w:r>
      <w:r>
        <w:t xml:space="preserve">Pasic J, Jackson SH, Johnston A, Peverel-Cooper CA, Turner P, Downey K, Chaput de Saintonge DM. The interaction between chronic oral slow-release theophylline and single-dose intravenous erythromycin.</w:t>
      </w:r>
      <w:r>
        <w:t xml:space="preserve"> </w:t>
      </w:r>
      <w:r>
        <w:rPr>
          <w:iCs/>
          <w:i/>
        </w:rPr>
        <w:t xml:space="preserve">Xenobiotica</w:t>
      </w:r>
      <w:r>
        <w:t xml:space="preserve"> </w:t>
      </w:r>
      <w:r>
        <w:t xml:space="preserve">1987, 17(4):493-497.</w:t>
      </w:r>
    </w:p>
    <w:p>
      <w:pPr>
        <w:pStyle w:val="BodyText"/>
      </w:pPr>
      <w:r>
        <w:rPr>
          <w:bCs/>
          <w:b/>
        </w:rPr>
        <w:t xml:space="preserve">PK-Sim Ontogeny Database Version 7.3</w:t>
      </w:r>
      <w:r>
        <w:t xml:space="preserve">. (https://github.com/Open-Systems-Pharmacology/OSPSuite.Documentation/blob/38cf71b384cfc25cfa0ce4d2f3addfd32757e13b/PK-Sim%20Ontogeny%20Database%20Version%207.3.pdf), accessed on 07-30-2019.</w:t>
      </w:r>
    </w:p>
    <w:p>
      <w:pPr>
        <w:pStyle w:val="BodyText"/>
      </w:pPr>
      <w:r>
        <w:rPr>
          <w:bCs/>
          <w:b/>
        </w:rPr>
        <w:t xml:space="preserve">Polasek 2006</w:t>
      </w:r>
      <w:r>
        <w:t xml:space="preserve"> </w:t>
      </w:r>
      <w:r>
        <w:t xml:space="preserve">Polasek TM, Miners JO. Quantitative prediction of macrolide drug-drug interaction potential from in vitro studies using testosterone as the human cytochrome P4503A substrate.</w:t>
      </w:r>
      <w:r>
        <w:t xml:space="preserve"> </w:t>
      </w:r>
      <w:r>
        <w:rPr>
          <w:iCs/>
          <w:i/>
        </w:rPr>
        <w:t xml:space="preserve">Eur J Clin Pharmacol</w:t>
      </w:r>
      <w:r>
        <w:t xml:space="preserve"> </w:t>
      </w:r>
      <w:r>
        <w:t xml:space="preserve">2006, 62(3): 203-208.</w:t>
      </w:r>
    </w:p>
    <w:p>
      <w:pPr>
        <w:pStyle w:val="BodyText"/>
      </w:pPr>
      <w:r>
        <w:rPr>
          <w:bCs/>
          <w:b/>
        </w:rPr>
        <w:t xml:space="preserve">Posti 1983</w:t>
      </w:r>
      <w:r>
        <w:t xml:space="preserve"> </w:t>
      </w:r>
      <w:r>
        <w:t xml:space="preserve">Posti J, Salonen M. Effect of formulation factors and food intake on the bioavailability of erythromycin stearate tablets.</w:t>
      </w:r>
      <w:r>
        <w:t xml:space="preserve"> </w:t>
      </w:r>
      <w:r>
        <w:rPr>
          <w:iCs/>
          <w:i/>
        </w:rPr>
        <w:t xml:space="preserve">Int J Pharm</w:t>
      </w:r>
      <w:r>
        <w:t xml:space="preserve"> </w:t>
      </w:r>
      <w:r>
        <w:t xml:space="preserve">1983, 17(2-3): 225-235.</w:t>
      </w:r>
    </w:p>
    <w:p>
      <w:pPr>
        <w:pStyle w:val="BodyText"/>
      </w:pPr>
      <w:r>
        <w:rPr>
          <w:bCs/>
          <w:b/>
        </w:rPr>
        <w:t xml:space="preserve">Riley 1997</w:t>
      </w:r>
      <w:r>
        <w:t xml:space="preserve"> </w:t>
      </w:r>
      <w:r>
        <w:t xml:space="preserve">Riley RJ, Howbrook D. In vitro analysis of the activity of the major human hepatic CYP enzyme (CYP3A4) using [N-methyl-14C]-erythromycin.</w:t>
      </w:r>
      <w:r>
        <w:t xml:space="preserve"> </w:t>
      </w:r>
      <w:r>
        <w:rPr>
          <w:iCs/>
          <w:i/>
        </w:rPr>
        <w:t xml:space="preserve">J Pharmacol Toxicol Methods</w:t>
      </w:r>
      <w:r>
        <w:t xml:space="preserve"> </w:t>
      </w:r>
      <w:r>
        <w:t xml:space="preserve">1997, 38(4): 189-193.</w:t>
      </w:r>
    </w:p>
    <w:p>
      <w:pPr>
        <w:pStyle w:val="BodyText"/>
      </w:pPr>
      <w:r>
        <w:rPr>
          <w:bCs/>
          <w:b/>
        </w:rPr>
        <w:t xml:space="preserve">Ring 2005</w:t>
      </w:r>
      <w:r>
        <w:t xml:space="preserve"> </w:t>
      </w:r>
      <w:r>
        <w:t xml:space="preserve">Ring BJ, Patterson BE, Mitchell MI, Vandenbranden M, Gillespie J, Bedding AW, Jewell H, Payne CD, Forgue ST, Eckstein J, Wrighton SA, Phillips DL. Effect of tadalafil on cytochrome P450 3A4-mediated clearance: studies in vitro and in vivo.</w:t>
      </w:r>
      <w:r>
        <w:t xml:space="preserve"> </w:t>
      </w:r>
      <w:r>
        <w:rPr>
          <w:iCs/>
          <w:i/>
        </w:rPr>
        <w:t xml:space="preserve">Clin Pharmacol Ther</w:t>
      </w:r>
      <w:r>
        <w:t xml:space="preserve"> </w:t>
      </w:r>
      <w:r>
        <w:t xml:space="preserve">2005, 77(1): 63-75.</w:t>
      </w:r>
    </w:p>
    <w:p>
      <w:pPr>
        <w:pStyle w:val="BodyText"/>
      </w:pPr>
      <w:r>
        <w:rPr>
          <w:bCs/>
          <w:b/>
        </w:rPr>
        <w:t xml:space="preserve">Schreiner 1984</w:t>
      </w:r>
      <w:r>
        <w:t xml:space="preserve"> </w:t>
      </w:r>
      <w:r>
        <w:t xml:space="preserve">Schreiner A, Digranes A. Absorption of erythromycin stearate and enteric-coated erythromycin base after a single oral dose immediately before breakfast.</w:t>
      </w:r>
      <w:r>
        <w:t xml:space="preserve"> </w:t>
      </w:r>
      <w:r>
        <w:rPr>
          <w:iCs/>
          <w:i/>
        </w:rPr>
        <w:t xml:space="preserve">Infection</w:t>
      </w:r>
      <w:r>
        <w:t xml:space="preserve"> </w:t>
      </w:r>
      <w:r>
        <w:t xml:space="preserve">1984, 12(5): 345-348.</w:t>
      </w:r>
    </w:p>
    <w:p>
      <w:pPr>
        <w:pStyle w:val="BodyText"/>
      </w:pPr>
      <w:r>
        <w:rPr>
          <w:bCs/>
          <w:b/>
        </w:rPr>
        <w:t xml:space="preserve">Shanson 1984</w:t>
      </w:r>
      <w:r>
        <w:t xml:space="preserve"> </w:t>
      </w:r>
      <w:r>
        <w:t xml:space="preserve">Shanson DC, Tidbury P, McNabb WR, Tadayon M. The pharmacokinetics and tolerance of oral erythromycin stearate compared with erythromycin ethylsuccinate: implications for preventing endocarditis.</w:t>
      </w:r>
      <w:r>
        <w:t xml:space="preserve"> </w:t>
      </w:r>
      <w:r>
        <w:rPr>
          <w:iCs/>
          <w:i/>
        </w:rPr>
        <w:t xml:space="preserve">J Antimicrob Chemother</w:t>
      </w:r>
      <w:r>
        <w:t xml:space="preserve"> </w:t>
      </w:r>
      <w:r>
        <w:t xml:space="preserve">1984, 14(2): 157-163.</w:t>
      </w:r>
    </w:p>
    <w:p>
      <w:pPr>
        <w:pStyle w:val="BodyText"/>
      </w:pPr>
      <w:r>
        <w:rPr>
          <w:bCs/>
          <w:b/>
        </w:rPr>
        <w:t xml:space="preserve">Simon 1980</w:t>
      </w:r>
      <w:r>
        <w:t xml:space="preserve"> </w:t>
      </w:r>
      <w:r>
        <w:t xml:space="preserve">Simon C. Pharmacokinetics of erythromycin in healthy adults and in adults with respiratory infections.</w:t>
      </w:r>
      <w:r>
        <w:t xml:space="preserve"> </w:t>
      </w:r>
      <w:r>
        <w:rPr>
          <w:iCs/>
          <w:i/>
        </w:rPr>
        <w:t xml:space="preserve">Curr Med Res Opin</w:t>
      </w:r>
      <w:r>
        <w:t xml:space="preserve"> </w:t>
      </w:r>
      <w:r>
        <w:t xml:space="preserve">1980, 6(sup8): 17-22.</w:t>
      </w:r>
    </w:p>
    <w:p>
      <w:pPr>
        <w:pStyle w:val="BodyText"/>
      </w:pPr>
      <w:r>
        <w:rPr>
          <w:bCs/>
          <w:b/>
        </w:rPr>
        <w:t xml:space="preserve">Sun 2010</w:t>
      </w:r>
      <w:r>
        <w:t xml:space="preserve"> </w:t>
      </w:r>
      <w:r>
        <w:t xml:space="preserve">Sun H, Frassetto LA, Huang Y, Benet LZ. Hepatic clearance, but not gut availability, of erythromycin is altered in patients with end-stage renal disease.</w:t>
      </w:r>
      <w:r>
        <w:t xml:space="preserve"> </w:t>
      </w:r>
      <w:r>
        <w:rPr>
          <w:iCs/>
          <w:i/>
        </w:rPr>
        <w:t xml:space="preserve">Clin Pharmacol Ther</w:t>
      </w:r>
      <w:r>
        <w:t xml:space="preserve"> </w:t>
      </w:r>
      <w:r>
        <w:t xml:space="preserve">2010, 87(4): 465-472.</w:t>
      </w:r>
    </w:p>
    <w:p>
      <w:pPr>
        <w:pStyle w:val="BodyText"/>
      </w:pPr>
      <w:r>
        <w:rPr>
          <w:bCs/>
          <w:b/>
        </w:rPr>
        <w:t xml:space="preserve">Teng 2010</w:t>
      </w:r>
      <w:r>
        <w:t xml:space="preserve"> </w:t>
      </w:r>
      <w:r>
        <w:t xml:space="preserve">Teng WC, Oh JW, New LS, Wahlin MD, Nelson SD, Ho HK, Chan EC. Mechanism-based inactivation of cytochrome P450 3A4 by lapatinib.</w:t>
      </w:r>
      <w:r>
        <w:t xml:space="preserve"> </w:t>
      </w:r>
      <w:r>
        <w:rPr>
          <w:iCs/>
          <w:i/>
        </w:rPr>
        <w:t xml:space="preserve">Mol Pharmacol</w:t>
      </w:r>
      <w:r>
        <w:t xml:space="preserve"> </w:t>
      </w:r>
      <w:r>
        <w:t xml:space="preserve">2010, 78(4): 693-703.</w:t>
      </w:r>
    </w:p>
    <w:p>
      <w:pPr>
        <w:pStyle w:val="BodyText"/>
      </w:pPr>
      <w:r>
        <w:rPr>
          <w:bCs/>
          <w:b/>
        </w:rPr>
        <w:t xml:space="preserve">Uehara 2015</w:t>
      </w:r>
      <w:r>
        <w:t xml:space="preserve"> </w:t>
      </w:r>
      <w:r>
        <w:t xml:space="preserve">Uehara S, Murayama N, Nakanishi Y, Nakamura C, Hashizume T, Zeldin DC, Yamazaki H, Uno Y. Immunochemical quantification of cynomolgus CYP2J2, CYP4A and CYP4F enzymes in liver and small intestine.</w:t>
      </w:r>
      <w:r>
        <w:t xml:space="preserve"> </w:t>
      </w:r>
      <w:r>
        <w:rPr>
          <w:iCs/>
          <w:i/>
        </w:rPr>
        <w:t xml:space="preserve">Xenobiotica</w:t>
      </w:r>
      <w:r>
        <w:t xml:space="preserve"> </w:t>
      </w:r>
      <w:r>
        <w:t xml:space="preserve">2015, 45(2): 124-130.</w:t>
      </w:r>
    </w:p>
    <w:p>
      <w:pPr>
        <w:pStyle w:val="BodyText"/>
      </w:pPr>
      <w:r>
        <w:rPr>
          <w:bCs/>
          <w:b/>
        </w:rPr>
        <w:t xml:space="preserve">Ung 2009</w:t>
      </w:r>
      <w:r>
        <w:t xml:space="preserve"> </w:t>
      </w:r>
      <w:r>
        <w:t xml:space="preserve">Ung D, Parkman HP, Nagar S. Metabolic interactions between prokinetic agents domperidone and erythromycin: an in vitro analysis.</w:t>
      </w:r>
      <w:r>
        <w:t xml:space="preserve"> </w:t>
      </w:r>
      <w:r>
        <w:rPr>
          <w:iCs/>
          <w:i/>
        </w:rPr>
        <w:t xml:space="preserve">Xenobiotica</w:t>
      </w:r>
      <w:r>
        <w:t xml:space="preserve"> </w:t>
      </w:r>
      <w:r>
        <w:t xml:space="preserve">2009, 39(10): 749-756.</w:t>
      </w:r>
    </w:p>
    <w:p>
      <w:pPr>
        <w:pStyle w:val="BodyText"/>
      </w:pPr>
      <w:r>
        <w:rPr>
          <w:bCs/>
          <w:b/>
        </w:rPr>
        <w:t xml:space="preserve">U.S. Patent 2,761,859</w:t>
      </w:r>
      <w:r>
        <w:t xml:space="preserve">. Aqueous soluble salts of erythromycin. Issued September 4, 1956. https://patents.google.com/patent/US2761859A/en, accessed on 07-17-2018.</w:t>
      </w:r>
    </w:p>
    <w:p>
      <w:pPr>
        <w:pStyle w:val="BodyText"/>
      </w:pPr>
      <w:r>
        <w:rPr>
          <w:bCs/>
          <w:b/>
        </w:rPr>
        <w:t xml:space="preserve">Wang 1997</w:t>
      </w:r>
      <w:r>
        <w:t xml:space="preserve"> </w:t>
      </w:r>
      <w:r>
        <w:t xml:space="preserve">Wang RW, Newton DJ, Scheri TD, Lu AY. Human cytochrome P450 3A4-catalyzed testosterone 6 beta-hydroxylation and erythromycin N-demethylation. Competition during catalysis.</w:t>
      </w:r>
      <w:r>
        <w:t xml:space="preserve"> </w:t>
      </w:r>
      <w:r>
        <w:rPr>
          <w:iCs/>
          <w:i/>
        </w:rPr>
        <w:t xml:space="preserve">Drug Metab Dispos</w:t>
      </w:r>
      <w:r>
        <w:t xml:space="preserve"> </w:t>
      </w:r>
      <w:r>
        <w:t xml:space="preserve">1997, 25(4): 502-507.</w:t>
      </w:r>
    </w:p>
    <w:p>
      <w:pPr>
        <w:pStyle w:val="BodyText"/>
      </w:pPr>
      <w:r>
        <w:rPr>
          <w:bCs/>
          <w:b/>
        </w:rPr>
        <w:t xml:space="preserve">Watanabe 2007</w:t>
      </w:r>
      <w:r>
        <w:t xml:space="preserve"> </w:t>
      </w:r>
      <w:r>
        <w:t xml:space="preserve">Watanabe A, Nakamura K, Okudaira N, Okazaki O, Sudo K. Risk assessment for drug-drug interaction caused by metabolism-based inhibition of CYP3A using automated in vitro assay systems and its application in the early drug discovery process.</w:t>
      </w:r>
      <w:r>
        <w:t xml:space="preserve"> </w:t>
      </w:r>
      <w:r>
        <w:rPr>
          <w:iCs/>
          <w:i/>
        </w:rPr>
        <w:t xml:space="preserve">Drug Metab Dispos</w:t>
      </w:r>
      <w:r>
        <w:t xml:space="preserve"> </w:t>
      </w:r>
      <w:r>
        <w:t xml:space="preserve">2007, 35(7): 1232-1238.</w:t>
      </w:r>
    </w:p>
    <w:p>
      <w:pPr>
        <w:pStyle w:val="BodyText"/>
      </w:pPr>
      <w:r>
        <w:rPr>
          <w:bCs/>
          <w:b/>
        </w:rPr>
        <w:t xml:space="preserve">Willmann 2007</w:t>
      </w:r>
      <w:r>
        <w:t xml:space="preserve"> </w:t>
      </w:r>
      <w:r>
        <w:t xml:space="preserve">Willmann S, Höhn K, Edginton A, Sevestre M, Solodenko J, Weiss W, Lippert J, Schmitt W. Development of a physiology-based whole-body population model for assessing the influence of individual variability on the pharmacokinetics of drugs.</w:t>
      </w:r>
      <w:r>
        <w:t xml:space="preserve"> </w:t>
      </w:r>
      <w:r>
        <w:rPr>
          <w:iCs/>
          <w:i/>
        </w:rPr>
        <w:t xml:space="preserve">J Pharmacokinet Pharmacodyn</w:t>
      </w:r>
      <w:r>
        <w:t xml:space="preserve"> </w:t>
      </w:r>
      <w:r>
        <w:t xml:space="preserve">2007, 34(3): 401-431.</w:t>
      </w:r>
    </w:p>
    <w:p>
      <w:pPr>
        <w:pStyle w:val="BodyText"/>
      </w:pPr>
      <w:r>
        <w:rPr>
          <w:bCs/>
          <w:b/>
        </w:rPr>
        <w:t xml:space="preserve">Xu 2009</w:t>
      </w:r>
      <w:r>
        <w:t xml:space="preserve"> </w:t>
      </w:r>
      <w:r>
        <w:t xml:space="preserve">Xu L, Chen Y, Pan Y, Skiles GL, Shou M. Prediction of human drug-drug interactions from time-dependent inactivation of CYP3A4 in primary hepatocytes using a population-based simulator.</w:t>
      </w:r>
      <w:r>
        <w:t xml:space="preserve"> </w:t>
      </w:r>
      <w:r>
        <w:rPr>
          <w:iCs/>
          <w:i/>
        </w:rPr>
        <w:t xml:space="preserve">Drug Metab Dispos</w:t>
      </w:r>
      <w:r>
        <w:t xml:space="preserve"> </w:t>
      </w:r>
      <w:r>
        <w:t xml:space="preserve">2009, 37(12): 2330-2339.</w:t>
      </w:r>
    </w:p>
    <w:p>
      <w:pPr>
        <w:pStyle w:val="BodyText"/>
      </w:pPr>
      <w:r>
        <w:rPr>
          <w:bCs/>
          <w:b/>
        </w:rPr>
        <w:t xml:space="preserve">Yakatan 1979</w:t>
      </w:r>
      <w:r>
        <w:t xml:space="preserve"> </w:t>
      </w:r>
      <w:r>
        <w:t xml:space="preserve">Yakatan GJ, Poynor WJ, Harris RG, Martin A, Leonard RG, Briggs AH, Doluisio JT. Single-dose fasting bioequivalence assessment of erythromycin stearate tablets in man.</w:t>
      </w:r>
      <w:r>
        <w:t xml:space="preserve"> </w:t>
      </w:r>
      <w:r>
        <w:rPr>
          <w:iCs/>
          <w:i/>
        </w:rPr>
        <w:t xml:space="preserve">J Pharmacokinet Biopharm</w:t>
      </w:r>
      <w:r>
        <w:t xml:space="preserve"> </w:t>
      </w:r>
      <w:r>
        <w:t xml:space="preserve">1979, 7(4): 355-368.</w:t>
      </w:r>
    </w:p>
    <w:p>
      <w:pPr>
        <w:pStyle w:val="BodyText"/>
      </w:pPr>
      <w:r>
        <w:rPr>
          <w:bCs/>
          <w:b/>
        </w:rPr>
        <w:t xml:space="preserve">Yakatan 1980</w:t>
      </w:r>
      <w:r>
        <w:t xml:space="preserve"> </w:t>
      </w:r>
      <w:r>
        <w:t xml:space="preserve">Yakatan GJ, Poynor WJ, Breeding SA, Lankford CE, Dighe SV, Martin AN, Doluisio JT. Single- and multiple-dose bioequivalence of erythromycin pharmaceutical alternatives.</w:t>
      </w:r>
      <w:r>
        <w:t xml:space="preserve"> </w:t>
      </w:r>
      <w:r>
        <w:rPr>
          <w:iCs/>
          <w:i/>
        </w:rPr>
        <w:t xml:space="preserve">J Clin Pharmacol</w:t>
      </w:r>
      <w:r>
        <w:t xml:space="preserve"> </w:t>
      </w:r>
      <w:r>
        <w:t xml:space="preserve">1980, 20(11): 625-638.</w:t>
      </w:r>
    </w:p>
    <w:p>
      <w:pPr>
        <w:pStyle w:val="BodyText"/>
      </w:pPr>
      <w:r>
        <w:rPr>
          <w:bCs/>
          <w:b/>
        </w:rPr>
        <w:t xml:space="preserve">Yamano 2001</w:t>
      </w:r>
      <w:r>
        <w:t xml:space="preserve"> </w:t>
      </w:r>
      <w:r>
        <w:t xml:space="preserve">Yamano K, Yamamoto K, Katashima M, Kotaki H, Takedomi S, Matsuo H, Ohtani H, Sawada Y, Iga T. Prediction of midazolam-CYP3A inhibitors interaction in the human liver from in vivo/in vitro absorption, distribution, and metabolism data.</w:t>
      </w:r>
      <w:r>
        <w:t xml:space="preserve"> </w:t>
      </w:r>
      <w:r>
        <w:rPr>
          <w:iCs/>
          <w:i/>
        </w:rPr>
        <w:t xml:space="preserve">Drug Metab Dispos</w:t>
      </w:r>
      <w:r>
        <w:t xml:space="preserve"> </w:t>
      </w:r>
      <w:r>
        <w:t xml:space="preserve">2001, 29(4 Pt 1): 443-452.</w:t>
      </w:r>
    </w:p>
    <w:p>
      <w:pPr>
        <w:pStyle w:val="BodyText"/>
      </w:pPr>
      <w:r>
        <w:rPr>
          <w:bCs/>
          <w:b/>
        </w:rPr>
        <w:t xml:space="preserve">Zhang 2006</w:t>
      </w:r>
      <w:r>
        <w:t xml:space="preserve"> </w:t>
      </w:r>
      <w:r>
        <w:t xml:space="preserve">Zhang X, Gorski J, Lucksiri A, Chien J, Quinney S, Jones D, Hall S. OIV‐B‐4; Physiologically-based pharmacokinetic models for the inhibition of midazolam clearance by erythromycin and diltiazem.</w:t>
      </w:r>
      <w:r>
        <w:t xml:space="preserve"> </w:t>
      </w:r>
      <w:r>
        <w:rPr>
          <w:iCs/>
          <w:i/>
        </w:rPr>
        <w:t xml:space="preserve">Clin Pharmacol Ther</w:t>
      </w:r>
      <w:r>
        <w:t xml:space="preserve"> </w:t>
      </w:r>
      <w:r>
        <w:t xml:space="preserve">2006, 79: P34-P34.</w:t>
      </w:r>
    </w:p>
    <w:p>
      <w:pPr>
        <w:pStyle w:val="BodyText"/>
      </w:pPr>
      <w:r>
        <w:rPr>
          <w:bCs/>
          <w:b/>
        </w:rPr>
        <w:t xml:space="preserve">Zhang 2009</w:t>
      </w:r>
      <w:r>
        <w:t xml:space="preserve"> </w:t>
      </w:r>
      <w:r>
        <w:t xml:space="preserve">Zhang X, Jones DR, Hall SD. Prediction of the effect of erythromycin, diltiazem, and their metabolites, alone and in combination, on CYP3A4 inhibition.</w:t>
      </w:r>
      <w:r>
        <w:t xml:space="preserve"> </w:t>
      </w:r>
      <w:r>
        <w:rPr>
          <w:iCs/>
          <w:i/>
        </w:rPr>
        <w:t xml:space="preserve">Drug Metab Dispos</w:t>
      </w:r>
      <w:r>
        <w:t xml:space="preserve"> </w:t>
      </w:r>
      <w:r>
        <w:t xml:space="preserve">2009, 37(1):150-160.</w:t>
      </w:r>
    </w:p>
    <w:p>
      <w:pPr>
        <w:pStyle w:val="BodyText"/>
      </w:pPr>
      <w:r>
        <w:rPr>
          <w:bCs/>
          <w:b/>
        </w:rPr>
        <w:t xml:space="preserve">Zimmerlin 2011</w:t>
      </w:r>
      <w:r>
        <w:t xml:space="preserve"> </w:t>
      </w:r>
      <w:r>
        <w:t xml:space="preserve">Zimmerlin A, Trunzer M, Faller B. CYP3A time-dependent inhibition risk assessment validated with 400 reference drugs.</w:t>
      </w:r>
      <w:r>
        <w:t xml:space="preserve"> </w:t>
      </w:r>
      <w:r>
        <w:rPr>
          <w:iCs/>
          <w:i/>
        </w:rPr>
        <w:t xml:space="preserve">Drug Metab Dispos</w:t>
      </w:r>
      <w:r>
        <w:t xml:space="preserve"> </w:t>
      </w:r>
      <w:r>
        <w:t xml:space="preserve">2011, 39(6): 1039-1046.</w:t>
      </w:r>
    </w:p>
    <w:bookmarkEnd w:id="307"/>
    <w:sectPr w:rsidR="00B470D9">
      <w:headerReference r:id="rId9" w:type="default"/>
      <w:footerReference r:id="rId10" w:type="default"/>
      <w:pgSz w:h="15840" w:w="12240"/>
      <w:pgMar w:bottom="1134" w:footer="720" w:gutter="0" w:header="720" w:left="1417" w:right="1417" w:top="1417"/>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37720" w:rsidRDefault="00237720">
    <w:pPr>
      <w:pStyle w:val="Footer"/>
      <w:jc w:val="center"/>
    </w:pPr>
  </w:p>
  <w:p w:rsidR="00237720" w:rsidRDefault="00237720">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rPr>
      <w:id w:val="-620381891"/>
      <w:docPartObj>
        <w:docPartGallery w:val="Page Numbers (Top of Page)"/>
        <w:docPartUnique/>
      </w:docPartObj>
    </w:sdtPr>
    <w:sdtEndPr/>
    <w:sdtContent>
      <w:p w:rsidR="000F07F1" w:rsidRPr="007E2361" w:rsidRDefault="000F07F1" w:rsidP="000F07F1">
        <w:pPr>
          <w:pStyle w:val="Header"/>
          <w:jc w:val="right"/>
          <w:rPr>
            <w:rFonts w:ascii="Times New Roman" w:hAnsi="Times New Roman" w:cs="Times New Roman"/>
          </w:rPr>
        </w:pPr>
        <w:r w:rsidRPr="007E2361">
          <w:rPr>
            <w:rFonts w:ascii="Times New Roman" w:hAnsi="Times New Roman" w:cs="Times New Roman"/>
            <w:lang w:val="de-DE"/>
          </w:rPr>
          <w:t xml:space="preserve">Page </w:t>
        </w:r>
        <w:r w:rsidRPr="007E2361">
          <w:rPr>
            <w:rFonts w:ascii="Times New Roman" w:hAnsi="Times New Roman" w:cs="Times New Roman"/>
          </w:rPr>
          <w:fldChar w:fldCharType="begin"/>
        </w:r>
        <w:r w:rsidRPr="007E2361">
          <w:rPr>
            <w:rFonts w:ascii="Times New Roman" w:hAnsi="Times New Roman" w:cs="Times New Roman"/>
          </w:rPr>
          <w:instrText>PAGE  \* Arabic  \* MERGEFORMAT</w:instrText>
        </w:r>
        <w:r w:rsidRPr="007E2361">
          <w:rPr>
            <w:rFonts w:ascii="Times New Roman" w:hAnsi="Times New Roman" w:cs="Times New Roman"/>
          </w:rPr>
          <w:fldChar w:fldCharType="separate"/>
        </w:r>
        <w:r w:rsidR="00B034F3">
          <w:rPr>
            <w:rFonts w:ascii="Times New Roman" w:hAnsi="Times New Roman" w:cs="Times New Roman"/>
            <w:noProof/>
          </w:rPr>
          <w:t>2</w:t>
        </w:r>
        <w:r w:rsidRPr="007E2361">
          <w:rPr>
            <w:rFonts w:ascii="Times New Roman" w:hAnsi="Times New Roman" w:cs="Times New Roman"/>
          </w:rPr>
          <w:fldChar w:fldCharType="end"/>
        </w:r>
        <w:r w:rsidRPr="007E2361">
          <w:rPr>
            <w:rFonts w:ascii="Times New Roman" w:hAnsi="Times New Roman" w:cs="Times New Roman"/>
            <w:lang w:val="de-DE"/>
          </w:rPr>
          <w:t xml:space="preserve"> of </w:t>
        </w:r>
        <w:r w:rsidRPr="007E2361">
          <w:rPr>
            <w:rFonts w:ascii="Times New Roman" w:hAnsi="Times New Roman" w:cs="Times New Roman"/>
          </w:rPr>
          <w:fldChar w:fldCharType="begin"/>
        </w:r>
        <w:r w:rsidRPr="007E2361">
          <w:rPr>
            <w:rFonts w:ascii="Times New Roman" w:hAnsi="Times New Roman" w:cs="Times New Roman"/>
          </w:rPr>
          <w:instrText>NUMPAGES  \* Arabic  \* MERGEFORMAT</w:instrText>
        </w:r>
        <w:r w:rsidRPr="007E2361">
          <w:rPr>
            <w:rFonts w:ascii="Times New Roman" w:hAnsi="Times New Roman" w:cs="Times New Roman"/>
          </w:rPr>
          <w:fldChar w:fldCharType="separate"/>
        </w:r>
        <w:r w:rsidR="00B034F3">
          <w:rPr>
            <w:rFonts w:ascii="Times New Roman" w:hAnsi="Times New Roman" w:cs="Times New Roman"/>
            <w:noProof/>
          </w:rPr>
          <w:t>2</w:t>
        </w:r>
        <w:r w:rsidRPr="007E2361">
          <w:rPr>
            <w:rFonts w:ascii="Times New Roman" w:hAnsi="Times New Roman" w:cs="Times New Roman"/>
            <w:lang w:val="de-DE"/>
          </w:rPr>
          <w:fldChar w:fldCharType="end"/>
        </w:r>
      </w:p>
    </w:sdtContent>
  </w:sdt>
  <w:p w:rsidR="000F07F1" w:rsidRDefault="000F07F1">
    <w:pPr>
      <w:pStyle w:val="Header"/>
    </w:pPr>
  </w:p>
</w:hdr>
</file>

<file path=word/numbering.xml><?xml version="1.0" encoding="utf-8"?>
<w:numbering xmlns:cx="http://schemas.microsoft.com/office/drawing/20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FFFFFF7C"/>
    <w:multiLevelType w:val="singleLevel"/>
    <w:tmpl w:val="52D2BCA0"/>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AD6823F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FD149514"/>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EB281228"/>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C966F83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9746C576"/>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51D61164"/>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46DCFC36"/>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EB43C62"/>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83B06E4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0E7ACBA0"/>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1">
    <w:nsid w:val="2E6E7027"/>
    <w:multiLevelType w:val="multilevel"/>
    <w:tmpl w:val="CFB603AE"/>
    <w:styleLink w:val="REVersuch2"/>
    <w:lvl w:ilvl="0">
      <w:start w:val="1"/>
      <w:numFmt w:val="decimal"/>
      <w:lvlText w:val="%1"/>
      <w:lvlJc w:val="left"/>
      <w:pPr>
        <w:ind w:hanging="360" w:left="360"/>
      </w:pPr>
      <w:rPr>
        <w:rFonts w:hint="default"/>
      </w:rPr>
    </w:lvl>
    <w:lvl w:ilvl="1">
      <w:start w:val="1"/>
      <w:numFmt w:val="decimal"/>
      <w:lvlText w:val="%1.%2"/>
      <w:lvlJc w:val="left"/>
      <w:pPr>
        <w:ind w:hanging="360" w:left="720"/>
      </w:pPr>
      <w:rPr>
        <w:rFonts w:hint="default"/>
      </w:rPr>
    </w:lvl>
    <w:lvl w:ilvl="2">
      <w:start w:val="1"/>
      <w:numFmt w:val="decimal"/>
      <w:lvlText w:val="%1.%2.%3"/>
      <w:lvlJc w:val="left"/>
      <w:pPr>
        <w:ind w:hanging="360" w:left="1080"/>
      </w:pPr>
      <w:rPr>
        <w:rFonts w:hint="default"/>
      </w:rPr>
    </w:lvl>
    <w:lvl w:ilvl="3">
      <w:start w:val="1"/>
      <w:numFmt w:val="decimal"/>
      <w:lvlText w:val="%1.%2.%3.%4"/>
      <w:lvlJc w:val="left"/>
      <w:pPr>
        <w:ind w:hanging="360" w:left="1440"/>
      </w:pPr>
      <w:rPr>
        <w:rFonts w:hint="default"/>
      </w:rPr>
    </w:lvl>
    <w:lvl w:ilvl="4">
      <w:start w:val="1"/>
      <w:numFmt w:val="decimal"/>
      <w:lvlText w:val="%1.%2.%3.%4.%5"/>
      <w:lvlJc w:val="left"/>
      <w:pPr>
        <w:ind w:hanging="360" w:left="1800"/>
      </w:pPr>
      <w:rPr>
        <w:rFonts w:hint="default"/>
      </w:rPr>
    </w:lvl>
    <w:lvl w:ilvl="5">
      <w:start w:val="1"/>
      <w:numFmt w:val="decimal"/>
      <w:lvlText w:val="%1.%2.%3.%4.%5.%6"/>
      <w:lvlJc w:val="left"/>
      <w:pPr>
        <w:ind w:hanging="360" w:left="2160"/>
      </w:pPr>
      <w:rPr>
        <w:rFonts w:hint="default"/>
      </w:rPr>
    </w:lvl>
    <w:lvl w:ilvl="6">
      <w:start w:val="1"/>
      <w:numFmt w:val="decimal"/>
      <w:lvlText w:val="%1.%2.%3.%4.%5.%6.%7"/>
      <w:lvlJc w:val="left"/>
      <w:pPr>
        <w:ind w:hanging="360" w:left="2520"/>
      </w:pPr>
      <w:rPr>
        <w:rFonts w:hint="default"/>
      </w:rPr>
    </w:lvl>
    <w:lvl w:ilvl="7">
      <w:start w:val="1"/>
      <w:numFmt w:val="decimal"/>
      <w:lvlText w:val="%1.%2.%3.%4.%5.%6.%7.%8"/>
      <w:lvlJc w:val="left"/>
      <w:pPr>
        <w:ind w:hanging="360" w:left="2880"/>
      </w:pPr>
      <w:rPr>
        <w:rFonts w:hint="default"/>
      </w:rPr>
    </w:lvl>
    <w:lvl w:ilvl="8">
      <w:start w:val="1"/>
      <w:numFmt w:val="decimal"/>
      <w:lvlText w:val="%1.%2.%3.%4.%5.%6.%7.%8.%9"/>
      <w:lvlJc w:val="left"/>
      <w:pPr>
        <w:ind w:hanging="360" w:left="3240"/>
      </w:pPr>
      <w:rPr>
        <w:rFonts w:hint="default"/>
      </w:rPr>
    </w:lvl>
  </w:abstractNum>
  <w:abstractNum w15:restartNumberingAfterBreak="0" w:abstractNumId="12">
    <w:nsid w:val="2F4367A2"/>
    <w:multiLevelType w:val="hybridMultilevel"/>
    <w:tmpl w:val="0E94A3F2"/>
    <w:lvl w:ilvl="0" w:tplc="6FFEDB94">
      <w:start w:val="1"/>
      <w:numFmt w:val="decimal"/>
      <w:lvlText w:val="Figure %1: "/>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13">
    <w:nsid w:val="439D272C"/>
    <w:multiLevelType w:val="multilevel"/>
    <w:tmpl w:val="5E8A4980"/>
    <w:lvl w:ilvl="0">
      <w:start w:val="1"/>
      <w:numFmt w:val="decimal"/>
      <w:pStyle w:val="Heading1"/>
      <w:lvlText w:val="%1"/>
      <w:lvlJc w:val="left"/>
      <w:pPr>
        <w:ind w:hanging="1134" w:left="1134"/>
      </w:pPr>
      <w:rPr>
        <w:rFonts w:hint="default"/>
      </w:rPr>
    </w:lvl>
    <w:lvl w:ilvl="1">
      <w:start w:val="1"/>
      <w:numFmt w:val="decimal"/>
      <w:pStyle w:val="Heading2"/>
      <w:lvlText w:val="%1.%2"/>
      <w:lvlJc w:val="left"/>
      <w:pPr>
        <w:ind w:hanging="1134" w:left="1134"/>
      </w:pPr>
      <w:rPr>
        <w:rFonts w:hint="default"/>
      </w:rPr>
    </w:lvl>
    <w:lvl w:ilvl="2">
      <w:start w:val="1"/>
      <w:numFmt w:val="decimal"/>
      <w:pStyle w:val="Heading3"/>
      <w:lvlText w:val="%1.%2.%3"/>
      <w:lvlJc w:val="left"/>
      <w:pPr>
        <w:ind w:hanging="1134" w:left="1134"/>
      </w:pPr>
      <w:rPr>
        <w:rFonts w:hint="default"/>
      </w:rPr>
    </w:lvl>
    <w:lvl w:ilvl="3">
      <w:start w:val="1"/>
      <w:numFmt w:val="decimal"/>
      <w:pStyle w:val="Heading4"/>
      <w:lvlText w:val="%1.%2.%3.%4"/>
      <w:lvlJc w:val="left"/>
      <w:pPr>
        <w:ind w:hanging="1134" w:left="1134"/>
      </w:pPr>
      <w:rPr>
        <w:rFonts w:hint="default"/>
      </w:rPr>
    </w:lvl>
    <w:lvl w:ilvl="4">
      <w:start w:val="1"/>
      <w:numFmt w:val="decimal"/>
      <w:pStyle w:val="Heading5"/>
      <w:lvlText w:val="%1.%2.%3.%4.%5"/>
      <w:lvlJc w:val="left"/>
      <w:pPr>
        <w:ind w:hanging="1134" w:left="1134"/>
      </w:pPr>
      <w:rPr>
        <w:rFonts w:hint="default"/>
      </w:rPr>
    </w:lvl>
    <w:lvl w:ilvl="5">
      <w:start w:val="1"/>
      <w:numFmt w:val="decimal"/>
      <w:pStyle w:val="Heading6"/>
      <w:lvlText w:val="%1.%2.%3.%4.%5.%6"/>
      <w:lvlJc w:val="left"/>
      <w:pPr>
        <w:ind w:hanging="1134" w:left="1134"/>
      </w:pPr>
      <w:rPr>
        <w:rFonts w:hint="default"/>
      </w:rPr>
    </w:lvl>
    <w:lvl w:ilvl="6">
      <w:start w:val="1"/>
      <w:numFmt w:val="decimal"/>
      <w:pStyle w:val="Heading7"/>
      <w:lvlText w:val="%1.%2.%3.%4.%5.%6.%7"/>
      <w:lvlJc w:val="left"/>
      <w:pPr>
        <w:ind w:hanging="1134" w:left="1134"/>
      </w:pPr>
      <w:rPr>
        <w:rFonts w:hint="default"/>
      </w:rPr>
    </w:lvl>
    <w:lvl w:ilvl="7">
      <w:start w:val="1"/>
      <w:numFmt w:val="decimal"/>
      <w:pStyle w:val="Heading8"/>
      <w:lvlText w:val="%1.%2.%3.%4.%5.%6.%7.%8"/>
      <w:lvlJc w:val="left"/>
      <w:pPr>
        <w:ind w:hanging="1134" w:left="1134"/>
      </w:pPr>
      <w:rPr>
        <w:rFonts w:hint="default"/>
      </w:rPr>
    </w:lvl>
    <w:lvl w:ilvl="8">
      <w:start w:val="1"/>
      <w:numFmt w:val="decimal"/>
      <w:pStyle w:val="Heading9"/>
      <w:lvlText w:val="%1.%2.%3.%4.%5.%6.%7.%8.%9"/>
      <w:lvlJc w:val="left"/>
      <w:pPr>
        <w:ind w:hanging="1134" w:left="1134"/>
      </w:pPr>
      <w:rPr>
        <w:rFonts w:hint="default"/>
      </w:rPr>
    </w:lvl>
  </w:abstractNum>
  <w:abstractNum w15:restartNumberingAfterBreak="0" w:abstractNumId="14">
    <w:nsid w:val="4E027060"/>
    <w:multiLevelType w:val="hybridMultilevel"/>
    <w:tmpl w:val="BDE6AA42"/>
    <w:lvl w:ilvl="0" w:tplc="9976DFBA">
      <w:start w:val="1"/>
      <w:numFmt w:val="decimal"/>
      <w:lvlText w:val="Table %1: "/>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15">
    <w:nsid w:val="57675838"/>
    <w:multiLevelType w:val="multilevel"/>
    <w:tmpl w:val="CFB603AE"/>
    <w:numStyleLink w:val="REVersuch2"/>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1"/>
  </w:num>
  <w:num w:numId="13">
    <w:abstractNumId w:val="15"/>
  </w:num>
  <w:num w:numId="14">
    <w:abstractNumId w:val="13"/>
  </w:num>
  <w:num w:numId="15">
    <w:abstractNumId w:val="12"/>
  </w:num>
  <w:num w:numId="16">
    <w:abstractNumId w:val="14"/>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defaultTabStop w:val="720"/>
  <w:hyphenationZone w:val="425"/>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
  <m:mathPr>
    <m:mathFont m:val="Cambria Math"/>
    <m:brkBin m:val="before"/>
    <m:brkBinSub m:val="--"/>
    <m:smallFrac m:val="0"/>
    <m:dispDef m:val="0"/>
    <m:lMargin m:val="0"/>
    <m:rMargin m:val="0"/>
    <m:defJc m:val="centerGroup"/>
    <m:wrapRight/>
    <m:intLim m:val="subSup"/>
    <m:naryLim m:val="subSup"/>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1"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style>
  <w:style w:styleId="Heading1" w:type="paragraph">
    <w:name w:val="heading 1"/>
    <w:basedOn w:val="Normal"/>
    <w:next w:val="BodyText"/>
    <w:uiPriority w:val="9"/>
    <w:qFormat/>
    <w:rsid w:val="00DF4C3C"/>
    <w:pPr>
      <w:keepNext/>
      <w:keepLines/>
      <w:pageBreakBefore/>
      <w:numPr>
        <w:numId w:val="14"/>
      </w:numPr>
      <w:spacing w:after="0" w:before="480"/>
      <w:outlineLvl w:val="0"/>
    </w:pPr>
    <w:rPr>
      <w:rFonts w:ascii="Times New Roman" w:cstheme="majorBidi" w:eastAsiaTheme="majorEastAsia" w:hAnsi="Times New Roman"/>
      <w:b/>
      <w:bCs/>
      <w:sz w:val="28"/>
      <w:szCs w:val="32"/>
    </w:rPr>
  </w:style>
  <w:style w:styleId="Heading2" w:type="paragraph">
    <w:name w:val="heading 2"/>
    <w:basedOn w:val="Normal"/>
    <w:next w:val="BodyText"/>
    <w:uiPriority w:val="9"/>
    <w:unhideWhenUsed/>
    <w:qFormat/>
    <w:rsid w:val="00D500C1"/>
    <w:pPr>
      <w:keepNext/>
      <w:keepLines/>
      <w:numPr>
        <w:ilvl w:val="1"/>
        <w:numId w:val="14"/>
      </w:numPr>
      <w:spacing w:after="0" w:before="200"/>
      <w:outlineLvl w:val="1"/>
    </w:pPr>
    <w:rPr>
      <w:rFonts w:ascii="Times New Roman" w:cstheme="majorBidi" w:eastAsiaTheme="majorEastAsia" w:hAnsi="Times New Roman"/>
      <w:b/>
      <w:bCs/>
      <w:sz w:val="26"/>
      <w:szCs w:val="28"/>
    </w:rPr>
  </w:style>
  <w:style w:styleId="Heading3" w:type="paragraph">
    <w:name w:val="heading 3"/>
    <w:basedOn w:val="Normal"/>
    <w:next w:val="BodyText"/>
    <w:uiPriority w:val="9"/>
    <w:unhideWhenUsed/>
    <w:qFormat/>
    <w:rsid w:val="00D500C1"/>
    <w:pPr>
      <w:keepNext/>
      <w:keepLines/>
      <w:numPr>
        <w:ilvl w:val="2"/>
        <w:numId w:val="14"/>
      </w:numPr>
      <w:spacing w:after="0" w:before="200"/>
      <w:outlineLvl w:val="2"/>
    </w:pPr>
    <w:rPr>
      <w:rFonts w:ascii="Times New Roman" w:cstheme="majorBidi" w:eastAsiaTheme="majorEastAsia" w:hAnsi="Times New Roman"/>
      <w:b/>
      <w:bCs/>
      <w:sz w:val="26"/>
    </w:rPr>
  </w:style>
  <w:style w:styleId="Heading4" w:type="paragraph">
    <w:name w:val="heading 4"/>
    <w:basedOn w:val="Normal"/>
    <w:next w:val="BodyText"/>
    <w:uiPriority w:val="9"/>
    <w:unhideWhenUsed/>
    <w:qFormat/>
    <w:rsid w:val="00D500C1"/>
    <w:pPr>
      <w:keepNext/>
      <w:keepLines/>
      <w:numPr>
        <w:ilvl w:val="3"/>
        <w:numId w:val="14"/>
      </w:numPr>
      <w:spacing w:after="0" w:before="200"/>
      <w:outlineLvl w:val="3"/>
    </w:pPr>
    <w:rPr>
      <w:rFonts w:ascii="Times New Roman" w:cstheme="majorBidi" w:eastAsiaTheme="majorEastAsia" w:hAnsi="Times New Roman"/>
      <w:b/>
      <w:bCs/>
      <w:sz w:val="26"/>
    </w:rPr>
  </w:style>
  <w:style w:styleId="Heading5" w:type="paragraph">
    <w:name w:val="heading 5"/>
    <w:basedOn w:val="Normal"/>
    <w:next w:val="BodyText"/>
    <w:uiPriority w:val="9"/>
    <w:unhideWhenUsed/>
    <w:qFormat/>
    <w:rsid w:val="00D500C1"/>
    <w:pPr>
      <w:keepNext/>
      <w:keepLines/>
      <w:numPr>
        <w:ilvl w:val="4"/>
        <w:numId w:val="14"/>
      </w:numPr>
      <w:spacing w:after="0" w:before="200"/>
      <w:outlineLvl w:val="4"/>
    </w:pPr>
    <w:rPr>
      <w:rFonts w:ascii="Times New Roman" w:cstheme="majorBidi" w:eastAsiaTheme="majorEastAsia" w:hAnsi="Times New Roman"/>
      <w:b/>
      <w:iCs/>
      <w:sz w:val="26"/>
    </w:rPr>
  </w:style>
  <w:style w:styleId="Heading6" w:type="paragraph">
    <w:name w:val="heading 6"/>
    <w:basedOn w:val="Normal"/>
    <w:next w:val="BodyText"/>
    <w:uiPriority w:val="9"/>
    <w:unhideWhenUsed/>
    <w:qFormat/>
    <w:rsid w:val="00D500C1"/>
    <w:pPr>
      <w:keepNext/>
      <w:keepLines/>
      <w:numPr>
        <w:ilvl w:val="5"/>
        <w:numId w:val="14"/>
      </w:numPr>
      <w:spacing w:after="0" w:before="200"/>
      <w:outlineLvl w:val="5"/>
    </w:pPr>
    <w:rPr>
      <w:rFonts w:ascii="Times New Roman" w:cstheme="majorBidi" w:eastAsiaTheme="majorEastAsia" w:hAnsi="Times New Roman"/>
      <w:b/>
      <w:sz w:val="26"/>
    </w:rPr>
  </w:style>
  <w:style w:styleId="Heading7" w:type="paragraph">
    <w:name w:val="heading 7"/>
    <w:basedOn w:val="Normal"/>
    <w:next w:val="BodyText"/>
    <w:uiPriority w:val="9"/>
    <w:unhideWhenUsed/>
    <w:qFormat/>
    <w:rsid w:val="00D500C1"/>
    <w:pPr>
      <w:keepNext/>
      <w:keepLines/>
      <w:numPr>
        <w:ilvl w:val="6"/>
        <w:numId w:val="14"/>
      </w:numPr>
      <w:spacing w:after="0" w:before="200"/>
      <w:outlineLvl w:val="6"/>
    </w:pPr>
    <w:rPr>
      <w:rFonts w:ascii="Times New Roman" w:cstheme="majorBidi" w:eastAsiaTheme="majorEastAsia" w:hAnsi="Times New Roman"/>
      <w:b/>
      <w:sz w:val="26"/>
    </w:rPr>
  </w:style>
  <w:style w:styleId="Heading8" w:type="paragraph">
    <w:name w:val="heading 8"/>
    <w:basedOn w:val="Normal"/>
    <w:next w:val="BodyText"/>
    <w:uiPriority w:val="9"/>
    <w:unhideWhenUsed/>
    <w:qFormat/>
    <w:rsid w:val="00D500C1"/>
    <w:pPr>
      <w:keepNext/>
      <w:keepLines/>
      <w:numPr>
        <w:ilvl w:val="7"/>
        <w:numId w:val="14"/>
      </w:numPr>
      <w:spacing w:after="0" w:before="200"/>
      <w:outlineLvl w:val="7"/>
    </w:pPr>
    <w:rPr>
      <w:rFonts w:ascii="Times New Roman" w:cstheme="majorBidi" w:eastAsiaTheme="majorEastAsia" w:hAnsi="Times New Roman"/>
      <w:b/>
      <w:sz w:val="26"/>
    </w:rPr>
  </w:style>
  <w:style w:styleId="Heading9" w:type="paragraph">
    <w:name w:val="heading 9"/>
    <w:basedOn w:val="Normal"/>
    <w:next w:val="BodyText"/>
    <w:uiPriority w:val="9"/>
    <w:unhideWhenUsed/>
    <w:qFormat/>
    <w:rsid w:val="00D500C1"/>
    <w:pPr>
      <w:keepNext/>
      <w:keepLines/>
      <w:numPr>
        <w:ilvl w:val="8"/>
        <w:numId w:val="14"/>
      </w:numPr>
      <w:spacing w:after="0" w:before="200"/>
      <w:outlineLvl w:val="8"/>
    </w:pPr>
    <w:rPr>
      <w:rFonts w:ascii="Times New Roman" w:cstheme="majorBidi" w:eastAsiaTheme="majorEastAsia" w:hAnsi="Times New Roman"/>
      <w:b/>
      <w:sz w:val="26"/>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autoRedefine/>
    <w:qFormat/>
    <w:rsid w:val="00B034F3"/>
    <w:pPr>
      <w:spacing w:after="180" w:before="180" w:line="360" w:lineRule="auto"/>
    </w:pPr>
    <w:rPr>
      <w:rFonts w:ascii="Arial" w:hAnsi="Arial"/>
      <w:sz w:val="20"/>
    </w:rPr>
  </w:style>
  <w:style w:customStyle="1" w:styleId="FirstParagraph" w:type="paragraph">
    <w:name w:val="First Paragraph"/>
    <w:basedOn w:val="BodyText"/>
    <w:next w:val="BodyText"/>
    <w:autoRedefine/>
    <w:qFormat/>
    <w:rsid w:val="008D31A4"/>
  </w:style>
  <w:style w:customStyle="1" w:styleId="Compact" w:type="paragraph">
    <w:name w:val="Compact"/>
    <w:basedOn w:val="BodyText"/>
    <w:autoRedefine/>
    <w:qFormat/>
    <w:rsid w:val="008D31A4"/>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autoRedefine/>
    <w:qFormat/>
    <w:rsid w:val="008D31A4"/>
    <w:pPr>
      <w:keepNext/>
      <w:keepLines/>
      <w:jc w:val="center"/>
    </w:pPr>
    <w:rPr>
      <w:rFonts w:ascii="Arial" w:hAnsi="Arial"/>
    </w:rPr>
  </w:style>
  <w:style w:styleId="Date" w:type="paragraph">
    <w:name w:val="Date"/>
    <w:next w:val="BodyText"/>
    <w:autoRedefine/>
    <w:qFormat/>
    <w:rsid w:val="008D31A4"/>
    <w:pPr>
      <w:keepNext/>
      <w:keepLines/>
      <w:jc w:val="center"/>
    </w:pPr>
    <w:rPr>
      <w:rFonts w:ascii="Arial" w:hAnsi="Arial"/>
    </w:rPr>
  </w:style>
  <w:style w:customStyle="1" w:styleId="Abstract" w:type="paragraph">
    <w:name w:val="Abstract"/>
    <w:basedOn w:val="Normal"/>
    <w:next w:val="BodyText"/>
    <w:autoRedefine/>
    <w:qFormat/>
    <w:rsid w:val="008D31A4"/>
    <w:pPr>
      <w:keepNext/>
      <w:keepLines/>
      <w:spacing w:after="300" w:before="300"/>
      <w:jc w:val="both"/>
    </w:pPr>
    <w:rPr>
      <w:rFonts w:ascii="Arial" w:hAnsi="Arial"/>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basedOn w:val="GridTable1Light"/>
    <w:semiHidden/>
    <w:unhideWhenUsed/>
    <w:qFormat/>
    <w:rsid w:val="008F3A26"/>
    <w:rPr>
      <w:rFonts w:ascii="Arial" w:hAnsi="Arial"/>
      <w:sz w:val="20"/>
      <w:szCs w:val="20"/>
      <w:lang w:eastAsia="en-CA" w:val="en-CA"/>
    </w:rPr>
    <w:tblPr/>
    <w:tcPr>
      <w:vAlign w:val="center"/>
    </w:tcPr>
    <w:tblStylePr w:type="firstRow">
      <w:rPr>
        <w:b/>
        <w:bCs/>
      </w:rPr>
      <w:tblPr/>
      <w:tcPr>
        <w:tcBorders>
          <w:bottom w:color="666666" w:space="0" w:sz="12" w:themeColor="text1" w:themeTint="99" w:val="single"/>
        </w:tcBorders>
      </w:tcPr>
    </w:tblStylePr>
    <w:tblStylePr w:type="lastRow">
      <w:rPr>
        <w:b w:val="0"/>
        <w:bCs/>
      </w:rPr>
      <w:tblPr/>
      <w:tcPr>
        <w:tcBorders>
          <w:top w:color="BFBFBF" w:space="0" w:sz="4" w:themeColor="background1" w:themeShade="BF" w:val="single"/>
        </w:tcBorders>
      </w:tcPr>
    </w:tblStylePr>
    <w:tblStylePr w:type="firstCol">
      <w:rPr>
        <w:b/>
        <w:bCs/>
      </w:rPr>
    </w:tblStylePr>
    <w:tblStylePr w:type="lastCol">
      <w:rPr>
        <w:b w:val="0"/>
        <w:bCs/>
      </w:rPr>
    </w:tblStylePr>
    <w:tblStylePr w:type="swCell">
      <w:rPr>
        <w:b/>
      </w:r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rsid w:val="00CB69FF"/>
    <w:pPr>
      <w:keepNext/>
      <w:spacing w:before="120"/>
    </w:pPr>
    <w:rPr>
      <w:rFonts w:ascii="Arial" w:hAnsi="Arial"/>
      <w:b/>
      <w:i w:val="0"/>
      <w:sz w:val="20"/>
    </w:rPr>
  </w:style>
  <w:style w:customStyle="1" w:styleId="ImageCaption" w:type="paragraph">
    <w:name w:val="Image Caption"/>
    <w:basedOn w:val="Caption"/>
    <w:rsid w:val="00CB69FF"/>
    <w:rPr>
      <w:rFonts w:ascii="Arial" w:hAnsi="Arial"/>
      <w:b/>
      <w:i w:val="0"/>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styleId="FootnoteReference" w:type="character">
    <w:name w:val="footnote reference"/>
    <w:basedOn w:val="CaptionChar"/>
    <w:rPr>
      <w:vertAlign w:val="superscript"/>
    </w:rPr>
  </w:style>
  <w:style w:styleId="Hyperlink" w:type="character">
    <w:name w:val="Hyperlink"/>
    <w:uiPriority w:val="99"/>
    <w:rsid w:val="007E2361"/>
    <w:rPr>
      <w:color w:val="0000FF"/>
    </w:rPr>
  </w:style>
  <w:style w:styleId="TOCHeading" w:type="paragraph">
    <w:name w:val="TOC Heading"/>
    <w:aliases w:val="RE_TableOfContent"/>
    <w:next w:val="BodyText"/>
    <w:uiPriority w:val="39"/>
    <w:unhideWhenUsed/>
    <w:qFormat/>
    <w:rsid w:val="00D500C1"/>
    <w:pPr>
      <w:spacing w:before="240" w:line="259" w:lineRule="auto"/>
    </w:pPr>
    <w:rPr>
      <w:rFonts w:ascii="Times New Roman" w:cstheme="majorBidi" w:eastAsiaTheme="majorEastAsia" w:hAnsi="Times New Roman"/>
      <w:b/>
      <w:szCs w:val="32"/>
    </w:rPr>
  </w:style>
  <w:style w:styleId="Header" w:type="paragraph">
    <w:name w:val="header"/>
    <w:basedOn w:val="Normal"/>
    <w:link w:val="HeaderChar"/>
    <w:unhideWhenUsed/>
    <w:rsid w:val="00237720"/>
    <w:pPr>
      <w:tabs>
        <w:tab w:pos="4536" w:val="center"/>
        <w:tab w:pos="9072" w:val="right"/>
      </w:tabs>
      <w:spacing w:after="0"/>
    </w:pPr>
  </w:style>
  <w:style w:customStyle="1" w:styleId="HeaderChar" w:type="character">
    <w:name w:val="Header Char"/>
    <w:basedOn w:val="DefaultParagraphFont"/>
    <w:link w:val="Header"/>
    <w:rsid w:val="00237720"/>
  </w:style>
  <w:style w:styleId="Footer" w:type="paragraph">
    <w:name w:val="footer"/>
    <w:basedOn w:val="Normal"/>
    <w:link w:val="FooterChar"/>
    <w:uiPriority w:val="99"/>
    <w:unhideWhenUsed/>
    <w:rsid w:val="00237720"/>
    <w:pPr>
      <w:tabs>
        <w:tab w:pos="4536" w:val="center"/>
        <w:tab w:pos="9072" w:val="right"/>
      </w:tabs>
      <w:spacing w:after="0"/>
    </w:pPr>
  </w:style>
  <w:style w:customStyle="1" w:styleId="FooterChar" w:type="character">
    <w:name w:val="Footer Char"/>
    <w:basedOn w:val="DefaultParagraphFont"/>
    <w:link w:val="Footer"/>
    <w:uiPriority w:val="99"/>
    <w:rsid w:val="00237720"/>
  </w:style>
  <w:style w:customStyle="1" w:styleId="REVersuch2" w:type="numbering">
    <w:name w:val="RE_Versuch_2"/>
    <w:uiPriority w:val="99"/>
    <w:rsid w:val="00F5435A"/>
    <w:pPr>
      <w:numPr>
        <w:numId w:val="12"/>
      </w:numPr>
    </w:pPr>
  </w:style>
  <w:style w:customStyle="1" w:styleId="BodyTextChar" w:type="character">
    <w:name w:val="Body Text Char"/>
    <w:basedOn w:val="DefaultParagraphFont"/>
    <w:link w:val="BodyText"/>
    <w:rsid w:val="00B034F3"/>
    <w:rPr>
      <w:rFonts w:ascii="Arial" w:hAnsi="Arial"/>
      <w:sz w:val="20"/>
    </w:rPr>
  </w:style>
  <w:style w:styleId="TOC2" w:type="paragraph">
    <w:name w:val="toc 2"/>
    <w:basedOn w:val="Normal"/>
    <w:next w:val="Normal"/>
    <w:autoRedefine/>
    <w:uiPriority w:val="39"/>
    <w:unhideWhenUsed/>
    <w:rsid w:val="00F45D3A"/>
    <w:pPr>
      <w:tabs>
        <w:tab w:pos="880" w:val="left"/>
        <w:tab w:leader="dot" w:pos="9396" w:val="right"/>
      </w:tabs>
      <w:spacing w:after="0"/>
      <w:ind w:hanging="624" w:left="624" w:right="284"/>
    </w:pPr>
    <w:rPr>
      <w:rFonts w:ascii="Times New Roman" w:hAnsi="Times New Roman"/>
      <w:color w:val="0000FF"/>
    </w:rPr>
  </w:style>
  <w:style w:styleId="TOC1" w:type="paragraph">
    <w:name w:val="toc 1"/>
    <w:basedOn w:val="Normal"/>
    <w:next w:val="Normal"/>
    <w:autoRedefine/>
    <w:uiPriority w:val="39"/>
    <w:unhideWhenUsed/>
    <w:rsid w:val="00F45D3A"/>
    <w:pPr>
      <w:spacing w:after="0" w:before="120"/>
      <w:ind w:hanging="425" w:left="425" w:right="284"/>
    </w:pPr>
    <w:rPr>
      <w:rFonts w:ascii="Times New Roman" w:hAnsi="Times New Roman"/>
      <w:b/>
      <w:color w:val="0000FF"/>
    </w:rPr>
  </w:style>
  <w:style w:styleId="TOC3" w:type="paragraph">
    <w:name w:val="toc 3"/>
    <w:basedOn w:val="Normal"/>
    <w:next w:val="Normal"/>
    <w:autoRedefine/>
    <w:uiPriority w:val="39"/>
    <w:unhideWhenUsed/>
    <w:rsid w:val="00F45D3A"/>
    <w:pPr>
      <w:tabs>
        <w:tab w:pos="1320" w:val="left"/>
        <w:tab w:leader="dot" w:pos="9396" w:val="right"/>
      </w:tabs>
      <w:spacing w:after="0"/>
      <w:ind w:hanging="822" w:left="822" w:right="284"/>
    </w:pPr>
    <w:rPr>
      <w:rFonts w:ascii="Times New Roman" w:hAnsi="Times New Roman"/>
      <w:color w:val="0000FF"/>
    </w:rPr>
  </w:style>
  <w:style w:styleId="TOC4" w:type="paragraph">
    <w:name w:val="toc 4"/>
    <w:basedOn w:val="Normal"/>
    <w:next w:val="Normal"/>
    <w:autoRedefine/>
    <w:uiPriority w:val="39"/>
    <w:unhideWhenUsed/>
    <w:rsid w:val="00F45D3A"/>
    <w:pPr>
      <w:tabs>
        <w:tab w:pos="1540" w:val="left"/>
        <w:tab w:leader="dot" w:pos="9396" w:val="right"/>
      </w:tabs>
      <w:spacing w:after="0"/>
      <w:ind w:hanging="1021" w:left="1021" w:right="284"/>
    </w:pPr>
    <w:rPr>
      <w:rFonts w:ascii="Times New Roman" w:hAnsi="Times New Roman"/>
      <w:color w:val="0000FF"/>
    </w:rPr>
  </w:style>
  <w:style w:styleId="TOC5" w:type="paragraph">
    <w:name w:val="toc 5"/>
    <w:basedOn w:val="Normal"/>
    <w:next w:val="Normal"/>
    <w:autoRedefine/>
    <w:uiPriority w:val="39"/>
    <w:unhideWhenUsed/>
    <w:rsid w:val="00F45D3A"/>
    <w:pPr>
      <w:tabs>
        <w:tab w:pos="1880" w:val="left"/>
        <w:tab w:leader="dot" w:pos="9396" w:val="right"/>
      </w:tabs>
      <w:spacing w:after="0"/>
      <w:ind w:hanging="1219" w:left="1219" w:right="284"/>
    </w:pPr>
    <w:rPr>
      <w:rFonts w:ascii="Times New Roman" w:hAnsi="Times New Roman"/>
      <w:color w:val="0000FF"/>
    </w:rPr>
  </w:style>
  <w:style w:styleId="Index1" w:type="paragraph">
    <w:name w:val="index 1"/>
    <w:basedOn w:val="Normal"/>
    <w:next w:val="Normal"/>
    <w:autoRedefine/>
    <w:rsid w:val="00830389"/>
    <w:pPr>
      <w:spacing w:after="0"/>
      <w:ind w:hanging="240" w:left="240"/>
    </w:pPr>
  </w:style>
  <w:style w:styleId="TableofFigures" w:type="paragraph">
    <w:name w:val="table of figures"/>
    <w:basedOn w:val="Normal"/>
    <w:next w:val="Normal"/>
    <w:uiPriority w:val="99"/>
    <w:unhideWhenUsed/>
    <w:rsid w:val="00162E8B"/>
    <w:pPr>
      <w:spacing w:after="0"/>
    </w:pPr>
    <w:rPr>
      <w:rFonts w:ascii="Times New Roman" w:hAnsi="Times New Roman"/>
      <w:color w:val="0000FF"/>
    </w:rPr>
  </w:style>
  <w:style w:styleId="GridTable1Light" w:type="table">
    <w:name w:val="Grid Table 1 Light"/>
    <w:basedOn w:val="TableNormal"/>
    <w:rsid w:val="008D31A4"/>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61" Target="media/rId61.png" /><Relationship Type="http://schemas.openxmlformats.org/officeDocument/2006/relationships/image" Id="rId64" Target="media/rId64.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92" Target="media/rId92.png" /><Relationship Type="http://schemas.openxmlformats.org/officeDocument/2006/relationships/image" Id="rId95" Target="media/rId95.png" /><Relationship Type="http://schemas.openxmlformats.org/officeDocument/2006/relationships/image" Id="rId98" Target="media/rId98.png" /><Relationship Type="http://schemas.openxmlformats.org/officeDocument/2006/relationships/image" Id="rId101" Target="media/rId101.png" /><Relationship Type="http://schemas.openxmlformats.org/officeDocument/2006/relationships/image" Id="rId104" Target="media/rId104.png" /><Relationship Type="http://schemas.openxmlformats.org/officeDocument/2006/relationships/image" Id="rId107" Target="media/rId107.png" /><Relationship Type="http://schemas.openxmlformats.org/officeDocument/2006/relationships/image" Id="rId110" Target="media/rId110.png" /><Relationship Type="http://schemas.openxmlformats.org/officeDocument/2006/relationships/image" Id="rId113" Target="media/rId113.png" /><Relationship Type="http://schemas.openxmlformats.org/officeDocument/2006/relationships/image" Id="rId116" Target="media/rId116.png" /><Relationship Type="http://schemas.openxmlformats.org/officeDocument/2006/relationships/image" Id="rId119" Target="media/rId119.png" /><Relationship Type="http://schemas.openxmlformats.org/officeDocument/2006/relationships/image" Id="rId122" Target="media/rId122.png" /><Relationship Type="http://schemas.openxmlformats.org/officeDocument/2006/relationships/image" Id="rId68" Target="media/rId68.png" /><Relationship Type="http://schemas.openxmlformats.org/officeDocument/2006/relationships/image" Id="rId125" Target="media/rId125.png" /><Relationship Type="http://schemas.openxmlformats.org/officeDocument/2006/relationships/image" Id="rId128" Target="media/rId128.png" /><Relationship Type="http://schemas.openxmlformats.org/officeDocument/2006/relationships/image" Id="rId71" Target="media/rId71.png" /><Relationship Type="http://schemas.openxmlformats.org/officeDocument/2006/relationships/image" Id="rId131" Target="media/rId131.png" /><Relationship Type="http://schemas.openxmlformats.org/officeDocument/2006/relationships/image" Id="rId134" Target="media/rId134.png" /><Relationship Type="http://schemas.openxmlformats.org/officeDocument/2006/relationships/image" Id="rId137" Target="media/rId137.png" /><Relationship Type="http://schemas.openxmlformats.org/officeDocument/2006/relationships/image" Id="rId140" Target="media/rId140.png" /><Relationship Type="http://schemas.openxmlformats.org/officeDocument/2006/relationships/image" Id="rId74" Target="media/rId74.png" /><Relationship Type="http://schemas.openxmlformats.org/officeDocument/2006/relationships/image" Id="rId143" Target="media/rId143.png" /><Relationship Type="http://schemas.openxmlformats.org/officeDocument/2006/relationships/image" Id="rId146" Target="media/rId146.png" /><Relationship Type="http://schemas.openxmlformats.org/officeDocument/2006/relationships/image" Id="rId149" Target="media/rId149.png" /><Relationship Type="http://schemas.openxmlformats.org/officeDocument/2006/relationships/image" Id="rId152" Target="media/rId152.png" /><Relationship Type="http://schemas.openxmlformats.org/officeDocument/2006/relationships/image" Id="rId77" Target="media/rId77.png" /><Relationship Type="http://schemas.openxmlformats.org/officeDocument/2006/relationships/image" Id="rId171" Target="media/rId171.png" /><Relationship Type="http://schemas.openxmlformats.org/officeDocument/2006/relationships/image" Id="rId174" Target="media/rId174.png" /><Relationship Type="http://schemas.openxmlformats.org/officeDocument/2006/relationships/image" Id="rId177" Target="media/rId177.png" /><Relationship Type="http://schemas.openxmlformats.org/officeDocument/2006/relationships/image" Id="rId180" Target="media/rId180.png" /><Relationship Type="http://schemas.openxmlformats.org/officeDocument/2006/relationships/image" Id="rId183" Target="media/rId183.png" /><Relationship Type="http://schemas.openxmlformats.org/officeDocument/2006/relationships/image" Id="rId186" Target="media/rId186.png" /><Relationship Type="http://schemas.openxmlformats.org/officeDocument/2006/relationships/image" Id="rId189" Target="media/rId189.png" /><Relationship Type="http://schemas.openxmlformats.org/officeDocument/2006/relationships/image" Id="rId156" Target="media/rId156.png" /><Relationship Type="http://schemas.openxmlformats.org/officeDocument/2006/relationships/image" Id="rId192" Target="media/rId192.png" /><Relationship Type="http://schemas.openxmlformats.org/officeDocument/2006/relationships/image" Id="rId195" Target="media/rId195.png" /><Relationship Type="http://schemas.openxmlformats.org/officeDocument/2006/relationships/image" Id="rId198" Target="media/rId198.png" /><Relationship Type="http://schemas.openxmlformats.org/officeDocument/2006/relationships/image" Id="rId201" Target="media/rId201.png" /><Relationship Type="http://schemas.openxmlformats.org/officeDocument/2006/relationships/image" Id="rId204" Target="media/rId204.png" /><Relationship Type="http://schemas.openxmlformats.org/officeDocument/2006/relationships/image" Id="rId207" Target="media/rId207.png" /><Relationship Type="http://schemas.openxmlformats.org/officeDocument/2006/relationships/image" Id="rId210" Target="media/rId210.png" /><Relationship Type="http://schemas.openxmlformats.org/officeDocument/2006/relationships/image" Id="rId213" Target="media/rId213.png" /><Relationship Type="http://schemas.openxmlformats.org/officeDocument/2006/relationships/image" Id="rId159" Target="media/rId159.png" /><Relationship Type="http://schemas.openxmlformats.org/officeDocument/2006/relationships/image" Id="rId216" Target="media/rId216.png" /><Relationship Type="http://schemas.openxmlformats.org/officeDocument/2006/relationships/image" Id="rId219" Target="media/rId219.png" /><Relationship Type="http://schemas.openxmlformats.org/officeDocument/2006/relationships/image" Id="rId222" Target="media/rId222.png" /><Relationship Type="http://schemas.openxmlformats.org/officeDocument/2006/relationships/image" Id="rId225" Target="media/rId225.png" /><Relationship Type="http://schemas.openxmlformats.org/officeDocument/2006/relationships/image" Id="rId228" Target="media/rId228.png" /><Relationship Type="http://schemas.openxmlformats.org/officeDocument/2006/relationships/image" Id="rId231" Target="media/rId231.png" /><Relationship Type="http://schemas.openxmlformats.org/officeDocument/2006/relationships/image" Id="rId162" Target="media/rId162.png" /><Relationship Type="http://schemas.openxmlformats.org/officeDocument/2006/relationships/image" Id="rId234" Target="media/rId234.png" /><Relationship Type="http://schemas.openxmlformats.org/officeDocument/2006/relationships/image" Id="rId237" Target="media/rId237.png" /><Relationship Type="http://schemas.openxmlformats.org/officeDocument/2006/relationships/image" Id="rId240" Target="media/rId240.png" /><Relationship Type="http://schemas.openxmlformats.org/officeDocument/2006/relationships/image" Id="rId243" Target="media/rId243.png" /><Relationship Type="http://schemas.openxmlformats.org/officeDocument/2006/relationships/image" Id="rId246" Target="media/rId246.png" /><Relationship Type="http://schemas.openxmlformats.org/officeDocument/2006/relationships/image" Id="rId249" Target="media/rId249.png" /><Relationship Type="http://schemas.openxmlformats.org/officeDocument/2006/relationships/image" Id="rId252" Target="media/rId252.png" /><Relationship Type="http://schemas.openxmlformats.org/officeDocument/2006/relationships/image" Id="rId255" Target="media/rId255.png" /><Relationship Type="http://schemas.openxmlformats.org/officeDocument/2006/relationships/image" Id="rId258" Target="media/rId258.png" /><Relationship Type="http://schemas.openxmlformats.org/officeDocument/2006/relationships/image" Id="rId261" Target="media/rId261.png" /><Relationship Type="http://schemas.openxmlformats.org/officeDocument/2006/relationships/image" Id="rId264" Target="media/rId264.png" /><Relationship Type="http://schemas.openxmlformats.org/officeDocument/2006/relationships/image" Id="rId267" Target="media/rId267.png" /><Relationship Type="http://schemas.openxmlformats.org/officeDocument/2006/relationships/image" Id="rId270" Target="media/rId270.png" /><Relationship Type="http://schemas.openxmlformats.org/officeDocument/2006/relationships/image" Id="rId273" Target="media/rId273.png" /><Relationship Type="http://schemas.openxmlformats.org/officeDocument/2006/relationships/image" Id="rId276" Target="media/rId276.png" /><Relationship Type="http://schemas.openxmlformats.org/officeDocument/2006/relationships/image" Id="rId279" Target="media/rId279.png" /><Relationship Type="http://schemas.openxmlformats.org/officeDocument/2006/relationships/image" Id="rId282" Target="media/rId282.png" /><Relationship Type="http://schemas.openxmlformats.org/officeDocument/2006/relationships/image" Id="rId285" Target="media/rId285.png" /><Relationship Type="http://schemas.openxmlformats.org/officeDocument/2006/relationships/image" Id="rId288" Target="media/rId288.png" /><Relationship Type="http://schemas.openxmlformats.org/officeDocument/2006/relationships/image" Id="rId291" Target="media/rId291.png" /><Relationship Type="http://schemas.openxmlformats.org/officeDocument/2006/relationships/image" Id="rId294" Target="media/rId294.png" /><Relationship Type="http://schemas.openxmlformats.org/officeDocument/2006/relationships/image" Id="rId297" Target="media/rId297.png" /><Relationship Type="http://schemas.openxmlformats.org/officeDocument/2006/relationships/image" Id="rId300" Target="media/rId300.png" /><Relationship Type="http://schemas.openxmlformats.org/officeDocument/2006/relationships/image" Id="rId165" Target="media/rId165.png" /><Relationship Type="http://schemas.openxmlformats.org/officeDocument/2006/relationships/image" Id="rId168" Target="media/rId168.png" /><Relationship Type="http://schemas.openxmlformats.org/officeDocument/2006/relationships/hyperlink" Id="rId34" Target="https://github.com/Open-Systems-Pharmacology/Suite/releases/tag/v10.0" TargetMode="External" /></Relationships>
</file>

<file path=word/_rels/footnotes.xml.rels><?xml version="1.0" encoding="UTF-8"?><Relationships xmlns="http://schemas.openxmlformats.org/package/2006/relationships"><Relationship Type="http://schemas.openxmlformats.org/officeDocument/2006/relationships/hyperlink" Id="rId34" Target="https://github.com/Open-Systems-Pharmacology/Suite/releases/tag/v10.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2</Pages>
  <Words>118</Words>
  <Characters>679</Characters>
  <Application>Microsoft Office Word</Application>
  <DocSecurity>0</DocSecurity>
  <Lines>5</Lines>
  <Paragraphs>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Title</vt:lpstr>
      <vt:lpstr>Title</vt:lpstr>
    </vt:vector>
  </TitlesOfParts>
  <Company/>
  <LinksUpToDate>false</LinksUpToDate>
  <CharactersWithSpaces>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and evaluation of a PBPK model for erythromycin in healthy adults</dc:title>
  <dc:creator/>
  <cp:keywords/>
  <dcterms:created xsi:type="dcterms:W3CDTF">2025-03-18T16:19:24Z</dcterms:created>
  <dcterms:modified xsi:type="dcterms:W3CDTF">2025-03-18T16:19:24Z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Version1.0-OSP12.0based on Model Snapshot and Evaluation Planhttps://github.com/Open-Systems-Pharmacology/Erythromycin-Model/releases/tag/v1.0OSP Version12.0Qualification Framework Version3.3This evaluation report and the corresponding PK-Sim project file are filed at:https://github.com/Open-Systems-Pharmacology/OSP-PBPK-Model-Library/</vt:lpwstr>
  </property>
  <property fmtid="{D5CDD505-2E9C-101B-9397-08002B2CF9AE}" pid="3" name="subtitle">
    <vt:lpwstr/>
  </property>
</Properties>
</file>