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8.png" ContentType="image/png"/>
  <Override PartName="/word/media/rId51.png" ContentType="image/png"/>
  <Override PartName="/word/media/rId58.png" ContentType="image/png"/>
  <Override PartName="/word/media/rId61.png" ContentType="image/png"/>
  <Override PartName="/word/media/rId64.png" ContentType="image/png"/>
  <Override PartName="/word/media/rId67.png" ContentType="image/png"/>
  <Override PartName="/word/media/rId70.png" ContentType="image/png"/>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91.png" ContentType="image/png"/>
  <Override PartName="/word/media/rId94.png" ContentType="image/png"/>
  <Override PartName="/word/media/rId55.png" ContentType="image/png"/>
  <Override PartName="/word/media/rId98.png" ContentType="image/png"/>
  <Override PartName="/word/media/rId101.png" ContentType="image/png"/>
  <Override PartName="/word/media/rId104.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and</w:t>
      </w:r>
      <w:r>
        <w:t xml:space="preserve"> </w:t>
      </w:r>
      <w:r>
        <w:t xml:space="preserve">evaluation</w:t>
      </w:r>
      <w:r>
        <w:t xml:space="preserve"> </w:t>
      </w:r>
      <w:r>
        <w:t xml:space="preserve">of</w:t>
      </w:r>
      <w:r>
        <w:t xml:space="preserve"> </w:t>
      </w:r>
      <w:r>
        <w:t xml:space="preserve">a</w:t>
      </w:r>
      <w:r>
        <w:t xml:space="preserve"> </w:t>
      </w:r>
      <w:r>
        <w:t xml:space="preserve">PBPK</w:t>
      </w:r>
      <w:r>
        <w:t xml:space="preserve"> </w:t>
      </w:r>
      <w:r>
        <w:t xml:space="preserve">model</w:t>
      </w:r>
      <w:r>
        <w:t xml:space="preserve"> </w:t>
      </w:r>
      <w:r>
        <w:t xml:space="preserve">for</w:t>
      </w:r>
      <w:r>
        <w:t xml:space="preserve"> </w:t>
      </w:r>
      <w:r>
        <w:t xml:space="preserve">Fluconazole</w:t>
      </w:r>
      <w:r>
        <w:t xml:space="preserve"> </w:t>
      </w:r>
      <w:r>
        <w:t xml:space="preserve">in</w:t>
      </w:r>
      <w:r>
        <w:t xml:space="preserve"> </w:t>
      </w:r>
      <w:r>
        <w:t xml:space="preserve">healthy</w:t>
      </w:r>
      <w:r>
        <w:t xml:space="preserve"> </w:t>
      </w:r>
      <w:r>
        <w:t xml:space="preserve">adults</w:t>
      </w:r>
    </w:p>
    <w:p>
      <w:pPr>
        <w:pStyle w:val="AbstractTitle"/>
      </w:pPr>
      <w:r>
        <w:t xml:space="preserve">Abstract</w:t>
      </w:r>
    </w:p>
    <w:tbl>
      <w:tblPr>
        <w:tblStyle w:val="Table"/>
        <w:tblW w:type="pct" w:w="5000"/>
        <w:tblLook w:firstRow="1" w:lastRow="0" w:firstColumn="0" w:lastColumn="0" w:noHBand="0" w:noVBand="0" w:val="0020"/>
        <w:jc w:val="start"/>
      </w:tblPr>
      <w:tblGrid>
        <w:gridCol w:w="3478"/>
        <w:gridCol w:w="4441"/>
      </w:tblGrid>
      <w:tr>
        <w:trPr>
          <w:tblHeader w:val="true"/>
        </w:trPr>
        <w:tc>
          <w:tcPr/>
          <w:p>
            <w:pPr>
              <w:pStyle w:val="Compact"/>
              <w:jc w:val="left"/>
            </w:pPr>
            <w:r>
              <w:t xml:space="preserve">Version</w:t>
            </w:r>
          </w:p>
        </w:tc>
        <w:tc>
          <w:tcPr/>
          <w:p>
            <w:pPr>
              <w:pStyle w:val="Compact"/>
              <w:jc w:val="left"/>
            </w:pPr>
            <w:r>
              <w:t xml:space="preserve">1.0-OSP12.0</w:t>
            </w:r>
          </w:p>
        </w:tc>
      </w:tr>
      <w:tr>
        <w:tc>
          <w:tcPr/>
          <w:p>
            <w:pPr>
              <w:pStyle w:val="Compact"/>
              <w:jc w:val="left"/>
            </w:pPr>
            <w:r>
              <w:t xml:space="preserve">based</w:t>
            </w:r>
            <w:r>
              <w:t xml:space="preserve"> </w:t>
            </w:r>
            <w:r>
              <w:t xml:space="preserve">on</w:t>
            </w:r>
            <w:r>
              <w:t xml:space="preserve"> </w:t>
            </w:r>
            <w:r>
              <w:rPr>
                <w:iCs/>
                <w:i/>
              </w:rPr>
              <w:t xml:space="preserve">Model</w:t>
            </w:r>
            <w:r>
              <w:rPr>
                <w:iCs/>
                <w:i/>
              </w:rPr>
              <w:t xml:space="preserve"> </w:t>
            </w:r>
            <w:r>
              <w:rPr>
                <w:iCs/>
                <w:i/>
              </w:rPr>
              <w:t xml:space="preserve">Snapshot</w:t>
            </w:r>
            <w:r>
              <w:t xml:space="preserve"> </w:t>
            </w:r>
            <w:r>
              <w:t xml:space="preserve">and</w:t>
            </w:r>
            <w:r>
              <w:t xml:space="preserve"> </w:t>
            </w:r>
            <w:r>
              <w:rPr>
                <w:iCs/>
                <w:i/>
              </w:rPr>
              <w:t xml:space="preserve">Evaluation</w:t>
            </w:r>
            <w:r>
              <w:rPr>
                <w:iCs/>
                <w:i/>
              </w:rPr>
              <w:t xml:space="preserve"> </w:t>
            </w:r>
            <w:r>
              <w:rPr>
                <w:iCs/>
                <w:i/>
              </w:rPr>
              <w:t xml:space="preserve">Plan</w:t>
            </w:r>
          </w:p>
        </w:tc>
        <w:tc>
          <w:tcPr/>
          <w:p>
            <w:pPr>
              <w:pStyle w:val="Compact"/>
              <w:jc w:val="left"/>
            </w:pPr>
            <w:r>
              <w:t xml:space="preserve">https://github.com/Open-Systems-Pharmacology/Fluconazole-Model/releases/tag/v1.0</w:t>
            </w:r>
          </w:p>
        </w:tc>
      </w:tr>
      <w:tr>
        <w:tc>
          <w:tcPr/>
          <w:p>
            <w:pPr>
              <w:pStyle w:val="Compact"/>
              <w:jc w:val="left"/>
            </w:pPr>
            <w:r>
              <w:t xml:space="preserve">OSP</w:t>
            </w:r>
            <w:r>
              <w:t xml:space="preserve"> </w:t>
            </w:r>
            <w:r>
              <w:t xml:space="preserve">Version</w:t>
            </w:r>
          </w:p>
        </w:tc>
        <w:tc>
          <w:tcPr/>
          <w:p>
            <w:pPr>
              <w:pStyle w:val="Compact"/>
              <w:jc w:val="left"/>
            </w:pPr>
            <w:r>
              <w:t xml:space="preserve">12.0</w:t>
            </w:r>
          </w:p>
        </w:tc>
      </w:tr>
      <w:tr>
        <w:tc>
          <w:tcPr/>
          <w:p>
            <w:pPr>
              <w:pStyle w:val="Compact"/>
              <w:jc w:val="left"/>
            </w:pPr>
            <w:r>
              <w:t xml:space="preserve">Qualification</w:t>
            </w:r>
            <w:r>
              <w:t xml:space="preserve"> </w:t>
            </w:r>
            <w:r>
              <w:t xml:space="preserve">Framework</w:t>
            </w:r>
            <w:r>
              <w:t xml:space="preserve"> </w:t>
            </w:r>
            <w:r>
              <w:t xml:space="preserve">Version</w:t>
            </w:r>
          </w:p>
        </w:tc>
        <w:tc>
          <w:tcPr/>
          <w:p>
            <w:pPr>
              <w:pStyle w:val="Compact"/>
              <w:jc w:val="left"/>
            </w:pPr>
            <w:r>
              <w:t xml:space="preserve">3.3</w:t>
            </w:r>
          </w:p>
        </w:tc>
      </w:tr>
    </w:tbl>
    <w:p>
      <w:pPr>
        <w:pStyle w:val="Abstract"/>
      </w:pPr>
      <w:r>
        <w:t xml:space="preserve">This</w:t>
      </w:r>
      <w:r>
        <w:t xml:space="preserve"> </w:t>
      </w:r>
      <w:r>
        <w:t xml:space="preserve">evaluation</w:t>
      </w:r>
      <w:r>
        <w:t xml:space="preserve"> </w:t>
      </w:r>
      <w:r>
        <w:t xml:space="preserve">report</w:t>
      </w:r>
      <w:r>
        <w:t xml:space="preserve"> </w:t>
      </w:r>
      <w:r>
        <w:t xml:space="preserve">and</w:t>
      </w:r>
      <w:r>
        <w:t xml:space="preserve"> </w:t>
      </w:r>
      <w:r>
        <w:t xml:space="preserve">the</w:t>
      </w:r>
      <w:r>
        <w:t xml:space="preserve"> </w:t>
      </w:r>
      <w:r>
        <w:t xml:space="preserve">corresponding</w:t>
      </w:r>
      <w:r>
        <w:t xml:space="preserve"> </w:t>
      </w:r>
      <w:r>
        <w:t xml:space="preserve">PK-Sim</w:t>
      </w:r>
      <w:r>
        <w:t xml:space="preserve"> </w:t>
      </w:r>
      <w:r>
        <w:t xml:space="preserve">project</w:t>
      </w:r>
      <w:r>
        <w:t xml:space="preserve"> </w:t>
      </w:r>
      <w:r>
        <w:t xml:space="preserve">file</w:t>
      </w:r>
      <w:r>
        <w:t xml:space="preserve"> </w:t>
      </w:r>
      <w:r>
        <w:t xml:space="preserve">are</w:t>
      </w:r>
      <w:r>
        <w:t xml:space="preserve"> </w:t>
      </w:r>
      <w:r>
        <w:t xml:space="preserve">filed</w:t>
      </w:r>
      <w:r>
        <w:t xml:space="preserve"> </w:t>
      </w:r>
      <w:r>
        <w:t xml:space="preserve">at:</w:t>
      </w:r>
    </w:p>
    <w:p>
      <w:pPr>
        <w:pStyle w:val="Abstract"/>
      </w:pPr>
      <w:r>
        <w:t xml:space="preserve">https://github.com/Open-Systems-Pharmacology/OSP-PBPK-Model-Library/</w:t>
      </w:r>
    </w:p>
    <w:p>
      <w:pPr>
        <w:pStyle w:val="Abstract"/>
      </w:pPr>
      <w:br w:type="page"/>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bookmarkStart w:id="introduction" w:name="introduction"/>
      <w:bookmarkEnd w:id="introduction"/>
    </w:p>
    <w:p>
      <w:pPr>
        <w:pStyle w:val="FirstParagraph"/>
      </w:pPr>
      <w:r>
        <w:t xml:space="preserve">Fluconazole is an antifungal medication for the treatment of a number of different fungal infections. It is metabolized by UGT2B7 and renally excreted by glomerular filtration. About 70% of fluconazole is excreted unchanged in urine during 120 hours. Fluconazole is a moderate inhibitor of CYP3A4 and can therefore serve as a perpetrator for CYP3A4 in DDI studies.</w:t>
      </w:r>
    </w:p>
    <w:p>
      <w:pPr>
        <w:pStyle w:val="BodyText"/>
      </w:pPr>
      <w:r>
        <w:t xml:space="preserve">The herein presented PBPK model of fluconazole has been developed using published pharmacokinetic clinical data by Palkama et al. (</w:t>
      </w:r>
      <w:hyperlink w:anchor="Xa559bd5247f9128e74e6edcc17de37648e8cde6">
        <w:r>
          <w:rPr>
            <w:rStyle w:val="Hyperlink"/>
          </w:rPr>
          <w:t xml:space="preserve">Palkama 1998</w:t>
        </w:r>
      </w:hyperlink>
      <w:r>
        <w:t xml:space="preserve">), Ripa et al. (</w:t>
      </w:r>
      <w:hyperlink w:anchor="Xa559bd5247f9128e74e6edcc17de37648e8cde6">
        <w:r>
          <w:rPr>
            <w:rStyle w:val="Hyperlink"/>
          </w:rPr>
          <w:t xml:space="preserve">Ripa 1993</w:t>
        </w:r>
      </w:hyperlink>
      <w:r>
        <w:t xml:space="preserve">), Shiba et al. (</w:t>
      </w:r>
      <w:hyperlink w:anchor="Xa559bd5247f9128e74e6edcc17de37648e8cde6">
        <w:r>
          <w:rPr>
            <w:rStyle w:val="Hyperlink"/>
          </w:rPr>
          <w:t xml:space="preserve">Shiba 1990</w:t>
        </w:r>
      </w:hyperlink>
      <w:r>
        <w:t xml:space="preserve">), Ahonen et al. (</w:t>
      </w:r>
      <w:hyperlink w:anchor="Xa559bd5247f9128e74e6edcc17de37648e8cde6">
        <w:r>
          <w:rPr>
            <w:rStyle w:val="Hyperlink"/>
          </w:rPr>
          <w:t xml:space="preserve">Ahonen 1997</w:t>
        </w:r>
      </w:hyperlink>
      <w:r>
        <w:t xml:space="preserve">), Brammer et al. (</w:t>
      </w:r>
      <w:hyperlink w:anchor="Xa559bd5247f9128e74e6edcc17de37648e8cde6">
        <w:r>
          <w:rPr>
            <w:rStyle w:val="Hyperlink"/>
          </w:rPr>
          <w:t xml:space="preserve">Brammer 1990</w:t>
        </w:r>
      </w:hyperlink>
      <w:r>
        <w:t xml:space="preserve">), Brammer et al. (</w:t>
      </w:r>
      <w:hyperlink w:anchor="Xa559bd5247f9128e74e6edcc17de37648e8cde6">
        <w:r>
          <w:rPr>
            <w:rStyle w:val="Hyperlink"/>
          </w:rPr>
          <w:t xml:space="preserve">Brammer 1991</w:t>
        </w:r>
      </w:hyperlink>
      <w:r>
        <w:t xml:space="preserve">), Thorpe et al. (</w:t>
      </w:r>
      <w:hyperlink w:anchor="Xa559bd5247f9128e74e6edcc17de37648e8cde6">
        <w:r>
          <w:rPr>
            <w:rStyle w:val="Hyperlink"/>
          </w:rPr>
          <w:t xml:space="preserve">Thorpe 1990</w:t>
        </w:r>
      </w:hyperlink>
      <w:r>
        <w:t xml:space="preserve"> </w:t>
      </w:r>
      <w:r>
        <w:t xml:space="preserve">and Varhe et al. (</w:t>
      </w:r>
      <w:hyperlink w:anchor="Xa559bd5247f9128e74e6edcc17de37648e8cde6">
        <w:r>
          <w:rPr>
            <w:rStyle w:val="Hyperlink"/>
          </w:rPr>
          <w:t xml:space="preserve">Varhe 1996</w:t>
        </w:r>
      </w:hyperlink>
      <w:r>
        <w:t xml:space="preserve">).</w:t>
      </w:r>
      <w:r>
        <w:t xml:space="preserve"> </w:t>
      </w:r>
      <w:r>
        <w:t xml:space="preserve">The model has then been evaluated by comparing observed data to simulations of both intravenously and orally administered fluconazole covering a dose range of 25 mg to 400 mg. Both single dose and multiple dose administration are represented in the development and evaluation data sets.</w:t>
      </w:r>
    </w:p>
    <w:p>
      <w:pPr>
        <w:pStyle w:val="BodyText"/>
      </w:pPr>
      <w:r>
        <w:t xml:space="preserve">The presented model includes the following features:</w:t>
      </w:r>
    </w:p>
    <w:p>
      <w:pPr>
        <w:numPr>
          <w:ilvl w:val="0"/>
          <w:numId w:val="1001"/>
        </w:numPr>
        <w:pStyle w:val="Compact"/>
      </w:pPr>
      <w:r>
        <w:t xml:space="preserve">metabolism by UGT2B7,</w:t>
      </w:r>
    </w:p>
    <w:p>
      <w:pPr>
        <w:numPr>
          <w:ilvl w:val="0"/>
          <w:numId w:val="1001"/>
        </w:numPr>
        <w:pStyle w:val="Compact"/>
      </w:pPr>
      <w:r>
        <w:t xml:space="preserve">inhibition of CYP3A4,</w:t>
      </w:r>
    </w:p>
    <w:p>
      <w:pPr>
        <w:numPr>
          <w:ilvl w:val="0"/>
          <w:numId w:val="1001"/>
        </w:numPr>
        <w:pStyle w:val="Compact"/>
      </w:pPr>
      <w:r>
        <w:t xml:space="preserve">renal clearance by glomerular filtration,</w:t>
      </w:r>
    </w:p>
    <w:p>
      <w:pPr>
        <w:numPr>
          <w:ilvl w:val="0"/>
          <w:numId w:val="1001"/>
        </w:numPr>
        <w:pStyle w:val="Compact"/>
      </w:pPr>
      <w:r>
        <w:t xml:space="preserve">oral absorption with dissolution rate assigned to the Weibull function for low, medium and high doses.</w:t>
      </w:r>
    </w:p>
    <w:bookmarkEnd w:id="20"/>
    <w:bookmarkStart w:id="30" w:name="methods"/>
    <w:p>
      <w:pPr>
        <w:pStyle w:val="Heading1"/>
      </w:pPr>
      <w:r>
        <w:t xml:space="preserve">Methods</w:t>
      </w:r>
      <w:bookmarkStart w:id="methods" w:name="methods"/>
      <w:bookmarkEnd w:id="methods"/>
    </w:p>
    <w:bookmarkStart w:id="21" w:name="modeling-strategy"/>
    <w:p>
      <w:pPr>
        <w:pStyle w:val="Heading2"/>
      </w:pPr>
      <w:r>
        <w:t xml:space="preserve">Modeling strategy</w:t>
      </w:r>
      <w:bookmarkStart w:id="modeling-strategy" w:name="modeling-strategy"/>
      <w:bookmarkEnd w:id="modeling-strategy"/>
    </w:p>
    <w:p>
      <w:pPr>
        <w:pStyle w:val="FirstParagraph"/>
      </w:pPr>
      <w:r>
        <w:t xml:space="preserve">The general concept of building a PBPK model has previously been described by Kuepfer et al. (</w:t>
      </w:r>
      <w:hyperlink w:anchor="Xa559bd5247f9128e74e6edcc17de37648e8cde6">
        <w:r>
          <w:rPr>
            <w:rStyle w:val="Hyperlink"/>
          </w:rPr>
          <w:t xml:space="preserve">Kuepfer 2016</w:t>
        </w:r>
      </w:hyperlink>
      <w:r>
        <w:t xml:space="preserve">). Relevant information on anthropometric (height, weight) and physiological parameters (e.g. blood flows, organ volumes, binding protein concentrations, hematocrit, cardiac output) in adults was gathered from the literature and has been previously published (</w:t>
      </w:r>
      <w:hyperlink w:anchor="Xa559bd5247f9128e74e6edcc17de37648e8cde6">
        <w:r>
          <w:rPr>
            <w:rStyle w:val="Hyperlink"/>
          </w:rPr>
          <w:t xml:space="preserve">Willmann 2007</w:t>
        </w:r>
      </w:hyperlink>
      <w:r>
        <w:t xml:space="preserve">). The information was incorporated into PK-Sim® and was used as default values for the simulations in adults.</w:t>
      </w:r>
    </w:p>
    <w:p>
      <w:pPr>
        <w:pStyle w:val="BodyText"/>
      </w:pPr>
      <w:r>
        <w:t xml:space="preserve">The applied activity and variability of plasma proteins and active processes that are integrated into PK-Sim® are described in the publicly available PK-Sim® Ontogeny Database Version 7.3 (</w:t>
      </w:r>
      <w:hyperlink w:anchor="Xa559bd5247f9128e74e6edcc17de37648e8cde6">
        <w:r>
          <w:rPr>
            <w:rStyle w:val="Hyperlink"/>
          </w:rPr>
          <w:t xml:space="preserve">PK-Sim Ontogeny Database Version 7.3</w:t>
        </w:r>
      </w:hyperlink>
      <w:r>
        <w:t xml:space="preserve">) or otherwise referenced for the specific process.</w:t>
      </w:r>
    </w:p>
    <w:p>
      <w:pPr>
        <w:pStyle w:val="BodyText"/>
      </w:pPr>
      <w:r>
        <w:t xml:space="preserve">A mean model was built based on clinical data from studies with intravenous administration of fluconazole by Palkama et al. 1998 (</w:t>
      </w:r>
      <w:hyperlink w:anchor="Xa559bd5247f9128e74e6edcc17de37648e8cde6">
        <w:r>
          <w:rPr>
            <w:rStyle w:val="Hyperlink"/>
          </w:rPr>
          <w:t xml:space="preserve">Palkama 1998</w:t>
        </w:r>
      </w:hyperlink>
      <w:r>
        <w:t xml:space="preserve">), Ripa et al. 1993 (</w:t>
      </w:r>
      <w:hyperlink w:anchor="Xa559bd5247f9128e74e6edcc17de37648e8cde6">
        <w:r>
          <w:rPr>
            <w:rStyle w:val="Hyperlink"/>
          </w:rPr>
          <w:t xml:space="preserve">Ripa 1993</w:t>
        </w:r>
      </w:hyperlink>
      <w:r>
        <w:t xml:space="preserve">) and Shiba et al. 1990 (</w:t>
      </w:r>
      <w:hyperlink w:anchor="Xa559bd5247f9128e74e6edcc17de37648e8cde6">
        <w:r>
          <w:rPr>
            <w:rStyle w:val="Hyperlink"/>
          </w:rPr>
          <w:t xml:space="preserve">Shiba 1990</w:t>
        </w:r>
      </w:hyperlink>
      <w:r>
        <w:t xml:space="preserve">). The studies conducted by Palkama et al. and Ripa et al. reported plasma concentrations of fluconazole and the study by Shiba reported fraction of unchanged fluconazole excreted to urine in addition to plasma concentrations. The mean PBPK model was developed using a typical male European individual. The relative tissue-specific expressions of enzymes predominantly being involved in the metabolism of fluconazole (UGT2B7) were considered (</w:t>
      </w:r>
      <w:hyperlink w:anchor="Xa559bd5247f9128e74e6edcc17de37648e8cde6">
        <w:r>
          <w:rPr>
            <w:rStyle w:val="Hyperlink"/>
          </w:rPr>
          <w:t xml:space="preserve">Meyer 2012</w:t>
        </w:r>
      </w:hyperlink>
      <w:r>
        <w:t xml:space="preserve">).</w:t>
      </w:r>
    </w:p>
    <w:p>
      <w:pPr>
        <w:pStyle w:val="BodyText"/>
      </w:pPr>
      <w:r>
        <w:t xml:space="preserve">A specific set of parameters (see below) was optimized to describe the distribution of fluconazole after intravenous administration using the Parameter Identification module provided in PK-Sim®. Structural model selection was mainly guided by visual inspection and total error of the resulting description of data, 95% confidence interval of the identified parameter values and biological plausibility.</w:t>
      </w:r>
    </w:p>
    <w:p>
      <w:pPr>
        <w:pStyle w:val="BodyText"/>
      </w:pPr>
      <w:r>
        <w:t xml:space="preserve">Once the appropriate structural model was identified for the intravenous administration, the model was verified by simulating other clinical studies reporting pharmacokinetic concentration-time profiles after intravenous administration of fluconazole.</w:t>
      </w:r>
    </w:p>
    <w:p>
      <w:pPr>
        <w:pStyle w:val="BodyText"/>
      </w:pPr>
      <w:r>
        <w:t xml:space="preserve">Thereafter additional parameters for oral administration of non-dissolved formulations (i.e. capsules) were identified. Administered doses of fluconazole were ranging from single dose of 25 mg to multiple dosing of 400 mg, why the applied Weibull function to describe the dissolution of fluconazole were divided into low, medium and high dose. The dissolution shape were kept between the doses while the dissolution time were separated.</w:t>
      </w:r>
    </w:p>
    <w:p>
      <w:pPr>
        <w:pStyle w:val="BodyText"/>
      </w:pPr>
      <w:r>
        <w:t xml:space="preserve">The model was then verified by simulating further clinical studies reporting pharmacokinetic concentration-time profiles after oral administration of fluconazole.</w:t>
      </w:r>
    </w:p>
    <w:p>
      <w:pPr>
        <w:pStyle w:val="BodyText"/>
      </w:pPr>
      <w:r>
        <w:t xml:space="preserve">Details about input data (physicochemical,</w:t>
      </w:r>
      <w:r>
        <w:t xml:space="preserve"> </w:t>
      </w:r>
      <w:r>
        <w:rPr>
          <w:iCs/>
          <w:i/>
        </w:rPr>
        <w:t xml:space="preserve">in vitro</w:t>
      </w:r>
      <w:r>
        <w:t xml:space="preserve"> </w:t>
      </w:r>
      <w:r>
        <w:t xml:space="preserve">and clinical) can be found in</w:t>
      </w:r>
      <w:r>
        <w:t xml:space="preserve"> </w:t>
      </w:r>
      <w:hyperlink w:anchor="X96ac2a02c49e5946643b6fb28b6a29308f08cb0">
        <w:r>
          <w:rPr>
            <w:rStyle w:val="Hyperlink"/>
          </w:rPr>
          <w:t xml:space="preserve">Section 2.2</w:t>
        </w:r>
      </w:hyperlink>
      <w:r>
        <w:t xml:space="preserve">.</w:t>
      </w:r>
    </w:p>
    <w:p>
      <w:pPr>
        <w:pStyle w:val="BodyText"/>
      </w:pPr>
      <w:r>
        <w:t xml:space="preserve">Details about the structural model and its parameters can be found in</w:t>
      </w:r>
      <w:r>
        <w:t xml:space="preserve"> </w:t>
      </w:r>
      <w:hyperlink w:anchor="X920e58f6eb345d17092abc826058b6950015cf7">
        <w:r>
          <w:rPr>
            <w:rStyle w:val="Hyperlink"/>
          </w:rPr>
          <w:t xml:space="preserve">Section 2.3</w:t>
        </w:r>
      </w:hyperlink>
      <w:r>
        <w:t xml:space="preserve">.</w:t>
      </w:r>
    </w:p>
    <w:bookmarkEnd w:id="21"/>
    <w:bookmarkStart w:id="24" w:name="data-used"/>
    <w:p>
      <w:pPr>
        <w:pStyle w:val="Heading2"/>
      </w:pPr>
      <w:r>
        <w:t xml:space="preserve">Data used</w:t>
      </w:r>
      <w:bookmarkStart w:id="data-used" w:name="data-used"/>
      <w:bookmarkEnd w:id="data-used"/>
    </w:p>
    <w:bookmarkStart w:id="22" w:name="in-vitro-and-physicochemical-data"/>
    <w:p>
      <w:pPr>
        <w:pStyle w:val="Heading3"/>
      </w:pPr>
      <w:r>
        <w:t xml:space="preserve">2.2.1 In vitro and physicochemical data</w:t>
      </w:r>
    </w:p>
    <w:p>
      <w:pPr>
        <w:pStyle w:val="FirstParagraph"/>
      </w:pPr>
      <w:r>
        <w:t xml:space="preserve">A literature search was performed to collect available information on physicochemical properties of fluconazole. The obtained information from literature is summarized in the table below, and is used for model building.</w:t>
      </w:r>
    </w:p>
    <w:tbl>
      <w:tblPr>
        <w:tblStyle w:val="Table"/>
        <w:tblW w:type="pct" w:w="5000"/>
        <w:tblLook w:firstRow="1" w:lastRow="0" w:firstColumn="0" w:lastColumn="0" w:noHBand="0" w:noVBand="0" w:val="0020"/>
        <w:jc w:val="start"/>
      </w:tblPr>
      <w:tblGrid>
        <w:gridCol w:w="1339"/>
        <w:gridCol w:w="465"/>
        <w:gridCol w:w="524"/>
        <w:gridCol w:w="2096"/>
        <w:gridCol w:w="3494"/>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Value</w:t>
            </w:r>
          </w:p>
        </w:tc>
        <w:tc>
          <w:tcPr/>
          <w:p>
            <w:pPr>
              <w:pStyle w:val="Compact"/>
              <w:jc w:val="left"/>
            </w:pPr>
            <w:r>
              <w:t xml:space="preserve">Source</w:t>
            </w:r>
          </w:p>
        </w:tc>
        <w:tc>
          <w:tcPr/>
          <w:p>
            <w:pPr>
              <w:pStyle w:val="Compact"/>
              <w:jc w:val="left"/>
            </w:pPr>
            <w:r>
              <w:rPr>
                <w:bCs/>
                <w:b/>
              </w:rPr>
              <w:t xml:space="preserve">Description</w:t>
            </w:r>
          </w:p>
        </w:tc>
      </w:tr>
      <w:tr>
        <w:tc>
          <w:tcPr/>
          <w:p>
            <w:pPr>
              <w:pStyle w:val="Compact"/>
              <w:jc w:val="left"/>
            </w:pPr>
            <w:r>
              <w:t xml:space="preserve">MW</w:t>
            </w:r>
          </w:p>
        </w:tc>
        <w:tc>
          <w:tcPr/>
          <w:p>
            <w:pPr>
              <w:pStyle w:val="Compact"/>
              <w:jc w:val="left"/>
            </w:pPr>
            <w:r>
              <w:t xml:space="preserve">g/mol</w:t>
            </w:r>
          </w:p>
        </w:tc>
        <w:tc>
          <w:tcPr/>
          <w:p>
            <w:pPr>
              <w:pStyle w:val="Compact"/>
              <w:jc w:val="left"/>
            </w:pPr>
            <w:r>
              <w:t xml:space="preserve">306.28</w:t>
            </w:r>
          </w:p>
        </w:tc>
        <w:tc>
          <w:tcPr/>
          <w:p>
            <w:pPr>
              <w:pStyle w:val="Compact"/>
              <w:jc w:val="left"/>
            </w:pPr>
            <w:hyperlink w:anchor="Xa559bd5247f9128e74e6edcc17de37648e8cde6">
              <w:r>
                <w:rPr>
                  <w:rStyle w:val="Hyperlink"/>
                </w:rPr>
                <w:t xml:space="preserve">Debruyne 1993</w:t>
              </w:r>
            </w:hyperlink>
          </w:p>
        </w:tc>
        <w:tc>
          <w:tcPr/>
          <w:p>
            <w:pPr>
              <w:pStyle w:val="Compact"/>
              <w:jc w:val="left"/>
            </w:pPr>
            <w:r>
              <w:t xml:space="preserve">Molecular weight</w:t>
            </w:r>
          </w:p>
        </w:tc>
      </w:tr>
      <w:tr>
        <w:tc>
          <w:tcPr/>
          <w:p>
            <w:pPr>
              <w:pStyle w:val="Compact"/>
              <w:jc w:val="left"/>
            </w:pPr>
            <w:r>
              <w:t xml:space="preserve">pK</w:t>
            </w:r>
            <w:r>
              <w:rPr>
                <w:vertAlign w:val="subscript"/>
              </w:rPr>
              <w:t xml:space="preserve">a</w:t>
            </w:r>
          </w:p>
        </w:tc>
        <w:tc>
          <w:tcPr/>
          <w:p>
            <w:pPr>
              <w:pStyle w:val="Compact"/>
            </w:pPr>
          </w:p>
        </w:tc>
        <w:tc>
          <w:tcPr/>
          <w:p>
            <w:pPr>
              <w:pStyle w:val="Compact"/>
              <w:jc w:val="left"/>
            </w:pPr>
            <w:r>
              <w:t xml:space="preserve">2.03</w:t>
            </w:r>
          </w:p>
        </w:tc>
        <w:tc>
          <w:tcPr/>
          <w:p>
            <w:pPr>
              <w:pStyle w:val="Compact"/>
              <w:jc w:val="left"/>
            </w:pPr>
            <w:hyperlink w:anchor="Xa559bd5247f9128e74e6edcc17de37648e8cde6">
              <w:r>
                <w:rPr>
                  <w:rStyle w:val="Hyperlink"/>
                </w:rPr>
                <w:t xml:space="preserve">Charoo 2014</w:t>
              </w:r>
            </w:hyperlink>
          </w:p>
        </w:tc>
        <w:tc>
          <w:tcPr/>
          <w:p>
            <w:pPr>
              <w:pStyle w:val="Compact"/>
              <w:jc w:val="left"/>
            </w:pPr>
            <w:r>
              <w:t xml:space="preserve">acid dissociation constant of conjugate acid; compound type: weak base</w:t>
            </w:r>
          </w:p>
        </w:tc>
      </w:tr>
      <w:tr>
        <w:tc>
          <w:tcPr/>
          <w:p>
            <w:pPr>
              <w:pStyle w:val="Compact"/>
              <w:jc w:val="left"/>
            </w:pPr>
            <w:r>
              <w:t xml:space="preserve">Solubility (pH)</w:t>
            </w:r>
          </w:p>
        </w:tc>
        <w:tc>
          <w:tcPr/>
          <w:p>
            <w:pPr>
              <w:pStyle w:val="Compact"/>
              <w:jc w:val="left"/>
            </w:pPr>
            <w:r>
              <w:t xml:space="preserve">mg/mL</w:t>
            </w:r>
          </w:p>
        </w:tc>
        <w:tc>
          <w:tcPr/>
          <w:p>
            <w:pPr>
              <w:pStyle w:val="Compact"/>
              <w:jc w:val="left"/>
            </w:pPr>
            <w:r>
              <w:t xml:space="preserve">6.9 (7.4)</w:t>
            </w:r>
          </w:p>
        </w:tc>
        <w:tc>
          <w:tcPr/>
          <w:p>
            <w:pPr>
              <w:pStyle w:val="Compact"/>
              <w:jc w:val="left"/>
            </w:pPr>
            <w:hyperlink w:anchor="Xa559bd5247f9128e74e6edcc17de37648e8cde6">
              <w:r>
                <w:rPr>
                  <w:rStyle w:val="Hyperlink"/>
                </w:rPr>
                <w:t xml:space="preserve">Charoo 2014</w:t>
              </w:r>
            </w:hyperlink>
          </w:p>
        </w:tc>
        <w:tc>
          <w:tcPr/>
          <w:p>
            <w:pPr>
              <w:pStyle w:val="Compact"/>
              <w:jc w:val="left"/>
            </w:pPr>
            <w:r>
              <w:t xml:space="preserve">Aqueous Solubility</w:t>
            </w:r>
          </w:p>
        </w:tc>
      </w:tr>
      <w:tr>
        <w:tc>
          <w:tcPr/>
          <w:p>
            <w:pPr>
              <w:pStyle w:val="Compact"/>
              <w:jc w:val="left"/>
            </w:pPr>
            <w:r>
              <w:t xml:space="preserve">logP</w:t>
            </w:r>
          </w:p>
        </w:tc>
        <w:tc>
          <w:tcPr/>
          <w:p>
            <w:pPr>
              <w:pStyle w:val="Compact"/>
            </w:pPr>
          </w:p>
        </w:tc>
        <w:tc>
          <w:tcPr/>
          <w:p>
            <w:pPr>
              <w:pStyle w:val="Compact"/>
              <w:jc w:val="left"/>
            </w:pPr>
            <w:r>
              <w:t xml:space="preserve">0.5</w:t>
            </w:r>
          </w:p>
        </w:tc>
        <w:tc>
          <w:tcPr/>
          <w:p>
            <w:pPr>
              <w:pStyle w:val="Compact"/>
              <w:jc w:val="left"/>
            </w:pPr>
            <w:hyperlink w:anchor="Xa559bd5247f9128e74e6edcc17de37648e8cde6">
              <w:r>
                <w:rPr>
                  <w:rStyle w:val="Hyperlink"/>
                </w:rPr>
                <w:t xml:space="preserve">Christofoletti 2016</w:t>
              </w:r>
            </w:hyperlink>
          </w:p>
        </w:tc>
        <w:tc>
          <w:tcPr/>
          <w:p>
            <w:pPr>
              <w:pStyle w:val="Compact"/>
              <w:jc w:val="left"/>
            </w:pPr>
            <w:r>
              <w:t xml:space="preserve">Partition coefficient between octanol and water</w:t>
            </w:r>
          </w:p>
        </w:tc>
      </w:tr>
      <w:tr>
        <w:tc>
          <w:tcPr/>
          <w:p>
            <w:pPr>
              <w:pStyle w:val="Compact"/>
            </w:pPr>
          </w:p>
        </w:tc>
        <w:tc>
          <w:tcPr/>
          <w:p>
            <w:pPr>
              <w:pStyle w:val="Compact"/>
            </w:pPr>
          </w:p>
        </w:tc>
        <w:tc>
          <w:tcPr/>
          <w:p>
            <w:pPr>
              <w:pStyle w:val="Compact"/>
              <w:jc w:val="left"/>
            </w:pPr>
            <w:r>
              <w:t xml:space="preserve">0.5</w:t>
            </w:r>
          </w:p>
        </w:tc>
        <w:tc>
          <w:tcPr/>
          <w:p>
            <w:pPr>
              <w:pStyle w:val="Compact"/>
              <w:jc w:val="left"/>
            </w:pPr>
            <w:hyperlink w:anchor="Xa559bd5247f9128e74e6edcc17de37648e8cde6">
              <w:r>
                <w:rPr>
                  <w:rStyle w:val="Hyperlink"/>
                </w:rPr>
                <w:t xml:space="preserve">Charoo 2014</w:t>
              </w:r>
            </w:hyperlink>
          </w:p>
        </w:tc>
        <w:tc>
          <w:tcPr/>
          <w:p>
            <w:pPr>
              <w:pStyle w:val="Compact"/>
              <w:jc w:val="left"/>
            </w:pPr>
            <w:r>
              <w:t xml:space="preserve">Partition coefficient between octanol and water</w:t>
            </w:r>
          </w:p>
        </w:tc>
      </w:tr>
      <w:tr>
        <w:tc>
          <w:tcPr/>
          <w:p>
            <w:pPr>
              <w:pStyle w:val="Compact"/>
              <w:jc w:val="left"/>
            </w:pPr>
            <w:r>
              <w:t xml:space="preserve">fu</w:t>
            </w:r>
          </w:p>
        </w:tc>
        <w:tc>
          <w:tcPr/>
          <w:p>
            <w:pPr>
              <w:pStyle w:val="Compact"/>
              <w:jc w:val="left"/>
            </w:pPr>
            <w:r>
              <w:t xml:space="preserve">%</w:t>
            </w:r>
          </w:p>
        </w:tc>
        <w:tc>
          <w:tcPr/>
          <w:p>
            <w:pPr>
              <w:pStyle w:val="Compact"/>
              <w:jc w:val="left"/>
            </w:pPr>
            <w:r>
              <w:t xml:space="preserve">89</w:t>
            </w:r>
          </w:p>
        </w:tc>
        <w:tc>
          <w:tcPr/>
          <w:p>
            <w:pPr>
              <w:pStyle w:val="Compact"/>
              <w:jc w:val="left"/>
            </w:pPr>
            <w:r>
              <w:t xml:space="preserve">Pfizer</w:t>
            </w:r>
          </w:p>
        </w:tc>
        <w:tc>
          <w:tcPr/>
          <w:p>
            <w:pPr>
              <w:pStyle w:val="Compact"/>
              <w:jc w:val="left"/>
            </w:pPr>
            <w:r>
              <w:t xml:space="preserve">Fraction unbound in plasma</w:t>
            </w:r>
          </w:p>
        </w:tc>
      </w:tr>
      <w:tr>
        <w:tc>
          <w:tcPr/>
          <w:p>
            <w:pPr>
              <w:pStyle w:val="Compact"/>
            </w:pPr>
          </w:p>
        </w:tc>
        <w:tc>
          <w:tcPr/>
          <w:p>
            <w:pPr>
              <w:pStyle w:val="Compact"/>
              <w:jc w:val="left"/>
            </w:pPr>
            <w:r>
              <w:t xml:space="preserve">%</w:t>
            </w:r>
          </w:p>
        </w:tc>
        <w:tc>
          <w:tcPr/>
          <w:p>
            <w:pPr>
              <w:pStyle w:val="Compact"/>
              <w:jc w:val="left"/>
            </w:pPr>
            <w:r>
              <w:t xml:space="preserve">88</w:t>
            </w:r>
          </w:p>
        </w:tc>
        <w:tc>
          <w:tcPr/>
          <w:p>
            <w:pPr>
              <w:pStyle w:val="Compact"/>
              <w:jc w:val="left"/>
            </w:pPr>
            <w:hyperlink w:anchor="Xa559bd5247f9128e74e6edcc17de37648e8cde6">
              <w:r>
                <w:rPr>
                  <w:rStyle w:val="Hyperlink"/>
                </w:rPr>
                <w:t xml:space="preserve">Christofoletti 2016</w:t>
              </w:r>
            </w:hyperlink>
          </w:p>
        </w:tc>
        <w:tc>
          <w:tcPr/>
          <w:p>
            <w:pPr>
              <w:pStyle w:val="Compact"/>
              <w:jc w:val="left"/>
            </w:pPr>
            <w:r>
              <w:t xml:space="preserve">Fraction unbound in plasma</w:t>
            </w:r>
          </w:p>
        </w:tc>
      </w:tr>
      <w:tr>
        <w:tc>
          <w:tcPr/>
          <w:p>
            <w:pPr>
              <w:pStyle w:val="Compact"/>
              <w:jc w:val="left"/>
            </w:pPr>
            <w:r>
              <w:t xml:space="preserve">CL</w:t>
            </w:r>
            <w:r>
              <w:rPr>
                <w:vertAlign w:val="subscript"/>
              </w:rPr>
              <w:t xml:space="preserve">int</w:t>
            </w:r>
            <w:r>
              <w:t xml:space="preserve"> </w:t>
            </w:r>
            <w:r>
              <w:t xml:space="preserve">UGT2B7</w:t>
            </w:r>
          </w:p>
        </w:tc>
        <w:tc>
          <w:tcPr/>
          <w:p>
            <w:pPr>
              <w:pStyle w:val="Compact"/>
              <w:jc w:val="left"/>
            </w:pPr>
            <w:r>
              <w:t xml:space="preserve">1/min</w:t>
            </w:r>
          </w:p>
        </w:tc>
        <w:tc>
          <w:tcPr/>
          <w:p>
            <w:pPr>
              <w:pStyle w:val="Compact"/>
              <w:jc w:val="left"/>
            </w:pPr>
            <w:r>
              <w:t xml:space="preserve">0.005</w:t>
            </w:r>
          </w:p>
        </w:tc>
        <w:tc>
          <w:tcPr/>
          <w:p>
            <w:pPr>
              <w:pStyle w:val="Compact"/>
              <w:jc w:val="left"/>
            </w:pPr>
            <w:hyperlink w:anchor="Xa559bd5247f9128e74e6edcc17de37648e8cde6">
              <w:r>
                <w:rPr>
                  <w:rStyle w:val="Hyperlink"/>
                </w:rPr>
                <w:t xml:space="preserve">Watt 2018</w:t>
              </w:r>
            </w:hyperlink>
          </w:p>
        </w:tc>
        <w:tc>
          <w:tcPr/>
          <w:p>
            <w:pPr>
              <w:pStyle w:val="Compact"/>
              <w:jc w:val="left"/>
            </w:pPr>
            <w:r>
              <w:t xml:space="preserve">First order intrinsic clearance UGT2B7</w:t>
            </w:r>
          </w:p>
        </w:tc>
      </w:tr>
      <w:tr>
        <w:tc>
          <w:tcPr/>
          <w:p>
            <w:pPr>
              <w:pStyle w:val="Compact"/>
              <w:jc w:val="left"/>
            </w:pPr>
            <w:r>
              <w:t xml:space="preserve">P</w:t>
            </w:r>
            <w:r>
              <w:rPr>
                <w:vertAlign w:val="subscript"/>
              </w:rPr>
              <w:t xml:space="preserve">eff</w:t>
            </w:r>
          </w:p>
        </w:tc>
        <w:tc>
          <w:tcPr/>
          <w:p>
            <w:pPr>
              <w:pStyle w:val="Compact"/>
              <w:jc w:val="left"/>
            </w:pPr>
            <w:r>
              <w:t xml:space="preserve">cm/s</w:t>
            </w:r>
          </w:p>
        </w:tc>
        <w:tc>
          <w:tcPr/>
          <w:p>
            <w:pPr>
              <w:pStyle w:val="Compact"/>
              <w:jc w:val="left"/>
            </w:pPr>
            <w:r>
              <w:t xml:space="preserve">0.000213</w:t>
            </w:r>
          </w:p>
        </w:tc>
        <w:tc>
          <w:tcPr/>
          <w:p>
            <w:pPr>
              <w:pStyle w:val="Compact"/>
              <w:jc w:val="left"/>
            </w:pPr>
            <w:r>
              <w:t xml:space="preserve">GastroPlus</w:t>
            </w:r>
          </w:p>
        </w:tc>
        <w:tc>
          <w:tcPr/>
          <w:p>
            <w:pPr>
              <w:pStyle w:val="Compact"/>
              <w:jc w:val="left"/>
            </w:pPr>
            <w:r>
              <w:t xml:space="preserve">Specific intestinal permeability</w:t>
            </w:r>
          </w:p>
        </w:tc>
      </w:tr>
      <w:tr>
        <w:tc>
          <w:tcPr/>
          <w:p>
            <w:pPr>
              <w:pStyle w:val="Compact"/>
              <w:jc w:val="left"/>
            </w:pPr>
            <w:r>
              <w:t xml:space="preserve">Ki CYP3A4</w:t>
            </w:r>
          </w:p>
        </w:tc>
        <w:tc>
          <w:tcPr/>
          <w:p>
            <w:pPr>
              <w:pStyle w:val="Compact"/>
              <w:jc w:val="left"/>
            </w:pPr>
            <w:r>
              <w:t xml:space="preserve">µmol/L</w:t>
            </w:r>
          </w:p>
        </w:tc>
        <w:tc>
          <w:tcPr/>
          <w:p>
            <w:pPr>
              <w:pStyle w:val="Compact"/>
              <w:jc w:val="left"/>
            </w:pPr>
            <w:r>
              <w:t xml:space="preserve">13.1</w:t>
            </w:r>
          </w:p>
        </w:tc>
        <w:tc>
          <w:tcPr/>
          <w:p>
            <w:pPr>
              <w:pStyle w:val="Compact"/>
              <w:jc w:val="left"/>
            </w:pPr>
            <w:hyperlink w:anchor="Xa559bd5247f9128e74e6edcc17de37648e8cde6">
              <w:r>
                <w:rPr>
                  <w:rStyle w:val="Hyperlink"/>
                </w:rPr>
                <w:t xml:space="preserve">Sakaeda 2005</w:t>
              </w:r>
            </w:hyperlink>
          </w:p>
        </w:tc>
        <w:tc>
          <w:tcPr/>
          <w:p>
            <w:pPr>
              <w:pStyle w:val="Compact"/>
              <w:jc w:val="left"/>
            </w:pPr>
            <w:r>
              <w:t xml:space="preserve">Non-competitive inhibition of CYP3A4</w:t>
            </w:r>
          </w:p>
        </w:tc>
      </w:tr>
      <w:tr>
        <w:tc>
          <w:tcPr/>
          <w:p>
            <w:pPr>
              <w:pStyle w:val="Compact"/>
              <w:jc w:val="left"/>
            </w:pPr>
            <w:r>
              <w:t xml:space="preserve">GFR fraction</w:t>
            </w:r>
          </w:p>
        </w:tc>
        <w:tc>
          <w:tcPr/>
          <w:p>
            <w:pPr>
              <w:pStyle w:val="Compact"/>
            </w:pPr>
          </w:p>
        </w:tc>
        <w:tc>
          <w:tcPr/>
          <w:p>
            <w:pPr>
              <w:pStyle w:val="Compact"/>
              <w:jc w:val="left"/>
            </w:pPr>
            <w:r>
              <w:t xml:space="preserve">0.17</w:t>
            </w:r>
          </w:p>
        </w:tc>
        <w:tc>
          <w:tcPr/>
          <w:p>
            <w:pPr>
              <w:pStyle w:val="Compact"/>
              <w:jc w:val="left"/>
            </w:pPr>
            <w:hyperlink w:anchor="Xa559bd5247f9128e74e6edcc17de37648e8cde6">
              <w:r>
                <w:rPr>
                  <w:rStyle w:val="Hyperlink"/>
                </w:rPr>
                <w:t xml:space="preserve">Watt 2018</w:t>
              </w:r>
            </w:hyperlink>
          </w:p>
        </w:tc>
        <w:tc>
          <w:tcPr/>
          <w:p>
            <w:pPr>
              <w:pStyle w:val="Compact"/>
              <w:jc w:val="left"/>
            </w:pPr>
            <w:r>
              <w:t xml:space="preserve">glomerular filtration fraction</w:t>
            </w:r>
          </w:p>
        </w:tc>
      </w:tr>
    </w:tbl>
    <w:bookmarkEnd w:id="22"/>
    <w:bookmarkStart w:id="23" w:name="clinical-data"/>
    <w:p>
      <w:pPr>
        <w:pStyle w:val="Heading3"/>
      </w:pPr>
      <w:r>
        <w:t xml:space="preserve">2.2.2 Clinical data</w:t>
      </w:r>
    </w:p>
    <w:p>
      <w:pPr>
        <w:pStyle w:val="FirstParagraph"/>
      </w:pPr>
      <w:r>
        <w:t xml:space="preserve">A literature search was performed to collect available clinical data on fluconazole in adults.</w:t>
      </w:r>
    </w:p>
    <w:p>
      <w:pPr>
        <w:pStyle w:val="BodyText"/>
      </w:pPr>
      <w:r>
        <w:t xml:space="preserve">The following publications were found in adults for model building:</w:t>
      </w:r>
    </w:p>
    <w:tbl>
      <w:tblPr>
        <w:tblStyle w:val="Table"/>
        <w:tblW w:type="pct" w:w="5000"/>
        <w:tblLook w:firstRow="1" w:lastRow="0" w:firstColumn="0" w:lastColumn="0" w:noHBand="0" w:noVBand="0" w:val="0020"/>
        <w:jc w:val="start"/>
      </w:tblPr>
      <w:tblGrid>
        <w:gridCol w:w="2580"/>
        <w:gridCol w:w="5339"/>
      </w:tblGrid>
      <w:tr>
        <w:trPr>
          <w:tblHeader w:val="true"/>
        </w:trPr>
        <w:tc>
          <w:tcPr/>
          <w:p>
            <w:pPr>
              <w:pStyle w:val="Compact"/>
              <w:jc w:val="left"/>
            </w:pPr>
            <w:r>
              <w:t xml:space="preserve">Publication</w:t>
            </w:r>
          </w:p>
        </w:tc>
        <w:tc>
          <w:tcPr/>
          <w:p>
            <w:pPr>
              <w:pStyle w:val="Compact"/>
              <w:jc w:val="left"/>
            </w:pPr>
            <w:r>
              <w:t xml:space="preserve">Arm / Treatment / Information used for model building</w:t>
            </w:r>
          </w:p>
        </w:tc>
      </w:tr>
      <w:tr>
        <w:tc>
          <w:tcPr/>
          <w:p>
            <w:pPr>
              <w:pStyle w:val="Compact"/>
              <w:jc w:val="left"/>
            </w:pPr>
            <w:hyperlink w:anchor="Xa559bd5247f9128e74e6edcc17de37648e8cde6">
              <w:r>
                <w:rPr>
                  <w:rStyle w:val="Hyperlink"/>
                </w:rPr>
                <w:t xml:space="preserve">Ahonen 1997</w:t>
              </w:r>
            </w:hyperlink>
          </w:p>
        </w:tc>
        <w:tc>
          <w:tcPr/>
          <w:p>
            <w:pPr>
              <w:pStyle w:val="Compact"/>
              <w:jc w:val="left"/>
            </w:pPr>
            <w:r>
              <w:t xml:space="preserve">Plasma PK profiles in healthy subjects after single dose oral administration of 400 mg fluconazole</w:t>
            </w:r>
          </w:p>
        </w:tc>
      </w:tr>
      <w:tr>
        <w:tc>
          <w:tcPr/>
          <w:p>
            <w:pPr>
              <w:pStyle w:val="Compact"/>
              <w:jc w:val="left"/>
            </w:pPr>
            <w:hyperlink w:anchor="Xa559bd5247f9128e74e6edcc17de37648e8cde6">
              <w:r>
                <w:rPr>
                  <w:rStyle w:val="Hyperlink"/>
                </w:rPr>
                <w:t xml:space="preserve">Brammer 1990</w:t>
              </w:r>
            </w:hyperlink>
          </w:p>
        </w:tc>
        <w:tc>
          <w:tcPr/>
          <w:p>
            <w:pPr>
              <w:pStyle w:val="Compact"/>
              <w:jc w:val="left"/>
            </w:pPr>
            <w:r>
              <w:t xml:space="preserve">Plasma PK profiles in healthy subjects after multiple oral administration of 200, 300 and 400 mg fluconazole</w:t>
            </w:r>
          </w:p>
        </w:tc>
      </w:tr>
      <w:tr>
        <w:tc>
          <w:tcPr/>
          <w:p>
            <w:pPr>
              <w:pStyle w:val="Compact"/>
              <w:jc w:val="left"/>
            </w:pPr>
            <w:hyperlink w:anchor="Xa559bd5247f9128e74e6edcc17de37648e8cde6">
              <w:r>
                <w:rPr>
                  <w:rStyle w:val="Hyperlink"/>
                </w:rPr>
                <w:t xml:space="preserve">Brammer 1991</w:t>
              </w:r>
            </w:hyperlink>
          </w:p>
        </w:tc>
        <w:tc>
          <w:tcPr/>
          <w:p>
            <w:pPr>
              <w:pStyle w:val="Compact"/>
              <w:jc w:val="left"/>
            </w:pPr>
            <w:r>
              <w:t xml:space="preserve">Plasma PK profiles in healthy subjects after single dose oral administration of 50 mg fluconazole</w:t>
            </w:r>
          </w:p>
        </w:tc>
      </w:tr>
      <w:tr>
        <w:tc>
          <w:tcPr/>
          <w:p>
            <w:pPr>
              <w:pStyle w:val="Compact"/>
              <w:jc w:val="left"/>
            </w:pPr>
            <w:hyperlink w:anchor="Xa559bd5247f9128e74e6edcc17de37648e8cde6">
              <w:r>
                <w:rPr>
                  <w:rStyle w:val="Hyperlink"/>
                </w:rPr>
                <w:t xml:space="preserve">Shiba 1990</w:t>
              </w:r>
            </w:hyperlink>
          </w:p>
        </w:tc>
        <w:tc>
          <w:tcPr/>
          <w:p>
            <w:pPr>
              <w:pStyle w:val="Compact"/>
              <w:jc w:val="left"/>
            </w:pPr>
            <w:r>
              <w:t xml:space="preserve">Plasma PK profiles and urine data in healthy subjects after single iv and oral administration of 25 and 50 mg fluconazole and single oral dose of 100 mg fluconazole</w:t>
            </w:r>
          </w:p>
        </w:tc>
      </w:tr>
      <w:tr>
        <w:tc>
          <w:tcPr/>
          <w:p>
            <w:pPr>
              <w:pStyle w:val="Compact"/>
              <w:jc w:val="left"/>
            </w:pPr>
            <w:hyperlink w:anchor="Xa559bd5247f9128e74e6edcc17de37648e8cde6">
              <w:r>
                <w:rPr>
                  <w:rStyle w:val="Hyperlink"/>
                </w:rPr>
                <w:t xml:space="preserve">Palkama 1998</w:t>
              </w:r>
            </w:hyperlink>
          </w:p>
        </w:tc>
        <w:tc>
          <w:tcPr/>
          <w:p>
            <w:pPr>
              <w:pStyle w:val="Compact"/>
              <w:jc w:val="left"/>
            </w:pPr>
            <w:r>
              <w:t xml:space="preserve">Plasma PK profiles in healthy subjects after single dose iv and oral administration of 400 mg fluconazole</w:t>
            </w:r>
          </w:p>
        </w:tc>
      </w:tr>
      <w:tr>
        <w:tc>
          <w:tcPr/>
          <w:p>
            <w:pPr>
              <w:pStyle w:val="Compact"/>
              <w:jc w:val="left"/>
            </w:pPr>
            <w:hyperlink w:anchor="Xa559bd5247f9128e74e6edcc17de37648e8cde6">
              <w:r>
                <w:rPr>
                  <w:rStyle w:val="Hyperlink"/>
                </w:rPr>
                <w:t xml:space="preserve">Ripa 1993</w:t>
              </w:r>
            </w:hyperlink>
          </w:p>
        </w:tc>
        <w:tc>
          <w:tcPr/>
          <w:p>
            <w:pPr>
              <w:pStyle w:val="Compact"/>
              <w:jc w:val="left"/>
            </w:pPr>
            <w:r>
              <w:t xml:space="preserve">Plasma PK profiles in healthy subjects after single dose iv administration of 100 mg fluconazole</w:t>
            </w:r>
          </w:p>
        </w:tc>
      </w:tr>
      <w:tr>
        <w:tc>
          <w:tcPr/>
          <w:p>
            <w:pPr>
              <w:pStyle w:val="Compact"/>
              <w:jc w:val="left"/>
            </w:pPr>
            <w:hyperlink w:anchor="Xa559bd5247f9128e74e6edcc17de37648e8cde6">
              <w:r>
                <w:rPr>
                  <w:rStyle w:val="Hyperlink"/>
                </w:rPr>
                <w:t xml:space="preserve">Thorpe 1990</w:t>
              </w:r>
            </w:hyperlink>
          </w:p>
        </w:tc>
        <w:tc>
          <w:tcPr/>
          <w:p>
            <w:pPr>
              <w:pStyle w:val="Compact"/>
              <w:jc w:val="left"/>
            </w:pPr>
            <w:r>
              <w:t xml:space="preserve">Plasma PK profiles in healthy subjects after single dose oral administration of 100 mg fluconazole</w:t>
            </w:r>
          </w:p>
        </w:tc>
      </w:tr>
      <w:tr>
        <w:tc>
          <w:tcPr/>
          <w:p>
            <w:pPr>
              <w:pStyle w:val="Compact"/>
              <w:jc w:val="left"/>
            </w:pPr>
            <w:hyperlink w:anchor="Xa559bd5247f9128e74e6edcc17de37648e8cde6">
              <w:r>
                <w:rPr>
                  <w:rStyle w:val="Hyperlink"/>
                </w:rPr>
                <w:t xml:space="preserve">Varhe 1996</w:t>
              </w:r>
            </w:hyperlink>
          </w:p>
        </w:tc>
        <w:tc>
          <w:tcPr/>
          <w:p>
            <w:pPr>
              <w:pStyle w:val="Compact"/>
              <w:jc w:val="left"/>
            </w:pPr>
            <w:r>
              <w:t xml:space="preserve">Plasma PK profiles in healthy subjects after multiple oral administration of 100 and 200 mg fluconazole</w:t>
            </w:r>
          </w:p>
        </w:tc>
      </w:tr>
    </w:tbl>
    <w:p>
      <w:pPr>
        <w:pStyle w:val="BodyText"/>
      </w:pPr>
      <w:r>
        <w:t xml:space="preserve">The following table shows the data from the excretion studies (</w:t>
      </w:r>
      <w:hyperlink w:anchor="Xa559bd5247f9128e74e6edcc17de37648e8cde6">
        <w:r>
          <w:rPr>
            <w:rStyle w:val="Hyperlink"/>
          </w:rPr>
          <w:t xml:space="preserve">Shiba 1990</w:t>
        </w:r>
      </w:hyperlink>
      <w:r>
        <w:t xml:space="preserve">) used for model building:</w:t>
      </w:r>
    </w:p>
    <w:tbl>
      <w:tblPr>
        <w:tblStyle w:val="Table"/>
        <w:tblW w:type="pct" w:w="5000"/>
        <w:tblLook w:firstRow="1" w:lastRow="0" w:firstColumn="0" w:lastColumn="0" w:noHBand="0" w:noVBand="0" w:val="0020"/>
        <w:jc w:val="start"/>
      </w:tblPr>
      <w:tblGrid>
        <w:gridCol w:w="7310"/>
        <w:gridCol w:w="609"/>
      </w:tblGrid>
      <w:tr>
        <w:trPr>
          <w:tblHeader w:val="true"/>
        </w:trPr>
        <w:tc>
          <w:tcPr/>
          <w:p>
            <w:pPr>
              <w:pStyle w:val="Compact"/>
              <w:jc w:val="left"/>
            </w:pPr>
            <w:r>
              <w:t xml:space="preserve">Observer</w:t>
            </w:r>
          </w:p>
        </w:tc>
        <w:tc>
          <w:tcPr/>
          <w:p>
            <w:pPr>
              <w:pStyle w:val="Compact"/>
              <w:jc w:val="left"/>
            </w:pPr>
            <w:r>
              <w:t xml:space="preserve">Value</w:t>
            </w:r>
          </w:p>
        </w:tc>
      </w:tr>
      <w:tr>
        <w:tc>
          <w:tcPr/>
          <w:p>
            <w:pPr>
              <w:pStyle w:val="Compact"/>
              <w:jc w:val="left"/>
            </w:pPr>
            <w:r>
              <w:t xml:space="preserve">Fraction excreted to urine of unchanged fluconazole after iv administration 25 mg</w:t>
            </w:r>
          </w:p>
        </w:tc>
        <w:tc>
          <w:tcPr/>
          <w:p>
            <w:pPr>
              <w:pStyle w:val="Compact"/>
              <w:jc w:val="left"/>
            </w:pPr>
            <w:r>
              <w:t xml:space="preserve">74%</w:t>
            </w:r>
          </w:p>
        </w:tc>
      </w:tr>
      <w:tr>
        <w:tc>
          <w:tcPr/>
          <w:p>
            <w:pPr>
              <w:pStyle w:val="Compact"/>
              <w:jc w:val="left"/>
            </w:pPr>
            <w:r>
              <w:t xml:space="preserve">Fraction excreted to urine of unchanged fluconazole after iv administration 25 mg</w:t>
            </w:r>
          </w:p>
        </w:tc>
        <w:tc>
          <w:tcPr/>
          <w:p>
            <w:pPr>
              <w:pStyle w:val="Compact"/>
              <w:jc w:val="left"/>
            </w:pPr>
            <w:r>
              <w:t xml:space="preserve">72%</w:t>
            </w:r>
          </w:p>
        </w:tc>
      </w:tr>
      <w:tr>
        <w:tc>
          <w:tcPr/>
          <w:p>
            <w:pPr>
              <w:pStyle w:val="Compact"/>
              <w:jc w:val="left"/>
            </w:pPr>
            <w:r>
              <w:t xml:space="preserve">Fraction excreted to urine of unchanged fluconazole after oral administration 25 mg</w:t>
            </w:r>
          </w:p>
        </w:tc>
        <w:tc>
          <w:tcPr/>
          <w:p>
            <w:pPr>
              <w:pStyle w:val="Compact"/>
              <w:jc w:val="left"/>
            </w:pPr>
            <w:r>
              <w:t xml:space="preserve">69%</w:t>
            </w:r>
          </w:p>
        </w:tc>
      </w:tr>
      <w:tr>
        <w:tc>
          <w:tcPr/>
          <w:p>
            <w:pPr>
              <w:pStyle w:val="Compact"/>
              <w:jc w:val="left"/>
            </w:pPr>
            <w:r>
              <w:t xml:space="preserve">Fraction excreted to urine of unchanged fluconazole after oral administration 50 mg</w:t>
            </w:r>
          </w:p>
        </w:tc>
        <w:tc>
          <w:tcPr/>
          <w:p>
            <w:pPr>
              <w:pStyle w:val="Compact"/>
              <w:jc w:val="left"/>
            </w:pPr>
            <w:r>
              <w:t xml:space="preserve">67%</w:t>
            </w:r>
          </w:p>
        </w:tc>
      </w:tr>
      <w:tr>
        <w:tc>
          <w:tcPr/>
          <w:p>
            <w:pPr>
              <w:pStyle w:val="Compact"/>
              <w:jc w:val="left"/>
            </w:pPr>
            <w:r>
              <w:t xml:space="preserve">Fraction excreted to urine of unchanged fluconazole after oral administration 100 mg</w:t>
            </w:r>
          </w:p>
        </w:tc>
        <w:tc>
          <w:tcPr/>
          <w:p>
            <w:pPr>
              <w:pStyle w:val="Compact"/>
              <w:jc w:val="left"/>
            </w:pPr>
            <w:r>
              <w:t xml:space="preserve">75%</w:t>
            </w:r>
          </w:p>
        </w:tc>
      </w:tr>
    </w:tbl>
    <w:p>
      <w:pPr>
        <w:pStyle w:val="BodyText"/>
      </w:pPr>
      <w:r>
        <w:t xml:space="preserve">The following dosing scenarios were simulated and compared to respective data for model verification:</w:t>
      </w:r>
    </w:p>
    <w:tbl>
      <w:tblPr>
        <w:tblStyle w:val="Table"/>
        <w:tblW w:type="pct" w:w="5000"/>
        <w:tblLook w:firstRow="1" w:lastRow="0" w:firstColumn="0" w:lastColumn="0" w:noHBand="0" w:noVBand="0" w:val="0020"/>
        <w:jc w:val="start"/>
      </w:tblPr>
      <w:tblGrid>
        <w:gridCol w:w="4950"/>
        <w:gridCol w:w="2970"/>
      </w:tblGrid>
      <w:tr>
        <w:trPr>
          <w:tblHeader w:val="true"/>
        </w:trPr>
        <w:tc>
          <w:tcPr/>
          <w:p>
            <w:pPr>
              <w:pStyle w:val="Compact"/>
              <w:jc w:val="left"/>
            </w:pPr>
            <w:r>
              <w:t xml:space="preserve">Scenario</w:t>
            </w:r>
          </w:p>
        </w:tc>
        <w:tc>
          <w:tcPr/>
          <w:p>
            <w:pPr>
              <w:pStyle w:val="Compact"/>
              <w:jc w:val="left"/>
            </w:pPr>
            <w:r>
              <w:t xml:space="preserve">Data reference</w:t>
            </w:r>
          </w:p>
        </w:tc>
      </w:tr>
      <w:tr>
        <w:tc>
          <w:tcPr/>
          <w:p>
            <w:pPr>
              <w:pStyle w:val="Compact"/>
              <w:jc w:val="left"/>
            </w:pPr>
            <w:r>
              <w:t xml:space="preserve">iv 400 mg (60 min)</w:t>
            </w:r>
          </w:p>
        </w:tc>
        <w:tc>
          <w:tcPr/>
          <w:p>
            <w:pPr>
              <w:pStyle w:val="Compact"/>
              <w:jc w:val="left"/>
            </w:pPr>
            <w:hyperlink w:anchor="Xa559bd5247f9128e74e6edcc17de37648e8cde6">
              <w:r>
                <w:rPr>
                  <w:rStyle w:val="Hyperlink"/>
                </w:rPr>
                <w:t xml:space="preserve">Ahonen 1997</w:t>
              </w:r>
            </w:hyperlink>
          </w:p>
        </w:tc>
      </w:tr>
      <w:tr>
        <w:tc>
          <w:tcPr/>
          <w:p>
            <w:pPr>
              <w:pStyle w:val="Compact"/>
              <w:jc w:val="left"/>
            </w:pPr>
            <w:r>
              <w:t xml:space="preserve">iv 50 mg (2 min)</w:t>
            </w:r>
          </w:p>
        </w:tc>
        <w:tc>
          <w:tcPr/>
          <w:p>
            <w:pPr>
              <w:pStyle w:val="Compact"/>
              <w:jc w:val="left"/>
            </w:pPr>
            <w:hyperlink w:anchor="Xa559bd5247f9128e74e6edcc17de37648e8cde6">
              <w:r>
                <w:rPr>
                  <w:rStyle w:val="Hyperlink"/>
                </w:rPr>
                <w:t xml:space="preserve">Brammer 1990</w:t>
              </w:r>
            </w:hyperlink>
          </w:p>
        </w:tc>
      </w:tr>
      <w:tr>
        <w:tc>
          <w:tcPr/>
          <w:p>
            <w:pPr>
              <w:pStyle w:val="Compact"/>
              <w:jc w:val="left"/>
            </w:pPr>
            <w:r>
              <w:t xml:space="preserve">iv 25 mg (1 min)</w:t>
            </w:r>
          </w:p>
        </w:tc>
        <w:tc>
          <w:tcPr/>
          <w:p>
            <w:pPr>
              <w:pStyle w:val="Compact"/>
              <w:jc w:val="left"/>
            </w:pPr>
            <w:hyperlink w:anchor="Xa559bd5247f9128e74e6edcc17de37648e8cde6">
              <w:r>
                <w:rPr>
                  <w:rStyle w:val="Hyperlink"/>
                </w:rPr>
                <w:t xml:space="preserve">Shiba 1990</w:t>
              </w:r>
            </w:hyperlink>
          </w:p>
        </w:tc>
      </w:tr>
      <w:tr>
        <w:tc>
          <w:tcPr/>
          <w:p>
            <w:pPr>
              <w:pStyle w:val="Compact"/>
              <w:jc w:val="left"/>
            </w:pPr>
            <w:r>
              <w:t xml:space="preserve">iv 800 mg (240 min) once daily for 14 days</w:t>
            </w:r>
          </w:p>
        </w:tc>
        <w:tc>
          <w:tcPr/>
          <w:p>
            <w:pPr>
              <w:pStyle w:val="Compact"/>
              <w:jc w:val="left"/>
            </w:pPr>
            <w:hyperlink w:anchor="Xa559bd5247f9128e74e6edcc17de37648e8cde6">
              <w:r>
                <w:rPr>
                  <w:rStyle w:val="Hyperlink"/>
                </w:rPr>
                <w:t xml:space="preserve">Sobue 2004</w:t>
              </w:r>
            </w:hyperlink>
          </w:p>
        </w:tc>
      </w:tr>
      <w:tr>
        <w:tc>
          <w:tcPr/>
          <w:p>
            <w:pPr>
              <w:pStyle w:val="Compact"/>
              <w:jc w:val="left"/>
            </w:pPr>
            <w:r>
              <w:t xml:space="preserve">iv 100 mg (20 min)</w:t>
            </w:r>
          </w:p>
        </w:tc>
        <w:tc>
          <w:tcPr/>
          <w:p>
            <w:pPr>
              <w:pStyle w:val="Compact"/>
              <w:jc w:val="left"/>
            </w:pPr>
            <w:hyperlink w:anchor="Xa559bd5247f9128e74e6edcc17de37648e8cde6">
              <w:r>
                <w:rPr>
                  <w:rStyle w:val="Hyperlink"/>
                </w:rPr>
                <w:t xml:space="preserve">Yeates 1994</w:t>
              </w:r>
            </w:hyperlink>
          </w:p>
        </w:tc>
      </w:tr>
      <w:tr>
        <w:tc>
          <w:tcPr/>
          <w:p>
            <w:pPr>
              <w:pStyle w:val="Compact"/>
              <w:jc w:val="left"/>
            </w:pPr>
            <w:r>
              <w:t xml:space="preserve">po 400 mg</w:t>
            </w:r>
          </w:p>
        </w:tc>
        <w:tc>
          <w:tcPr/>
          <w:p>
            <w:pPr>
              <w:pStyle w:val="Compact"/>
              <w:jc w:val="left"/>
            </w:pPr>
            <w:hyperlink w:anchor="Xa559bd5247f9128e74e6edcc17de37648e8cde6">
              <w:r>
                <w:rPr>
                  <w:rStyle w:val="Hyperlink"/>
                </w:rPr>
                <w:t xml:space="preserve">Palkama 1998</w:t>
              </w:r>
            </w:hyperlink>
          </w:p>
        </w:tc>
      </w:tr>
      <w:tr>
        <w:tc>
          <w:tcPr/>
          <w:p>
            <w:pPr>
              <w:pStyle w:val="Compact"/>
              <w:jc w:val="left"/>
            </w:pPr>
            <w:r>
              <w:t xml:space="preserve">po 100 mg</w:t>
            </w:r>
          </w:p>
        </w:tc>
        <w:tc>
          <w:tcPr/>
          <w:p>
            <w:pPr>
              <w:pStyle w:val="Compact"/>
              <w:jc w:val="left"/>
            </w:pPr>
            <w:hyperlink w:anchor="Xa559bd5247f9128e74e6edcc17de37648e8cde6">
              <w:r>
                <w:rPr>
                  <w:rStyle w:val="Hyperlink"/>
                </w:rPr>
                <w:t xml:space="preserve">Shiba 1990</w:t>
              </w:r>
            </w:hyperlink>
          </w:p>
        </w:tc>
      </w:tr>
      <w:tr>
        <w:tc>
          <w:tcPr/>
          <w:p>
            <w:pPr>
              <w:pStyle w:val="Compact"/>
              <w:jc w:val="left"/>
            </w:pPr>
            <w:r>
              <w:t xml:space="preserve">po 50 mg once daily for 4 days</w:t>
            </w:r>
          </w:p>
        </w:tc>
        <w:tc>
          <w:tcPr/>
          <w:p>
            <w:pPr>
              <w:pStyle w:val="Compact"/>
              <w:jc w:val="left"/>
            </w:pPr>
            <w:hyperlink w:anchor="Xa559bd5247f9128e74e6edcc17de37648e8cde6">
              <w:r>
                <w:rPr>
                  <w:rStyle w:val="Hyperlink"/>
                </w:rPr>
                <w:t xml:space="preserve">Varhe 1996</w:t>
              </w:r>
            </w:hyperlink>
          </w:p>
        </w:tc>
      </w:tr>
    </w:tbl>
    <w:bookmarkEnd w:id="23"/>
    <w:bookmarkEnd w:id="24"/>
    <w:bookmarkStart w:id="29" w:name="model-parameters-and-assumptions"/>
    <w:p>
      <w:pPr>
        <w:pStyle w:val="Heading2"/>
      </w:pPr>
      <w:r>
        <w:t xml:space="preserve">Model parameters and assumptions</w:t>
      </w:r>
      <w:bookmarkStart w:id="model-parameters-and-assumptions" w:name="model-parameters-and-assumptions"/>
      <w:bookmarkEnd w:id="model-parameters-and-assumptions"/>
    </w:p>
    <w:bookmarkStart w:id="25" w:name="absorption"/>
    <w:p>
      <w:pPr>
        <w:pStyle w:val="Heading3"/>
      </w:pPr>
      <w:r>
        <w:t xml:space="preserve">2.3.1 Absorption</w:t>
      </w:r>
    </w:p>
    <w:p>
      <w:pPr>
        <w:pStyle w:val="FirstParagraph"/>
      </w:pPr>
      <w:r>
        <w:t xml:space="preserve">The parameter value for</w:t>
      </w:r>
      <w:r>
        <w:t xml:space="preserve"> </w:t>
      </w:r>
      <w:r>
        <w:rPr>
          <w:rStyle w:val="VerbatimChar"/>
        </w:rPr>
        <w:t xml:space="preserve">Specific intestinal permeability</w:t>
      </w:r>
      <w:r>
        <w:t xml:space="preserve"> </w:t>
      </w:r>
      <w:r>
        <w:t xml:space="preserve">was used as in GastroPlus. Although, the permeability didn’t seem to be the rate-limiting step in oral absorption as this parameter could not be identified when attempting to estimate a value using Parameter Identification. The default solubility was assumed to be the measured value in phosphate buffer (see</w:t>
      </w:r>
      <w:r>
        <w:t xml:space="preserve"> </w:t>
      </w:r>
      <w:hyperlink w:anchor="X873f1d933aeea7d4aa146491e21cc3be56dfc99">
        <w:r>
          <w:rPr>
            <w:rStyle w:val="Hyperlink"/>
          </w:rPr>
          <w:t xml:space="preserve">Section 2.2.1</w:t>
        </w:r>
      </w:hyperlink>
      <w:r>
        <w:t xml:space="preserve">)</w:t>
      </w:r>
    </w:p>
    <w:p>
      <w:pPr>
        <w:pStyle w:val="BodyText"/>
      </w:pPr>
      <w:r>
        <w:t xml:space="preserve">The dissolution of capsules/tablets (not always specified in the literature which formulation for oral administration was used) were implemented via empirical Weibull dissolution. A different Weibull function was used for different dose categories, low, medium high and high dose to distinguish the dissolution time across the dose range; see results of optimization in</w:t>
      </w:r>
      <w:r>
        <w:t xml:space="preserve"> </w:t>
      </w:r>
      <w:hyperlink w:anchor="X2a13133295efba879d59b4ecc1b6a15b8871330">
        <w:r>
          <w:rPr>
            <w:rStyle w:val="Hyperlink"/>
          </w:rPr>
          <w:t xml:space="preserve">Section 2.3.4</w:t>
        </w:r>
      </w:hyperlink>
      <w:r>
        <w:t xml:space="preserve">.</w:t>
      </w:r>
    </w:p>
    <w:bookmarkEnd w:id="25"/>
    <w:bookmarkStart w:id="26" w:name="distribution"/>
    <w:p>
      <w:pPr>
        <w:pStyle w:val="Heading3"/>
      </w:pPr>
      <w:r>
        <w:t xml:space="preserve">2.3.2 Distribution</w:t>
      </w:r>
    </w:p>
    <w:p>
      <w:pPr>
        <w:pStyle w:val="FirstParagraph"/>
      </w:pPr>
      <w:r>
        <w:t xml:space="preserve">Fluconazole has a low protein bound (approx. 11 %) fraction in plasma (see</w:t>
      </w:r>
      <w:r>
        <w:t xml:space="preserve"> </w:t>
      </w:r>
      <w:hyperlink w:anchor="X873f1d933aeea7d4aa146491e21cc3be56dfc99">
        <w:r>
          <w:rPr>
            <w:rStyle w:val="Hyperlink"/>
          </w:rPr>
          <w:t xml:space="preserve">Section 2.2.1</w:t>
        </w:r>
      </w:hyperlink>
      <w:r>
        <w:t xml:space="preserve">). A value of 89% was used in this PBPK model for</w:t>
      </w:r>
      <w:r>
        <w:t xml:space="preserve"> </w:t>
      </w:r>
      <w:r>
        <w:rPr>
          <w:rStyle w:val="VerbatimChar"/>
        </w:rPr>
        <w:t xml:space="preserve">Fraction unbound (plasma, reference value)</w:t>
      </w:r>
      <w:r>
        <w:t xml:space="preserve">. The major binding partner was set to alpha1- acid glycoprotein(see</w:t>
      </w:r>
      <w:r>
        <w:t xml:space="preserve"> </w:t>
      </w:r>
      <w:hyperlink w:anchor="X873f1d933aeea7d4aa146491e21cc3be56dfc99">
        <w:r>
          <w:rPr>
            <w:rStyle w:val="Hyperlink"/>
          </w:rPr>
          <w:t xml:space="preserve">Section 2.2.1</w:t>
        </w:r>
      </w:hyperlink>
      <w:r>
        <w:t xml:space="preserve">).</w:t>
      </w:r>
    </w:p>
    <w:p>
      <w:pPr>
        <w:pStyle w:val="BodyText"/>
      </w:pPr>
      <w:r>
        <w:t xml:space="preserve">An important parameter influencing the resulting volume of distribution is lipophilicity. The reported experimental logP values are in the range of 0.5-1.0 (see</w:t>
      </w:r>
      <w:r>
        <w:t xml:space="preserve"> </w:t>
      </w:r>
      <w:hyperlink w:anchor="X873f1d933aeea7d4aa146491e21cc3be56dfc99">
        <w:r>
          <w:rPr>
            <w:rStyle w:val="Hyperlink"/>
          </w:rPr>
          <w:t xml:space="preserve">Section 2.2.1</w:t>
        </w:r>
      </w:hyperlink>
      <w:r>
        <w:t xml:space="preserve">) which served as a starting value. Finally, the model parameters</w:t>
      </w:r>
      <w:r>
        <w:t xml:space="preserve"> </w:t>
      </w:r>
      <w:r>
        <w:rPr>
          <w:rStyle w:val="VerbatimChar"/>
        </w:rPr>
        <w:t xml:space="preserve">Lipophilicity</w:t>
      </w:r>
      <w:r>
        <w:t xml:space="preserve"> </w:t>
      </w:r>
      <w:r>
        <w:t xml:space="preserve">was optimized to match best clinical data (see also</w:t>
      </w:r>
      <w:r>
        <w:t xml:space="preserve"> </w:t>
      </w:r>
      <w:hyperlink w:anchor="X2a13133295efba879d59b4ecc1b6a15b8871330">
        <w:r>
          <w:rPr>
            <w:rStyle w:val="Hyperlink"/>
          </w:rPr>
          <w:t xml:space="preserve">Section 2.3.4</w:t>
        </w:r>
      </w:hyperlink>
      <w:r>
        <w:t xml:space="preserve">).</w:t>
      </w:r>
    </w:p>
    <w:p>
      <w:pPr>
        <w:pStyle w:val="BodyText"/>
      </w:pPr>
      <w:r>
        <w:t xml:space="preserve">After testing the available organ-plasma partition coefficient and cell permeability calculation methods built in PK-Sim, observed clinical data was best described by choosing the partition coefficient calculation by</w:t>
      </w:r>
      <w:r>
        <w:t xml:space="preserve"> </w:t>
      </w:r>
      <w:r>
        <w:rPr>
          <w:rStyle w:val="VerbatimChar"/>
        </w:rPr>
        <w:t xml:space="preserve">Rodgers and Rowland</w:t>
      </w:r>
      <w:r>
        <w:t xml:space="preserve"> </w:t>
      </w:r>
      <w:r>
        <w:t xml:space="preserve">and cellular permeability calculation by</w:t>
      </w:r>
      <w:r>
        <w:t xml:space="preserve"> </w:t>
      </w:r>
      <w:r>
        <w:rPr>
          <w:rStyle w:val="VerbatimChar"/>
        </w:rPr>
        <w:t xml:space="preserve">PK-Sim Standard</w:t>
      </w:r>
      <w:r>
        <w:t xml:space="preserve">.</w:t>
      </w:r>
    </w:p>
    <w:bookmarkEnd w:id="26"/>
    <w:bookmarkStart w:id="27" w:name="metabolism-and-elimination"/>
    <w:p>
      <w:pPr>
        <w:pStyle w:val="Heading3"/>
      </w:pPr>
      <w:r>
        <w:t xml:space="preserve">2.3.3 Metabolism and Elimination</w:t>
      </w:r>
    </w:p>
    <w:p>
      <w:pPr>
        <w:pStyle w:val="FirstParagraph"/>
      </w:pPr>
      <w:r>
        <w:t xml:space="preserve">One metabolic pathway was implement into the model via first order kinetics</w:t>
      </w:r>
    </w:p>
    <w:p>
      <w:pPr>
        <w:numPr>
          <w:ilvl w:val="0"/>
          <w:numId w:val="1002"/>
        </w:numPr>
        <w:pStyle w:val="Compact"/>
      </w:pPr>
      <w:r>
        <w:t xml:space="preserve">UGT2B7</w:t>
      </w:r>
    </w:p>
    <w:p>
      <w:pPr>
        <w:pStyle w:val="FirstParagraph"/>
      </w:pPr>
      <w:r>
        <w:t xml:space="preserve">The UGT2B7 expression profiles is based on high-sensitive real-time RT-PCR (</w:t>
      </w:r>
      <w:hyperlink w:anchor="Xa559bd5247f9128e74e6edcc17de37648e8cde6">
        <w:r>
          <w:rPr>
            <w:rStyle w:val="Hyperlink"/>
          </w:rPr>
          <w:t xml:space="preserve">Nishimura 2003</w:t>
        </w:r>
      </w:hyperlink>
      <w:r>
        <w:t xml:space="preserve">). Absolute tissue-specific expressions were obtained by considering the respective absolute concentration in the liver. The</w:t>
      </w:r>
      <w:r>
        <w:t xml:space="preserve"> </w:t>
      </w:r>
      <w:r>
        <w:rPr>
          <w:rStyle w:val="VerbatimChar"/>
        </w:rPr>
        <w:t xml:space="preserve">Specific clearance</w:t>
      </w:r>
      <w:r>
        <w:t xml:space="preserve"> </w:t>
      </w:r>
      <w:r>
        <w:t xml:space="preserve">of fluconazole accounted by UGT2B7 was identified to best describe observed clinical data after intravenous administration (see</w:t>
      </w:r>
      <w:r>
        <w:t xml:space="preserve"> </w:t>
      </w:r>
      <w:hyperlink w:anchor="X2a13133295efba879d59b4ecc1b6a15b8871330">
        <w:r>
          <w:rPr>
            <w:rStyle w:val="Hyperlink"/>
          </w:rPr>
          <w:t xml:space="preserve">Section 2.3.4</w:t>
        </w:r>
      </w:hyperlink>
      <w:r>
        <w:t xml:space="preserve">).</w:t>
      </w:r>
    </w:p>
    <w:p>
      <w:pPr>
        <w:pStyle w:val="BodyText"/>
      </w:pPr>
      <w:r>
        <w:t xml:space="preserve">Additionally, renal clearance (which is the main elimination process for fluconazole) assumed to be mainly driven by glomerular filtration was implemented. The</w:t>
      </w:r>
      <w:r>
        <w:t xml:space="preserve"> </w:t>
      </w:r>
      <w:r>
        <w:rPr>
          <w:rStyle w:val="VerbatimChar"/>
        </w:rPr>
        <w:t xml:space="preserve">GFR fraction</w:t>
      </w:r>
      <w:r>
        <w:t xml:space="preserve"> </w:t>
      </w:r>
      <w:r>
        <w:t xml:space="preserve">was identified to best describe the observed fraction of unchanged fluconazole that was renally excreted (see</w:t>
      </w:r>
      <w:r>
        <w:t xml:space="preserve"> </w:t>
      </w:r>
      <w:hyperlink w:anchor="X2a13133295efba879d59b4ecc1b6a15b8871330">
        <w:r>
          <w:rPr>
            <w:rStyle w:val="Hyperlink"/>
          </w:rPr>
          <w:t xml:space="preserve">Section 2.3.4</w:t>
        </w:r>
      </w:hyperlink>
      <w:r>
        <w:t xml:space="preserve">).</w:t>
      </w:r>
    </w:p>
    <w:bookmarkEnd w:id="27"/>
    <w:bookmarkStart w:id="28" w:name="automated-parameter-identification"/>
    <w:p>
      <w:pPr>
        <w:pStyle w:val="Heading3"/>
      </w:pPr>
      <w:r>
        <w:t xml:space="preserve">2.3.4 Automated Parameter Identification</w:t>
      </w:r>
    </w:p>
    <w:p>
      <w:pPr>
        <w:pStyle w:val="FirstParagraph"/>
      </w:pPr>
      <w:r>
        <w:t xml:space="preserve">This is the result of the final parameter identification for the intravenous model: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 Parameter</w:t>
            </w:r>
          </w:p>
        </w:tc>
        <w:tc>
          <w:tcPr/>
          <w:p>
            <w:pPr>
              <w:pStyle w:val="Compact"/>
              <w:jc w:val="left"/>
            </w:pPr>
            <w:r>
              <w:t xml:space="preserve">Optimized Value</w:t>
            </w:r>
          </w:p>
        </w:tc>
        <w:tc>
          <w:tcPr/>
          <w:p>
            <w:pPr>
              <w:pStyle w:val="Compact"/>
              <w:jc w:val="left"/>
            </w:pPr>
            <w:r>
              <w:t xml:space="preserve">Unit</w:t>
            </w:r>
          </w:p>
        </w:tc>
      </w:tr>
      <w:tr>
        <w:tc>
          <w:tcPr/>
          <w:p>
            <w:pPr>
              <w:pStyle w:val="Compact"/>
              <w:jc w:val="left"/>
            </w:pPr>
            <w:r>
              <w:rPr>
                <w:rStyle w:val="VerbatimChar"/>
              </w:rPr>
              <w:t xml:space="preserve">Lipophilicity</w:t>
            </w:r>
          </w:p>
        </w:tc>
        <w:tc>
          <w:tcPr/>
          <w:p>
            <w:pPr>
              <w:pStyle w:val="Compact"/>
              <w:jc w:val="left"/>
            </w:pPr>
            <w:r>
              <w:t xml:space="preserve">0.83</w:t>
            </w:r>
          </w:p>
        </w:tc>
        <w:tc>
          <w:tcPr/>
          <w:p>
            <w:pPr>
              <w:pStyle w:val="Compact"/>
              <w:jc w:val="left"/>
            </w:pPr>
            <w:r>
              <w:t xml:space="preserve">Log Units</w:t>
            </w:r>
          </w:p>
        </w:tc>
      </w:tr>
      <w:tr>
        <w:tc>
          <w:tcPr/>
          <w:p>
            <w:pPr>
              <w:pStyle w:val="Compact"/>
              <w:jc w:val="left"/>
            </w:pPr>
            <w:r>
              <w:rPr>
                <w:rStyle w:val="VerbatimChar"/>
              </w:rPr>
              <w:t xml:space="preserve">GFR fraction</w:t>
            </w:r>
          </w:p>
        </w:tc>
        <w:tc>
          <w:tcPr/>
          <w:p>
            <w:pPr>
              <w:pStyle w:val="Compact"/>
              <w:jc w:val="left"/>
            </w:pPr>
            <w:r>
              <w:t xml:space="preserve">0.14</w:t>
            </w:r>
          </w:p>
        </w:tc>
        <w:tc>
          <w:tcPr/>
          <w:p>
            <w:pPr>
              <w:pStyle w:val="Compact"/>
            </w:pPr>
          </w:p>
        </w:tc>
      </w:tr>
      <w:tr>
        <w:tc>
          <w:tcPr/>
          <w:p>
            <w:pPr>
              <w:pStyle w:val="Compact"/>
              <w:jc w:val="left"/>
            </w:pPr>
            <w:r>
              <w:rPr>
                <w:rStyle w:val="VerbatimChar"/>
              </w:rPr>
              <w:t xml:space="preserve">Specific clearance</w:t>
            </w:r>
            <w:r>
              <w:t xml:space="preserve"> </w:t>
            </w:r>
            <w:r>
              <w:t xml:space="preserve">(UGT2B7)</w:t>
            </w:r>
          </w:p>
        </w:tc>
        <w:tc>
          <w:tcPr/>
          <w:p>
            <w:pPr>
              <w:pStyle w:val="Compact"/>
              <w:jc w:val="left"/>
            </w:pPr>
            <w:r>
              <w:t xml:space="preserve">1.85E-3</w:t>
            </w:r>
          </w:p>
        </w:tc>
        <w:tc>
          <w:tcPr/>
          <w:p>
            <w:pPr>
              <w:pStyle w:val="Compact"/>
              <w:jc w:val="left"/>
            </w:pPr>
            <w:r>
              <w:t xml:space="preserve">1/min</w:t>
            </w:r>
          </w:p>
        </w:tc>
      </w:tr>
    </w:tbl>
    <w:p>
      <w:pPr>
        <w:pStyle w:val="BodyText"/>
      </w:pPr>
      <w:r>
        <w:t xml:space="preserve">This is the result of the final parameter identification for the dissolution parameters of a oral administered fluconazole:</w:t>
      </w:r>
    </w:p>
    <w:tbl>
      <w:tblPr>
        <w:tblStyle w:val="Table"/>
        <w:tblW w:type="pct" w:w="5000"/>
        <w:tblLook w:firstRow="1" w:lastRow="0" w:firstColumn="0" w:lastColumn="0" w:noHBand="0" w:noVBand="0" w:val="0020"/>
        <w:jc w:val="start"/>
      </w:tblPr>
      <w:tblGrid>
        <w:gridCol w:w="5770"/>
        <w:gridCol w:w="1697"/>
        <w:gridCol w:w="452"/>
      </w:tblGrid>
      <w:tr>
        <w:trPr>
          <w:tblHeader w:val="true"/>
        </w:trPr>
        <w:tc>
          <w:tcPr/>
          <w:p>
            <w:pPr>
              <w:pStyle w:val="Compact"/>
              <w:jc w:val="left"/>
            </w:pPr>
            <w:r>
              <w:t xml:space="preserve">Model Parameter</w:t>
            </w:r>
          </w:p>
        </w:tc>
        <w:tc>
          <w:tcPr/>
          <w:p>
            <w:pPr>
              <w:pStyle w:val="Compact"/>
              <w:jc w:val="left"/>
            </w:pPr>
            <w:r>
              <w:t xml:space="preserve">Optimized Value</w:t>
            </w:r>
          </w:p>
        </w:tc>
        <w:tc>
          <w:tcPr/>
          <w:p>
            <w:pPr>
              <w:pStyle w:val="Compact"/>
              <w:jc w:val="left"/>
            </w:pPr>
            <w:r>
              <w:t xml:space="preserve">Unit</w:t>
            </w:r>
          </w:p>
        </w:tc>
      </w:tr>
      <w:tr>
        <w:tc>
          <w:tcPr/>
          <w:p>
            <w:pPr>
              <w:pStyle w:val="Compact"/>
              <w:jc w:val="left"/>
            </w:pPr>
            <w:r>
              <w:rPr>
                <w:rStyle w:val="VerbatimChar"/>
              </w:rPr>
              <w:t xml:space="preserve">Dissolution time (50% dissolved) high dose</w:t>
            </w:r>
          </w:p>
        </w:tc>
        <w:tc>
          <w:tcPr/>
          <w:p>
            <w:pPr>
              <w:pStyle w:val="Compact"/>
              <w:jc w:val="left"/>
            </w:pPr>
            <w:r>
              <w:t xml:space="preserve">105.81</w:t>
            </w:r>
          </w:p>
        </w:tc>
        <w:tc>
          <w:tcPr/>
          <w:p>
            <w:pPr>
              <w:pStyle w:val="Compact"/>
              <w:jc w:val="left"/>
            </w:pPr>
            <w:r>
              <w:t xml:space="preserve">min</w:t>
            </w:r>
          </w:p>
        </w:tc>
      </w:tr>
      <w:tr>
        <w:tc>
          <w:tcPr/>
          <w:p>
            <w:pPr>
              <w:pStyle w:val="Compact"/>
              <w:jc w:val="left"/>
            </w:pPr>
            <w:r>
              <w:rPr>
                <w:rStyle w:val="VerbatimChar"/>
              </w:rPr>
              <w:t xml:space="preserve">Dissolution time (50% dissolved) medium high dose</w:t>
            </w:r>
          </w:p>
        </w:tc>
        <w:tc>
          <w:tcPr/>
          <w:p>
            <w:pPr>
              <w:pStyle w:val="Compact"/>
              <w:jc w:val="left"/>
            </w:pPr>
            <w:r>
              <w:t xml:space="preserve">75.14</w:t>
            </w:r>
          </w:p>
        </w:tc>
        <w:tc>
          <w:tcPr/>
          <w:p>
            <w:pPr>
              <w:pStyle w:val="Compact"/>
              <w:jc w:val="left"/>
            </w:pPr>
            <w:r>
              <w:t xml:space="preserve">min</w:t>
            </w:r>
          </w:p>
        </w:tc>
      </w:tr>
      <w:tr>
        <w:tc>
          <w:tcPr/>
          <w:p>
            <w:pPr>
              <w:pStyle w:val="Compact"/>
              <w:jc w:val="left"/>
            </w:pPr>
            <w:r>
              <w:rPr>
                <w:rStyle w:val="VerbatimChar"/>
              </w:rPr>
              <w:t xml:space="preserve">Dissolution time (50% dissolved) low dose</w:t>
            </w:r>
          </w:p>
        </w:tc>
        <w:tc>
          <w:tcPr/>
          <w:p>
            <w:pPr>
              <w:pStyle w:val="Compact"/>
              <w:jc w:val="left"/>
            </w:pPr>
            <w:r>
              <w:t xml:space="preserve">33.40</w:t>
            </w:r>
          </w:p>
        </w:tc>
        <w:tc>
          <w:tcPr/>
          <w:p>
            <w:pPr>
              <w:pStyle w:val="Compact"/>
              <w:jc w:val="left"/>
            </w:pPr>
            <w:r>
              <w:t xml:space="preserve">min</w:t>
            </w:r>
          </w:p>
        </w:tc>
      </w:tr>
      <w:tr>
        <w:tc>
          <w:tcPr/>
          <w:p>
            <w:pPr>
              <w:pStyle w:val="Compact"/>
              <w:jc w:val="left"/>
            </w:pPr>
            <w:r>
              <w:rPr>
                <w:rStyle w:val="VerbatimChar"/>
              </w:rPr>
              <w:t xml:space="preserve">Dissolution shape</w:t>
            </w:r>
          </w:p>
        </w:tc>
        <w:tc>
          <w:tcPr/>
          <w:p>
            <w:pPr>
              <w:pStyle w:val="Compact"/>
              <w:jc w:val="left"/>
            </w:pPr>
            <w:r>
              <w:t xml:space="preserve">2.14</w:t>
            </w:r>
          </w:p>
        </w:tc>
        <w:tc>
          <w:tcPr/>
          <w:p>
            <w:pPr>
              <w:pStyle w:val="Compact"/>
            </w:pPr>
          </w:p>
        </w:tc>
      </w:tr>
    </w:tbl>
    <w:bookmarkEnd w:id="28"/>
    <w:bookmarkEnd w:id="29"/>
    <w:bookmarkEnd w:id="30"/>
    <w:bookmarkStart w:id="124" w:name="results-and-discussion"/>
    <w:p>
      <w:pPr>
        <w:pStyle w:val="Heading1"/>
      </w:pPr>
      <w:r>
        <w:t xml:space="preserve">Results and Discussion</w:t>
      </w:r>
      <w:bookmarkStart w:id="results-and-discussion" w:name="results-and-discussion"/>
      <w:bookmarkEnd w:id="results-and-discussion"/>
    </w:p>
    <w:p>
      <w:pPr>
        <w:pStyle w:val="FirstParagraph"/>
      </w:pPr>
      <w:r>
        <w:t xml:space="preserve">The PBPK model for fluconazole was developed and verified with clinical pharmacokinetic data.</w:t>
      </w:r>
    </w:p>
    <w:p>
      <w:pPr>
        <w:pStyle w:val="BodyText"/>
      </w:pPr>
      <w:r>
        <w:t xml:space="preserve">The model was built and evaluated covering data from studies including in particular</w:t>
      </w:r>
    </w:p>
    <w:p>
      <w:pPr>
        <w:numPr>
          <w:ilvl w:val="0"/>
          <w:numId w:val="1003"/>
        </w:numPr>
        <w:pStyle w:val="Compact"/>
      </w:pPr>
      <w:r>
        <w:t xml:space="preserve">intravenous infusions and oral administrations (capsules).</w:t>
      </w:r>
    </w:p>
    <w:p>
      <w:pPr>
        <w:numPr>
          <w:ilvl w:val="0"/>
          <w:numId w:val="1003"/>
        </w:numPr>
        <w:pStyle w:val="Compact"/>
      </w:pPr>
      <w:r>
        <w:t xml:space="preserve">a dose range of 25 to 800 mg.</w:t>
      </w:r>
    </w:p>
    <w:p>
      <w:pPr>
        <w:pStyle w:val="FirstParagraph"/>
      </w:pPr>
      <w:r>
        <w:t xml:space="preserve">The model quantifies excretion via urine (glomerular filtration) and metabolism via UGT2B7.</w:t>
      </w:r>
    </w:p>
    <w:p>
      <w:pPr>
        <w:pStyle w:val="BodyText"/>
      </w:pPr>
      <w:r>
        <w:t xml:space="preserve">The next sections show:</w:t>
      </w:r>
    </w:p>
    <w:p>
      <w:pPr>
        <w:numPr>
          <w:ilvl w:val="0"/>
          <w:numId w:val="1004"/>
        </w:numPr>
        <w:pStyle w:val="Compact"/>
      </w:pPr>
      <w:r>
        <w:t xml:space="preserve">the final model input parameters for the building blocks:</w:t>
      </w:r>
      <w:r>
        <w:t xml:space="preserve"> </w:t>
      </w:r>
      <w:hyperlink w:anchor="X6fdd05934f3da09e1b949c701f93d906ed8bf3b">
        <w:r>
          <w:rPr>
            <w:rStyle w:val="Hyperlink"/>
          </w:rPr>
          <w:t xml:space="preserve">Section 3.1</w:t>
        </w:r>
      </w:hyperlink>
      <w:r>
        <w:t xml:space="preserve">.</w:t>
      </w:r>
    </w:p>
    <w:p>
      <w:pPr>
        <w:numPr>
          <w:ilvl w:val="0"/>
          <w:numId w:val="1004"/>
        </w:numPr>
        <w:pStyle w:val="Compact"/>
      </w:pPr>
      <w:r>
        <w:t xml:space="preserve">the overall goodness of fit:</w:t>
      </w:r>
      <w:r>
        <w:t xml:space="preserve"> </w:t>
      </w:r>
      <w:hyperlink w:anchor="Xdf7a1c02914a9db92b525fff462a883d3b1e033">
        <w:r>
          <w:rPr>
            <w:rStyle w:val="Hyperlink"/>
          </w:rPr>
          <w:t xml:space="preserve">Section 3.2</w:t>
        </w:r>
      </w:hyperlink>
      <w:r>
        <w:t xml:space="preserve">.</w:t>
      </w:r>
    </w:p>
    <w:p>
      <w:pPr>
        <w:numPr>
          <w:ilvl w:val="0"/>
          <w:numId w:val="1004"/>
        </w:numPr>
        <w:pStyle w:val="Compact"/>
      </w:pPr>
      <w:r>
        <w:t xml:space="preserve">simulated vs. observed concentration-time profiles for the clinical studies used for model building and for model verification:</w:t>
      </w:r>
      <w:r>
        <w:t xml:space="preserve"> </w:t>
      </w:r>
      <w:hyperlink w:anchor="Xdc8b4cf40574b5c39801a4fb59aa003db333782">
        <w:r>
          <w:rPr>
            <w:rStyle w:val="Hyperlink"/>
          </w:rPr>
          <w:t xml:space="preserve">Section 3.3</w:t>
        </w:r>
      </w:hyperlink>
      <w:r>
        <w:t xml:space="preserve">.</w:t>
      </w:r>
    </w:p>
    <w:bookmarkStart w:id="47" w:name="fluconazole-final-input-parameters"/>
    <w:p>
      <w:pPr>
        <w:pStyle w:val="Heading2"/>
      </w:pPr>
      <w:r>
        <w:t xml:space="preserve">Fluconazole final input parameters</w:t>
      </w:r>
      <w:bookmarkStart w:id="fluconazole-final-input-parameters" w:name="fluconazole-final-input-parameters"/>
      <w:bookmarkEnd w:id="fluconazole-final-input-parameters"/>
    </w:p>
    <w:p>
      <w:pPr>
        <w:pStyle w:val="FirstParagraph"/>
      </w:pPr>
      <w:r>
        <w:t xml:space="preserve">The compound parameter values of the final PBPK model are illustrated below.</w:t>
      </w:r>
    </w:p>
    <w:bookmarkStart w:id="40" w:name="compound-fluconazole"/>
    <w:p>
      <w:pPr>
        <w:pStyle w:val="Heading3"/>
      </w:pPr>
      <w:r>
        <w:t xml:space="preserve">Compound: Fluconazole</w:t>
      </w:r>
    </w:p>
    <w:bookmarkStart w:id="31" w:name="parameters"/>
    <w:p>
      <w:pPr>
        <w:pStyle w:val="Heading4"/>
      </w:pPr>
      <w:r>
        <w:t xml:space="preserve">Parameters</w:t>
      </w:r>
    </w:p>
    <w:tbl>
      <w:tblPr>
        <w:tblStyle w:val="Table"/>
        <w:tblW w:type="pct" w:w="5000"/>
        <w:tblLook w:firstRow="1" w:lastRow="0" w:firstColumn="0" w:lastColumn="0" w:noHBand="0" w:noVBand="0" w:val="0020"/>
        <w:jc w:val="start"/>
      </w:tblPr>
      <w:tblGrid>
        <w:gridCol w:w="1526"/>
        <w:gridCol w:w="699"/>
        <w:gridCol w:w="3721"/>
        <w:gridCol w:w="1749"/>
        <w:gridCol w:w="22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at reference pH</w:t>
            </w:r>
          </w:p>
        </w:tc>
        <w:tc>
          <w:tcPr/>
          <w:p>
            <w:pPr>
              <w:pStyle w:val="Compact"/>
              <w:jc w:val="left"/>
            </w:pPr>
            <w:r>
              <w:t xml:space="preserve">6.9 mg/ml</w:t>
            </w:r>
          </w:p>
        </w:tc>
        <w:tc>
          <w:tcPr/>
          <w:p>
            <w:pPr>
              <w:pStyle w:val="Compact"/>
            </w:pPr>
          </w:p>
        </w:tc>
        <w:tc>
          <w:tcPr/>
          <w:p>
            <w:pPr>
              <w:pStyle w:val="Compact"/>
              <w:jc w:val="left"/>
            </w:pPr>
            <w:r>
              <w:t xml:space="preserve">Measurement_Solubility_Charoo2014</w:t>
            </w:r>
          </w:p>
        </w:tc>
        <w:tc>
          <w:tcPr/>
          <w:p>
            <w:pPr>
              <w:pStyle w:val="Compact"/>
              <w:jc w:val="left"/>
            </w:pPr>
            <w:r>
              <w:t xml:space="preserve">True</w:t>
            </w:r>
          </w:p>
        </w:tc>
      </w:tr>
      <w:tr>
        <w:tc>
          <w:tcPr/>
          <w:p>
            <w:pPr>
              <w:pStyle w:val="Compact"/>
              <w:jc w:val="left"/>
            </w:pPr>
            <w:r>
              <w:t xml:space="preserve">Reference pH</w:t>
            </w:r>
          </w:p>
        </w:tc>
        <w:tc>
          <w:tcPr/>
          <w:p>
            <w:pPr>
              <w:pStyle w:val="Compact"/>
              <w:jc w:val="left"/>
            </w:pPr>
            <w:r>
              <w:t xml:space="preserve">7</w:t>
            </w:r>
          </w:p>
        </w:tc>
        <w:tc>
          <w:tcPr/>
          <w:p>
            <w:pPr>
              <w:pStyle w:val="Compact"/>
            </w:pPr>
          </w:p>
        </w:tc>
        <w:tc>
          <w:tcPr/>
          <w:p>
            <w:pPr>
              <w:pStyle w:val="Compact"/>
              <w:jc w:val="left"/>
            </w:pPr>
            <w:r>
              <w:t xml:space="preserve">Measurement_Solubility_Charoo2014</w:t>
            </w:r>
          </w:p>
        </w:tc>
        <w:tc>
          <w:tcPr/>
          <w:p>
            <w:pPr>
              <w:pStyle w:val="Compact"/>
              <w:jc w:val="left"/>
            </w:pPr>
            <w:r>
              <w:t xml:space="preserve">True</w:t>
            </w:r>
          </w:p>
        </w:tc>
      </w:tr>
      <w:tr>
        <w:tc>
          <w:tcPr/>
          <w:p>
            <w:pPr>
              <w:pStyle w:val="Compact"/>
              <w:jc w:val="left"/>
            </w:pPr>
            <w:r>
              <w:t xml:space="preserve">Lipophilicity</w:t>
            </w:r>
          </w:p>
        </w:tc>
        <w:tc>
          <w:tcPr/>
          <w:p>
            <w:pPr>
              <w:pStyle w:val="Compact"/>
              <w:jc w:val="left"/>
            </w:pPr>
            <w:r>
              <w:t xml:space="preserve">0.8302390226 Log Units</w:t>
            </w:r>
          </w:p>
        </w:tc>
        <w:tc>
          <w:tcPr/>
          <w:p>
            <w:pPr>
              <w:pStyle w:val="Compact"/>
              <w:jc w:val="left"/>
            </w:pPr>
            <w:r>
              <w:t xml:space="preserve">Parameter Identification-Parameter Identification-Value updated from</w:t>
            </w:r>
            <w:r>
              <w:t xml:space="preserve"> </w:t>
            </w:r>
            <w:r>
              <w:t xml:space="preserve">‘</w:t>
            </w:r>
            <w:r>
              <w:t xml:space="preserve">Parameter Identification 1</w:t>
            </w:r>
            <w:r>
              <w:t xml:space="preserve">’</w:t>
            </w:r>
            <w:r>
              <w:t xml:space="preserve"> </w:t>
            </w:r>
            <w:r>
              <w:t xml:space="preserve">on 2021-07-13 15:29</w:t>
            </w:r>
          </w:p>
        </w:tc>
        <w:tc>
          <w:tcPr/>
          <w:p>
            <w:pPr>
              <w:pStyle w:val="Compact"/>
              <w:jc w:val="left"/>
            </w:pPr>
            <w:r>
              <w:t xml:space="preserve">Optimized_Lipophilicity</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89 %</w:t>
            </w:r>
          </w:p>
        </w:tc>
        <w:tc>
          <w:tcPr/>
          <w:p>
            <w:pPr>
              <w:pStyle w:val="Compact"/>
            </w:pPr>
          </w:p>
        </w:tc>
        <w:tc>
          <w:tcPr/>
          <w:p>
            <w:pPr>
              <w:pStyle w:val="Compact"/>
              <w:jc w:val="left"/>
            </w:pPr>
            <w:r>
              <w:t xml:space="preserve">Measurement_Fraction_Unbound_Pfizer</w:t>
            </w:r>
          </w:p>
        </w:tc>
        <w:tc>
          <w:tcPr/>
          <w:p>
            <w:pPr>
              <w:pStyle w:val="Compact"/>
              <w:jc w:val="left"/>
            </w:pPr>
            <w:r>
              <w:t xml:space="preserve">True</w:t>
            </w:r>
          </w:p>
        </w:tc>
      </w:tr>
      <w:tr>
        <w:tc>
          <w:tcPr/>
          <w:p>
            <w:pPr>
              <w:pStyle w:val="Compact"/>
              <w:jc w:val="left"/>
            </w:pPr>
            <w:r>
              <w:t xml:space="preserve">Specific intestinal permeability (transcellular)</w:t>
            </w:r>
          </w:p>
        </w:tc>
        <w:tc>
          <w:tcPr/>
          <w:p>
            <w:pPr>
              <w:pStyle w:val="Compact"/>
              <w:jc w:val="left"/>
            </w:pPr>
            <w:r>
              <w:t xml:space="preserve">0.000213 cm/s</w:t>
            </w:r>
          </w:p>
        </w:tc>
        <w:tc>
          <w:tcPr/>
          <w:p>
            <w:pPr>
              <w:pStyle w:val="Compact"/>
            </w:pPr>
          </w:p>
        </w:tc>
        <w:tc>
          <w:tcPr/>
          <w:p>
            <w:pPr>
              <w:pStyle w:val="Compact"/>
              <w:jc w:val="left"/>
            </w:pPr>
            <w:r>
              <w:t xml:space="preserve">Measurement_Specific_Intestinal_Permeability_GastroPlus</w:t>
            </w:r>
          </w:p>
        </w:tc>
        <w:tc>
          <w:tcPr/>
          <w:p>
            <w:pPr>
              <w:pStyle w:val="Compact"/>
              <w:jc w:val="left"/>
            </w:pPr>
            <w:r>
              <w:t xml:space="preserve">True</w:t>
            </w:r>
          </w:p>
        </w:tc>
      </w:tr>
      <w:tr>
        <w:tc>
          <w:tcPr/>
          <w:p>
            <w:pPr>
              <w:pStyle w:val="Compact"/>
              <w:jc w:val="left"/>
            </w:pPr>
            <w:r>
              <w:t xml:space="preserve">F</w:t>
            </w:r>
          </w:p>
        </w:tc>
        <w:tc>
          <w:tcPr/>
          <w:p>
            <w:pPr>
              <w:pStyle w:val="Compact"/>
              <w:jc w:val="left"/>
            </w:pPr>
            <w:r>
              <w:t xml:space="preserve">2</w:t>
            </w:r>
          </w:p>
        </w:tc>
        <w:tc>
          <w:tcPr/>
          <w:p>
            <w:pPr>
              <w:pStyle w:val="Compact"/>
            </w:pPr>
          </w:p>
        </w:tc>
        <w:tc>
          <w:tcPr/>
          <w:p>
            <w:pPr>
              <w:pStyle w:val="Compact"/>
            </w:pPr>
          </w:p>
        </w:tc>
        <w:tc>
          <w:tcPr/>
          <w:p>
            <w:pPr>
              <w:pStyle w:val="Compact"/>
            </w:pP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306.328 g/mol</w:t>
            </w:r>
          </w:p>
        </w:tc>
        <w:tc>
          <w:tcPr/>
          <w:p>
            <w:pPr>
              <w:pStyle w:val="Compact"/>
            </w:pP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α1-acid glycoprotein</w:t>
            </w:r>
          </w:p>
        </w:tc>
        <w:tc>
          <w:tcPr/>
          <w:p>
            <w:pPr>
              <w:pStyle w:val="Compact"/>
            </w:pPr>
          </w:p>
        </w:tc>
        <w:tc>
          <w:tcPr/>
          <w:p>
            <w:pPr>
              <w:pStyle w:val="Compact"/>
            </w:pPr>
          </w:p>
        </w:tc>
        <w:tc>
          <w:tcPr/>
          <w:p>
            <w:pPr>
              <w:pStyle w:val="Compact"/>
            </w:pPr>
          </w:p>
        </w:tc>
      </w:tr>
    </w:tbl>
    <w:bookmarkEnd w:id="31"/>
    <w:bookmarkStart w:id="32" w:name="calculation-methods"/>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Rodgers and Rowland</w:t>
            </w:r>
          </w:p>
        </w:tc>
      </w:tr>
      <w:tr>
        <w:tc>
          <w:tcPr/>
          <w:p>
            <w:pPr>
              <w:pStyle w:val="Compact"/>
              <w:jc w:val="left"/>
            </w:pPr>
            <w:r>
              <w:t xml:space="preserve">Cellular permeabilities</w:t>
            </w:r>
          </w:p>
        </w:tc>
        <w:tc>
          <w:tcPr/>
          <w:p>
            <w:pPr>
              <w:pStyle w:val="Compact"/>
              <w:jc w:val="left"/>
            </w:pPr>
            <w:r>
              <w:t xml:space="preserve">PK-Sim Standard</w:t>
            </w:r>
          </w:p>
        </w:tc>
      </w:tr>
    </w:tbl>
    <w:bookmarkEnd w:id="32"/>
    <w:bookmarkStart w:id="39" w:name="processes"/>
    <w:p>
      <w:pPr>
        <w:pStyle w:val="Heading4"/>
      </w:pPr>
      <w:r>
        <w:t xml:space="preserve">Processes</w:t>
      </w:r>
    </w:p>
    <w:bookmarkStart w:id="34" w:name="metabolizing-enzyme-ugt2b7-watt2018"/>
    <w:p>
      <w:pPr>
        <w:pStyle w:val="Heading5"/>
      </w:pPr>
      <w:r>
        <w:t xml:space="preserve">Metabolizing Enzyme: UGT2B7-Watt2018</w:t>
      </w:r>
    </w:p>
    <w:p>
      <w:pPr>
        <w:pStyle w:val="FirstParagraph"/>
      </w:pPr>
      <w:r>
        <w:t xml:space="preserve">Species: Human</w:t>
      </w:r>
    </w:p>
    <w:p>
      <w:pPr>
        <w:pStyle w:val="BodyText"/>
      </w:pPr>
      <w:r>
        <w:t xml:space="preserve">Molecule: UGT2B7</w:t>
      </w:r>
    </w:p>
    <w:bookmarkStart w:id="33" w:name="parameters-1"/>
    <w:p>
      <w:pPr>
        <w:pStyle w:val="Heading6"/>
      </w:pPr>
      <w:r>
        <w:t xml:space="preserve">Parameters</w:t>
      </w:r>
    </w:p>
    <w:tbl>
      <w:tblPr>
        <w:tblStyle w:val="Table"/>
        <w:tblW w:type="pct" w:w="5000"/>
        <w:tblLook w:firstRow="1" w:lastRow="0" w:firstColumn="0" w:lastColumn="0" w:noHBand="0" w:noVBand="0" w:val="0020"/>
        <w:jc w:val="start"/>
      </w:tblPr>
      <w:tblGrid>
        <w:gridCol w:w="958"/>
        <w:gridCol w:w="1059"/>
        <w:gridCol w:w="590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Intrinsic clearance</w:t>
            </w:r>
          </w:p>
        </w:tc>
        <w:tc>
          <w:tcPr/>
          <w:p>
            <w:pPr>
              <w:pStyle w:val="Compact"/>
              <w:jc w:val="left"/>
            </w:pPr>
            <w:r>
              <w:t xml:space="preserve">0.008 l/min</w:t>
            </w:r>
          </w:p>
        </w:tc>
        <w:tc>
          <w:tcPr/>
          <w:p>
            <w:pPr>
              <w:pStyle w:val="Compact"/>
            </w:pPr>
          </w:p>
        </w:tc>
      </w:tr>
      <w:tr>
        <w:tc>
          <w:tcPr/>
          <w:p>
            <w:pPr>
              <w:pStyle w:val="Compact"/>
              <w:jc w:val="left"/>
            </w:pPr>
            <w:r>
              <w:t xml:space="preserve">Specific clearance</w:t>
            </w:r>
          </w:p>
        </w:tc>
        <w:tc>
          <w:tcPr/>
          <w:p>
            <w:pPr>
              <w:pStyle w:val="Compact"/>
              <w:jc w:val="left"/>
            </w:pPr>
            <w:r>
              <w:t xml:space="preserve">0.0018460294654 1/min</w:t>
            </w:r>
          </w:p>
        </w:tc>
        <w:tc>
          <w:tcPr/>
          <w:p>
            <w:pPr>
              <w:pStyle w:val="Compact"/>
              <w:jc w:val="left"/>
            </w:pPr>
            <w:r>
              <w:t xml:space="preserve">Parameter Identification-Parameter Identification-Value updated from</w:t>
            </w:r>
            <w:r>
              <w:t xml:space="preserve"> </w:t>
            </w:r>
            <w:r>
              <w:t xml:space="preserve">‘</w:t>
            </w:r>
            <w:r>
              <w:t xml:space="preserve">Parameter Identification 1</w:t>
            </w:r>
            <w:r>
              <w:t xml:space="preserve">’</w:t>
            </w:r>
            <w:r>
              <w:t xml:space="preserve"> </w:t>
            </w:r>
            <w:r>
              <w:t xml:space="preserve">on 2021-07-13 15:29</w:t>
            </w:r>
          </w:p>
        </w:tc>
      </w:tr>
    </w:tbl>
    <w:bookmarkEnd w:id="33"/>
    <w:bookmarkEnd w:id="34"/>
    <w:bookmarkStart w:id="36" w:name="X92f166839b80248ba92aec13e23e44900782178"/>
    <w:p>
      <w:pPr>
        <w:pStyle w:val="Heading5"/>
      </w:pPr>
      <w:r>
        <w:t xml:space="preserve">Systemic Process: Glomerular Filtration-Watt2018</w:t>
      </w:r>
    </w:p>
    <w:p>
      <w:pPr>
        <w:pStyle w:val="FirstParagraph"/>
      </w:pPr>
      <w:r>
        <w:t xml:space="preserve">Species: Human</w:t>
      </w:r>
    </w:p>
    <w:bookmarkStart w:id="35" w:name="parameters-2"/>
    <w:p>
      <w:pPr>
        <w:pStyle w:val="Heading6"/>
      </w:pPr>
      <w:r>
        <w:t xml:space="preserve">Parameters</w:t>
      </w:r>
    </w:p>
    <w:tbl>
      <w:tblPr>
        <w:tblStyle w:val="Table"/>
        <w:tblW w:type="pct" w:w="5000"/>
        <w:tblLook w:firstRow="1" w:lastRow="0" w:firstColumn="0" w:lastColumn="0" w:noHBand="0" w:noVBand="0" w:val="0020"/>
        <w:jc w:val="start"/>
      </w:tblPr>
      <w:tblGrid>
        <w:gridCol w:w="669"/>
        <w:gridCol w:w="725"/>
        <w:gridCol w:w="6525"/>
      </w:tblGrid>
      <w:tr>
        <w:trPr>
          <w:tblHeader w:val="true"/>
        </w:trPr>
        <w:tc>
          <w:tcPr/>
          <w:p>
            <w:pPr>
              <w:pStyle w:val="Compact"/>
              <w:jc w:val="left"/>
            </w:pPr>
            <w:r>
              <w:t xml:space="preserve">Name</w:t>
            </w:r>
          </w:p>
        </w:tc>
        <w:tc>
          <w:tcPr/>
          <w:p>
            <w:pPr>
              <w:pStyle w:val="Compact"/>
              <w:jc w:val="right"/>
            </w:pPr>
            <w:r>
              <w:t xml:space="preserve">Value</w:t>
            </w:r>
          </w:p>
        </w:tc>
        <w:tc>
          <w:tcPr/>
          <w:p>
            <w:pPr>
              <w:pStyle w:val="Compact"/>
              <w:jc w:val="left"/>
            </w:pPr>
            <w:r>
              <w:t xml:space="preserve">Value Origin</w:t>
            </w:r>
          </w:p>
        </w:tc>
      </w:tr>
      <w:tr>
        <w:tc>
          <w:tcPr/>
          <w:p>
            <w:pPr>
              <w:pStyle w:val="Compact"/>
              <w:jc w:val="left"/>
            </w:pPr>
            <w:r>
              <w:t xml:space="preserve">GFR fraction</w:t>
            </w:r>
          </w:p>
        </w:tc>
        <w:tc>
          <w:tcPr/>
          <w:p>
            <w:pPr>
              <w:pStyle w:val="Compact"/>
              <w:jc w:val="right"/>
            </w:pPr>
            <w:r>
              <w:t xml:space="preserve">0.1433240785</w:t>
            </w:r>
          </w:p>
        </w:tc>
        <w:tc>
          <w:tcPr/>
          <w:p>
            <w:pPr>
              <w:pStyle w:val="Compact"/>
              <w:jc w:val="left"/>
            </w:pPr>
            <w:r>
              <w:t xml:space="preserve">Parameter Identification-Parameter Identification-Value updated from</w:t>
            </w:r>
            <w:r>
              <w:t xml:space="preserve"> </w:t>
            </w:r>
            <w:r>
              <w:t xml:space="preserve">‘</w:t>
            </w:r>
            <w:r>
              <w:t xml:space="preserve">Parameter Identification 1</w:t>
            </w:r>
            <w:r>
              <w:t xml:space="preserve">’</w:t>
            </w:r>
            <w:r>
              <w:t xml:space="preserve"> </w:t>
            </w:r>
            <w:r>
              <w:t xml:space="preserve">on 2021-07-13 15:29</w:t>
            </w:r>
          </w:p>
        </w:tc>
      </w:tr>
    </w:tbl>
    <w:bookmarkEnd w:id="35"/>
    <w:bookmarkEnd w:id="36"/>
    <w:bookmarkStart w:id="38" w:name="inhibition-cyp3a4-sakaeda2005"/>
    <w:p>
      <w:pPr>
        <w:pStyle w:val="Heading5"/>
      </w:pPr>
      <w:r>
        <w:t xml:space="preserve">Inhibition: CYP3A4-Sakaeda2005</w:t>
      </w:r>
    </w:p>
    <w:p>
      <w:pPr>
        <w:pStyle w:val="FirstParagraph"/>
      </w:pPr>
      <w:r>
        <w:t xml:space="preserve">Molecule: CYP3A4</w:t>
      </w:r>
    </w:p>
    <w:bookmarkStart w:id="37" w:name="parameters-3"/>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right"/>
            </w:pPr>
            <w:r>
              <w:t xml:space="preserve">Value Origin</w:t>
            </w:r>
          </w:p>
        </w:tc>
      </w:tr>
      <w:tr>
        <w:tc>
          <w:tcPr/>
          <w:p>
            <w:pPr>
              <w:pStyle w:val="Compact"/>
              <w:jc w:val="left"/>
            </w:pPr>
            <w:r>
              <w:t xml:space="preserve">Ki</w:t>
            </w:r>
          </w:p>
        </w:tc>
        <w:tc>
          <w:tcPr/>
          <w:p>
            <w:pPr>
              <w:pStyle w:val="Compact"/>
              <w:jc w:val="left"/>
            </w:pPr>
            <w:r>
              <w:t xml:space="preserve">13.1 µmol/l</w:t>
            </w:r>
          </w:p>
        </w:tc>
        <w:tc>
          <w:tcPr/>
          <w:p>
            <w:pPr>
              <w:pStyle w:val="Compact"/>
            </w:pPr>
          </w:p>
        </w:tc>
      </w:tr>
    </w:tbl>
    <w:bookmarkEnd w:id="37"/>
    <w:bookmarkEnd w:id="38"/>
    <w:bookmarkEnd w:id="39"/>
    <w:bookmarkEnd w:id="40"/>
    <w:bookmarkStart w:id="42" w:name="X5077f1a6f6293374c2ea76d7181e4ebbed5a272"/>
    <w:p>
      <w:pPr>
        <w:pStyle w:val="Heading3"/>
      </w:pPr>
      <w:r>
        <w:t xml:space="preserve">Formulation: Fluconazole_Weibull_high dose</w:t>
      </w:r>
    </w:p>
    <w:p>
      <w:pPr>
        <w:pStyle w:val="FirstParagraph"/>
      </w:pPr>
      <w:r>
        <w:t xml:space="preserve">Type: Weibull</w:t>
      </w:r>
    </w:p>
    <w:bookmarkStart w:id="41" w:name="parameters-4"/>
    <w:p>
      <w:pPr>
        <w:pStyle w:val="Heading4"/>
      </w:pPr>
      <w:r>
        <w:t xml:space="preserve">Parameters</w:t>
      </w:r>
    </w:p>
    <w:tbl>
      <w:tblPr>
        <w:tblStyle w:val="Table"/>
        <w:tblW w:type="pct" w:w="5000"/>
        <w:tblLook w:firstRow="1" w:lastRow="0" w:firstColumn="0" w:lastColumn="0" w:noHBand="0" w:noVBand="0" w:val="0020"/>
        <w:jc w:val="start"/>
      </w:tblPr>
      <w:tblGrid>
        <w:gridCol w:w="1517"/>
        <w:gridCol w:w="853"/>
        <w:gridCol w:w="5548"/>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105.8071997888 min</w:t>
            </w:r>
          </w:p>
        </w:tc>
        <w:tc>
          <w:tcPr/>
          <w:p>
            <w:pPr>
              <w:pStyle w:val="Compact"/>
              <w:jc w:val="left"/>
            </w:pPr>
            <w:r>
              <w:t xml:space="preserve">Parameter Identification-Parameter Identification-Value updated from</w:t>
            </w:r>
            <w:r>
              <w:t xml:space="preserve"> </w:t>
            </w:r>
            <w:r>
              <w:t xml:space="preserve">‘</w:t>
            </w:r>
            <w:r>
              <w:t xml:space="preserve">Parameter Identification 2</w:t>
            </w:r>
            <w:r>
              <w:t xml:space="preserve">’</w:t>
            </w:r>
            <w:r>
              <w:t xml:space="preserve"> </w:t>
            </w:r>
            <w:r>
              <w:t xml:space="preserve">on 2021-07-13 18:01</w:t>
            </w: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2.1410681544</w:t>
            </w:r>
          </w:p>
        </w:tc>
        <w:tc>
          <w:tcPr/>
          <w:p>
            <w:pPr>
              <w:pStyle w:val="Compact"/>
              <w:jc w:val="left"/>
            </w:pPr>
            <w:r>
              <w:t xml:space="preserve">Parameter Identification-Parameter Identification-Value updated from</w:t>
            </w:r>
            <w:r>
              <w:t xml:space="preserve"> </w:t>
            </w:r>
            <w:r>
              <w:t xml:space="preserve">‘</w:t>
            </w:r>
            <w:r>
              <w:t xml:space="preserve">Parameter Identification 2</w:t>
            </w:r>
            <w:r>
              <w:t xml:space="preserve">’</w:t>
            </w:r>
            <w:r>
              <w:t xml:space="preserve"> </w:t>
            </w:r>
            <w:r>
              <w:t xml:space="preserve">on 2021-07-13 18:01</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41"/>
    <w:bookmarkEnd w:id="42"/>
    <w:bookmarkStart w:id="44" w:name="formulation-fluconazole_weibull_low-dose"/>
    <w:p>
      <w:pPr>
        <w:pStyle w:val="Heading3"/>
      </w:pPr>
      <w:r>
        <w:t xml:space="preserve">Formulation: Fluconazole_Weibull_low dose</w:t>
      </w:r>
    </w:p>
    <w:p>
      <w:pPr>
        <w:pStyle w:val="FirstParagraph"/>
      </w:pPr>
      <w:r>
        <w:t xml:space="preserve">Type: Weibull</w:t>
      </w:r>
    </w:p>
    <w:bookmarkStart w:id="43" w:name="parameters-5"/>
    <w:p>
      <w:pPr>
        <w:pStyle w:val="Heading4"/>
      </w:pPr>
      <w:r>
        <w:t xml:space="preserve">Parameters</w:t>
      </w:r>
    </w:p>
    <w:tbl>
      <w:tblPr>
        <w:tblStyle w:val="Table"/>
        <w:tblW w:type="pct" w:w="5000"/>
        <w:tblLook w:firstRow="1" w:lastRow="0" w:firstColumn="0" w:lastColumn="0" w:noHBand="0" w:noVBand="0" w:val="0020"/>
        <w:jc w:val="start"/>
      </w:tblPr>
      <w:tblGrid>
        <w:gridCol w:w="1526"/>
        <w:gridCol w:w="811"/>
        <w:gridCol w:w="558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33.3965005792 min</w:t>
            </w:r>
          </w:p>
        </w:tc>
        <w:tc>
          <w:tcPr/>
          <w:p>
            <w:pPr>
              <w:pStyle w:val="Compact"/>
              <w:jc w:val="left"/>
            </w:pPr>
            <w:r>
              <w:t xml:space="preserve">Parameter Identification-Parameter Identification-Value updated from</w:t>
            </w:r>
            <w:r>
              <w:t xml:space="preserve"> </w:t>
            </w:r>
            <w:r>
              <w:t xml:space="preserve">‘</w:t>
            </w:r>
            <w:r>
              <w:t xml:space="preserve">Parameter Identification 2</w:t>
            </w:r>
            <w:r>
              <w:t xml:space="preserve">’</w:t>
            </w:r>
            <w:r>
              <w:t xml:space="preserve"> </w:t>
            </w:r>
            <w:r>
              <w:t xml:space="preserve">on 2021-07-13 18:01</w:t>
            </w: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2.1410681544</w:t>
            </w:r>
          </w:p>
        </w:tc>
        <w:tc>
          <w:tcPr/>
          <w:p>
            <w:pPr>
              <w:pStyle w:val="Compact"/>
              <w:jc w:val="left"/>
            </w:pPr>
            <w:r>
              <w:t xml:space="preserve">Parameter Identification-Parameter Identification-Value updated from</w:t>
            </w:r>
            <w:r>
              <w:t xml:space="preserve"> </w:t>
            </w:r>
            <w:r>
              <w:t xml:space="preserve">‘</w:t>
            </w:r>
            <w:r>
              <w:t xml:space="preserve">Parameter Identification 2</w:t>
            </w:r>
            <w:r>
              <w:t xml:space="preserve">’</w:t>
            </w:r>
            <w:r>
              <w:t xml:space="preserve"> </w:t>
            </w:r>
            <w:r>
              <w:t xml:space="preserve">on 2021-07-13 18:01</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43"/>
    <w:bookmarkEnd w:id="44"/>
    <w:bookmarkStart w:id="46" w:name="X1ab18bf1e87741eb84f0992ccdbdf33273b40a0"/>
    <w:p>
      <w:pPr>
        <w:pStyle w:val="Heading3"/>
      </w:pPr>
      <w:r>
        <w:t xml:space="preserve">Formulation: Fluconazole_Weibull_medium high dose</w:t>
      </w:r>
    </w:p>
    <w:p>
      <w:pPr>
        <w:pStyle w:val="FirstParagraph"/>
      </w:pPr>
      <w:r>
        <w:t xml:space="preserve">Type: Weibull</w:t>
      </w:r>
    </w:p>
    <w:bookmarkStart w:id="45" w:name="parameters-6"/>
    <w:p>
      <w:pPr>
        <w:pStyle w:val="Heading4"/>
      </w:pPr>
      <w:r>
        <w:t xml:space="preserve">Parameters</w:t>
      </w:r>
    </w:p>
    <w:tbl>
      <w:tblPr>
        <w:tblStyle w:val="Table"/>
        <w:tblW w:type="pct" w:w="5000"/>
        <w:tblLook w:firstRow="1" w:lastRow="0" w:firstColumn="0" w:lastColumn="0" w:noHBand="0" w:noVBand="0" w:val="0020"/>
        <w:jc w:val="start"/>
      </w:tblPr>
      <w:tblGrid>
        <w:gridCol w:w="1526"/>
        <w:gridCol w:w="811"/>
        <w:gridCol w:w="558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75.1395611322 min</w:t>
            </w:r>
          </w:p>
        </w:tc>
        <w:tc>
          <w:tcPr/>
          <w:p>
            <w:pPr>
              <w:pStyle w:val="Compact"/>
              <w:jc w:val="left"/>
            </w:pPr>
            <w:r>
              <w:t xml:space="preserve">Parameter Identification-Parameter Identification-Value updated from</w:t>
            </w:r>
            <w:r>
              <w:t xml:space="preserve"> </w:t>
            </w:r>
            <w:r>
              <w:t xml:space="preserve">‘</w:t>
            </w:r>
            <w:r>
              <w:t xml:space="preserve">Parameter Identification 2</w:t>
            </w:r>
            <w:r>
              <w:t xml:space="preserve">’</w:t>
            </w:r>
            <w:r>
              <w:t xml:space="preserve"> </w:t>
            </w:r>
            <w:r>
              <w:t xml:space="preserve">on 2021-07-13 18:01</w:t>
            </w: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2.1410681544</w:t>
            </w:r>
          </w:p>
        </w:tc>
        <w:tc>
          <w:tcPr/>
          <w:p>
            <w:pPr>
              <w:pStyle w:val="Compact"/>
              <w:jc w:val="left"/>
            </w:pPr>
            <w:r>
              <w:t xml:space="preserve">Parameter Identification-Parameter Identification-Value updated from</w:t>
            </w:r>
            <w:r>
              <w:t xml:space="preserve"> </w:t>
            </w:r>
            <w:r>
              <w:t xml:space="preserve">‘</w:t>
            </w:r>
            <w:r>
              <w:t xml:space="preserve">Parameter Identification 2</w:t>
            </w:r>
            <w:r>
              <w:t xml:space="preserve">’</w:t>
            </w:r>
            <w:r>
              <w:t xml:space="preserve"> </w:t>
            </w:r>
            <w:r>
              <w:t xml:space="preserve">on 2021-07-13 18:01</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45"/>
    <w:bookmarkEnd w:id="46"/>
    <w:bookmarkEnd w:id="47"/>
    <w:bookmarkStart w:id="54" w:name="fluconazole-diagnostics-plots"/>
    <w:p>
      <w:pPr>
        <w:pStyle w:val="Heading2"/>
      </w:pPr>
      <w:r>
        <w:t xml:space="preserve">Fluconazole Diagnostics Plots</w:t>
      </w:r>
      <w:bookmarkStart w:id="fluconazole-diagnostics-plots" w:name="fluconazole-diagnostics-plots"/>
      <w:bookmarkEnd w:id="fluconazole-diagnostics-plots"/>
    </w:p>
    <w:p>
      <w:pPr>
        <w:pStyle w:val="FirstParagraph"/>
      </w:pPr>
      <w:r>
        <w:t xml:space="preserve">Below you find the goodness-of-fit visual diagnostic plots for the PBPK model performance of all data used presented in</w:t>
      </w:r>
      <w:r>
        <w:t xml:space="preserve"> </w:t>
      </w:r>
      <w:hyperlink w:anchor="X7ecbd1fd734a207de60ff9705c88346a68b0398">
        <w:r>
          <w:rPr>
            <w:rStyle w:val="Hyperlink"/>
          </w:rPr>
          <w:t xml:space="preserve">Section 2.2.2</w:t>
        </w:r>
      </w:hyperlink>
      <w:r>
        <w:t xml:space="preserve">.</w:t>
      </w:r>
    </w:p>
    <w:p>
      <w:pPr>
        <w:pStyle w:val="BodyText"/>
      </w:pPr>
      <w:r>
        <w:t xml:space="preserve">The first plot shows observed versus simulated plasma concentration, the second weighted residuals versus time.</w:t>
      </w:r>
    </w:p>
    <w:br w:type="page"/>
    <w:p>
      <w:pPr>
        <w:pStyle w:val="BodyText"/>
      </w:pPr>
      <w:bookmarkStart w:id="table-3-1" w:name="table-3-1"/>
      <w:bookmarkEnd w:id="table-3-1"/>
    </w:p>
    <w:p>
      <w:pPr>
        <w:pStyle w:val="BodyText"/>
      </w:pPr>
      <w:r>
        <w:rPr>
          <w:bCs/>
          <w:b/>
        </w:rPr>
        <w:t xml:space="preserve">Table 3-1: GMFE for Goodness of fit plot for concentration in plasma.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GMFE</w:t>
            </w:r>
          </w:p>
        </w:tc>
      </w:tr>
      <w:tr>
        <w:tc>
          <w:tcPr/>
          <w:p>
            <w:pPr>
              <w:pStyle w:val="Compact"/>
              <w:jc w:val="left"/>
            </w:pPr>
            <w:r>
              <w:t xml:space="preserve">Fluconazole iv (model building)</w:t>
            </w:r>
          </w:p>
        </w:tc>
        <w:tc>
          <w:tcPr/>
          <w:p>
            <w:pPr>
              <w:pStyle w:val="Compact"/>
              <w:jc w:val="left"/>
            </w:pPr>
            <w:r>
              <w:t xml:space="preserve">1.09</w:t>
            </w:r>
          </w:p>
        </w:tc>
      </w:tr>
      <w:tr>
        <w:tc>
          <w:tcPr/>
          <w:p>
            <w:pPr>
              <w:pStyle w:val="Compact"/>
              <w:jc w:val="left"/>
            </w:pPr>
            <w:r>
              <w:t xml:space="preserve">Fluconazole iv (model verification)</w:t>
            </w:r>
          </w:p>
        </w:tc>
        <w:tc>
          <w:tcPr/>
          <w:p>
            <w:pPr>
              <w:pStyle w:val="Compact"/>
              <w:jc w:val="left"/>
            </w:pPr>
            <w:r>
              <w:t xml:space="preserve">1.14</w:t>
            </w:r>
          </w:p>
        </w:tc>
      </w:tr>
      <w:tr>
        <w:tc>
          <w:tcPr/>
          <w:p>
            <w:pPr>
              <w:pStyle w:val="Compact"/>
              <w:jc w:val="left"/>
            </w:pPr>
            <w:r>
              <w:t xml:space="preserve">Fluconazole oral administration (model building)</w:t>
            </w:r>
          </w:p>
        </w:tc>
        <w:tc>
          <w:tcPr/>
          <w:p>
            <w:pPr>
              <w:pStyle w:val="Compact"/>
              <w:jc w:val="left"/>
            </w:pPr>
            <w:r>
              <w:t xml:space="preserve">1.20</w:t>
            </w:r>
          </w:p>
        </w:tc>
      </w:tr>
      <w:tr>
        <w:tc>
          <w:tcPr/>
          <w:p>
            <w:pPr>
              <w:pStyle w:val="Compact"/>
              <w:jc w:val="left"/>
            </w:pPr>
            <w:r>
              <w:t xml:space="preserve">Fluconazole oral administration (model verification)</w:t>
            </w:r>
          </w:p>
        </w:tc>
        <w:tc>
          <w:tcPr/>
          <w:p>
            <w:pPr>
              <w:pStyle w:val="Compact"/>
              <w:jc w:val="left"/>
            </w:pPr>
            <w:r>
              <w:t xml:space="preserve">1.26</w:t>
            </w:r>
          </w:p>
        </w:tc>
      </w:tr>
      <w:tr>
        <w:tc>
          <w:tcPr/>
          <w:p>
            <w:pPr>
              <w:pStyle w:val="Compact"/>
              <w:jc w:val="left"/>
            </w:pPr>
            <w:r>
              <w:t xml:space="preserve">All</w:t>
            </w:r>
          </w:p>
        </w:tc>
        <w:tc>
          <w:tcPr/>
          <w:p>
            <w:pPr>
              <w:pStyle w:val="Compact"/>
              <w:jc w:val="left"/>
            </w:pPr>
            <w:r>
              <w:t xml:space="preserve">1.18</w:t>
            </w:r>
          </w:p>
        </w:tc>
      </w:tr>
    </w:tbl>
    <w:p>
      <w:pPr>
        <w:pStyle w:val="BodyText"/>
      </w:pPr>
      <w:r>
        <w:t xml:space="preserve"> </w:t>
      </w:r>
    </w:p>
    <w:br w:type="page"/>
    <w:p>
      <w:pPr>
        <w:pStyle w:val="BodyText"/>
      </w:pPr>
      <w:bookmarkStart w:id="figure-3-1" w:name="figure-3-1"/>
      <w:bookmarkEnd w:id="figure-3-1"/>
    </w:p>
    <w:p>
      <w:pPr>
        <w:pStyle w:val="BodyText"/>
      </w:pPr>
      <w:r>
        <w:drawing>
          <wp:inline>
            <wp:extent cx="5969000" cy="7200159"/>
            <wp:effectExtent b="0" l="0" r="0" t="0"/>
            <wp:docPr descr="" title="" id="49" name="Picture"/>
            <a:graphic>
              <a:graphicData uri="http://schemas.openxmlformats.org/drawingml/2006/picture">
                <pic:pic>
                  <pic:nvPicPr>
                    <pic:cNvPr descr="images/006_section_results-and-discussion/008_section_fluconazole-diagnostics-plots/2_gof_plot_predictedVsObserved.png" id="50" name="Picture"/>
                    <pic:cNvPicPr>
                      <a:picLocks noChangeArrowheads="1" noChangeAspect="1"/>
                    </pic:cNvPicPr>
                  </pic:nvPicPr>
                  <pic:blipFill>
                    <a:blip r:embed="rId48"/>
                    <a:stretch>
                      <a:fillRect/>
                    </a:stretch>
                  </pic:blipFill>
                  <pic:spPr bwMode="auto">
                    <a:xfrm>
                      <a:off x="0" y="0"/>
                      <a:ext cx="5969000" cy="7200159"/>
                    </a:xfrm>
                    <a:prstGeom prst="rect">
                      <a:avLst/>
                    </a:prstGeom>
                    <a:noFill/>
                    <a:ln w="9525">
                      <a:noFill/>
                      <a:headEnd/>
                      <a:tailEnd/>
                    </a:ln>
                  </pic:spPr>
                </pic:pic>
              </a:graphicData>
            </a:graphic>
          </wp:inline>
        </w:drawing>
      </w:r>
    </w:p>
    <w:p>
      <w:pPr>
        <w:pStyle w:val="BodyText"/>
      </w:pPr>
      <w:r>
        <w:rPr>
          <w:bCs/>
          <w:b/>
        </w:rPr>
        <w:t xml:space="preserve">Figure 3-1: Goodness of fit plot for concentration in plasma.</w:t>
      </w:r>
    </w:p>
    <w:p>
      <w:pPr>
        <w:pStyle w:val="BodyText"/>
      </w:pPr>
      <w:r>
        <w:t xml:space="preserve"> </w:t>
      </w:r>
    </w:p>
    <w:br w:type="page"/>
    <w:p>
      <w:pPr>
        <w:pStyle w:val="BodyText"/>
      </w:pPr>
      <w:bookmarkStart w:id="figure-3-2" w:name="figure-3-2"/>
      <w:bookmarkEnd w:id="figure-3-2"/>
    </w:p>
    <w:p>
      <w:pPr>
        <w:pStyle w:val="BodyText"/>
      </w:pPr>
      <w:r>
        <w:drawing>
          <wp:inline>
            <wp:extent cx="5969000" cy="4928006"/>
            <wp:effectExtent b="0" l="0" r="0" t="0"/>
            <wp:docPr descr="" title="" id="52" name="Picture"/>
            <a:graphic>
              <a:graphicData uri="http://schemas.openxmlformats.org/drawingml/2006/picture">
                <pic:pic>
                  <pic:nvPicPr>
                    <pic:cNvPr descr="images/006_section_results-and-discussion/008_section_fluconazole-diagnostics-plots/3_gof_plot_residualsOverTime.png" id="53" name="Picture"/>
                    <pic:cNvPicPr>
                      <a:picLocks noChangeArrowheads="1" noChangeAspect="1"/>
                    </pic:cNvPicPr>
                  </pic:nvPicPr>
                  <pic:blipFill>
                    <a:blip r:embed="rId51"/>
                    <a:stretch>
                      <a:fillRect/>
                    </a:stretch>
                  </pic:blipFill>
                  <pic:spPr bwMode="auto">
                    <a:xfrm>
                      <a:off x="0" y="0"/>
                      <a:ext cx="5969000" cy="4928006"/>
                    </a:xfrm>
                    <a:prstGeom prst="rect">
                      <a:avLst/>
                    </a:prstGeom>
                    <a:noFill/>
                    <a:ln w="9525">
                      <a:noFill/>
                      <a:headEnd/>
                      <a:tailEnd/>
                    </a:ln>
                  </pic:spPr>
                </pic:pic>
              </a:graphicData>
            </a:graphic>
          </wp:inline>
        </w:drawing>
      </w:r>
    </w:p>
    <w:p>
      <w:pPr>
        <w:pStyle w:val="BodyText"/>
      </w:pPr>
      <w:r>
        <w:rPr>
          <w:bCs/>
          <w:b/>
        </w:rPr>
        <w:t xml:space="preserve">Figure 3-2: Goodness of fit plot for concentration in plasma.</w:t>
      </w:r>
    </w:p>
    <w:p>
      <w:pPr>
        <w:pStyle w:val="BodyText"/>
      </w:pPr>
      <w:r>
        <w:t xml:space="preserve"> </w:t>
      </w:r>
    </w:p>
    <w:bookmarkEnd w:id="54"/>
    <w:bookmarkStart w:id="123" w:name="concentration-time-profiles"/>
    <w:p>
      <w:pPr>
        <w:pStyle w:val="Heading2"/>
      </w:pPr>
      <w:r>
        <w:t xml:space="preserve">Concentration-Time Profiles</w:t>
      </w:r>
      <w:bookmarkStart w:id="ct-profiles" w:name="ct-profiles"/>
      <w:bookmarkEnd w:id="ct-profiles"/>
    </w:p>
    <w:p>
      <w:pPr>
        <w:pStyle w:val="FirstParagraph"/>
      </w:pPr>
      <w:r>
        <w:t xml:space="preserve">Simulated versus observed concentration-time profiles of all data listed in</w:t>
      </w:r>
      <w:r>
        <w:t xml:space="preserve"> </w:t>
      </w:r>
      <w:hyperlink w:anchor="X7ecbd1fd734a207de60ff9705c88346a68b0398">
        <w:r>
          <w:rPr>
            <w:rStyle w:val="Hyperlink"/>
          </w:rPr>
          <w:t xml:space="preserve">Section 2.2.2</w:t>
        </w:r>
      </w:hyperlink>
      <w:r>
        <w:t xml:space="preserve"> </w:t>
      </w:r>
      <w:r>
        <w:t xml:space="preserve">are presented below.</w:t>
      </w:r>
    </w:p>
    <w:bookmarkStart w:id="97" w:name="model-building"/>
    <w:p>
      <w:pPr>
        <w:pStyle w:val="Heading3"/>
      </w:pPr>
      <w:r>
        <w:t xml:space="preserve">Model Building</w:t>
      </w:r>
      <w:bookmarkStart w:id="model-building" w:name="model-building"/>
      <w:bookmarkEnd w:id="model-building"/>
    </w:p>
    <w:br w:type="page"/>
    <w:p>
      <w:pPr>
        <w:pStyle w:val="FirstParagraph"/>
      </w:pPr>
      <w:bookmarkStart w:id="figure-3-3" w:name="figure-3-3"/>
      <w:bookmarkEnd w:id="figure-3-3"/>
    </w:p>
    <w:p>
      <w:pPr>
        <w:pStyle w:val="BodyText"/>
      </w:pPr>
      <w:r>
        <w:drawing>
          <wp:inline>
            <wp:extent cx="5969000" cy="4853513"/>
            <wp:effectExtent b="0" l="0" r="0" t="0"/>
            <wp:docPr descr="" title="" id="56" name="Picture"/>
            <a:graphic>
              <a:graphicData uri="http://schemas.openxmlformats.org/drawingml/2006/picture">
                <pic:pic>
                  <pic:nvPicPr>
                    <pic:cNvPr descr="images/006_section_results-and-discussion/009_section_ct-profiles/010_section_model-building/9_time_profile_plot_Fluconazole_Palkama_1998_fluconazole_400mg_iv_train.png" id="57" name="Picture"/>
                    <pic:cNvPicPr>
                      <a:picLocks noChangeArrowheads="1" noChangeAspect="1"/>
                    </pic:cNvPicPr>
                  </pic:nvPicPr>
                  <pic:blipFill>
                    <a:blip r:embed="rId5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 Time Profile Analysis</w:t>
      </w:r>
    </w:p>
    <w:p>
      <w:pPr>
        <w:pStyle w:val="BodyText"/>
      </w:pPr>
      <w:r>
        <w:t xml:space="preserve"> </w:t>
      </w:r>
    </w:p>
    <w:br w:type="page"/>
    <w:p>
      <w:pPr>
        <w:pStyle w:val="BodyText"/>
      </w:pPr>
      <w:bookmarkStart w:id="figure-3-4" w:name="figure-3-4"/>
      <w:bookmarkEnd w:id="figure-3-4"/>
    </w:p>
    <w:p>
      <w:pPr>
        <w:pStyle w:val="BodyText"/>
      </w:pPr>
      <w:r>
        <w:drawing>
          <wp:inline>
            <wp:extent cx="5969000" cy="4853513"/>
            <wp:effectExtent b="0" l="0" r="0" t="0"/>
            <wp:docPr descr="" title="" id="59" name="Picture"/>
            <a:graphic>
              <a:graphicData uri="http://schemas.openxmlformats.org/drawingml/2006/picture">
                <pic:pic>
                  <pic:nvPicPr>
                    <pic:cNvPr descr="images/006_section_results-and-discussion/009_section_ct-profiles/010_section_model-building/10_time_profile_plot_Fluconazole_Ripa_1993_fluconazole_100mg_iv_train.png" id="60" name="Picture"/>
                    <pic:cNvPicPr>
                      <a:picLocks noChangeArrowheads="1" noChangeAspect="1"/>
                    </pic:cNvPicPr>
                  </pic:nvPicPr>
                  <pic:blipFill>
                    <a:blip r:embed="rId5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 Time Profile Analysis</w:t>
      </w:r>
    </w:p>
    <w:p>
      <w:pPr>
        <w:pStyle w:val="BodyText"/>
      </w:pPr>
      <w:r>
        <w:t xml:space="preserve"> </w:t>
      </w:r>
    </w:p>
    <w:br w:type="page"/>
    <w:p>
      <w:pPr>
        <w:pStyle w:val="BodyText"/>
      </w:pPr>
      <w:bookmarkStart w:id="figure-3-5" w:name="figure-3-5"/>
      <w:bookmarkEnd w:id="figure-3-5"/>
    </w:p>
    <w:p>
      <w:pPr>
        <w:pStyle w:val="BodyText"/>
      </w:pPr>
      <w:r>
        <w:drawing>
          <wp:inline>
            <wp:extent cx="5969000" cy="5800912"/>
            <wp:effectExtent b="0" l="0" r="0" t="0"/>
            <wp:docPr descr="" title="" id="62" name="Picture"/>
            <a:graphic>
              <a:graphicData uri="http://schemas.openxmlformats.org/drawingml/2006/picture">
                <pic:pic>
                  <pic:nvPicPr>
                    <pic:cNvPr descr="images/006_section_results-and-discussion/009_section_ct-profiles/010_section_model-building/11_time_profile_plot_Fluconazole_Shiba_1990_fluconazole_50mg_iv_train.png" id="63" name="Picture"/>
                    <pic:cNvPicPr>
                      <a:picLocks noChangeArrowheads="1" noChangeAspect="1"/>
                    </pic:cNvPicPr>
                  </pic:nvPicPr>
                  <pic:blipFill>
                    <a:blip r:embed="rId61"/>
                    <a:stretch>
                      <a:fillRect/>
                    </a:stretch>
                  </pic:blipFill>
                  <pic:spPr bwMode="auto">
                    <a:xfrm>
                      <a:off x="0" y="0"/>
                      <a:ext cx="5969000" cy="5800912"/>
                    </a:xfrm>
                    <a:prstGeom prst="rect">
                      <a:avLst/>
                    </a:prstGeom>
                    <a:noFill/>
                    <a:ln w="9525">
                      <a:noFill/>
                      <a:headEnd/>
                      <a:tailEnd/>
                    </a:ln>
                  </pic:spPr>
                </pic:pic>
              </a:graphicData>
            </a:graphic>
          </wp:inline>
        </w:drawing>
      </w:r>
    </w:p>
    <w:p>
      <w:pPr>
        <w:pStyle w:val="BodyText"/>
      </w:pPr>
      <w:r>
        <w:rPr>
          <w:bCs/>
          <w:b/>
        </w:rPr>
        <w:t xml:space="preserve">Figure 3-5: Time Profile Analysis</w:t>
      </w:r>
    </w:p>
    <w:p>
      <w:pPr>
        <w:pStyle w:val="BodyText"/>
      </w:pPr>
      <w:r>
        <w:t xml:space="preserve"> </w:t>
      </w:r>
    </w:p>
    <w:br w:type="page"/>
    <w:p>
      <w:pPr>
        <w:pStyle w:val="BodyText"/>
      </w:pPr>
      <w:bookmarkStart w:id="figure-3-6" w:name="figure-3-6"/>
      <w:bookmarkEnd w:id="figure-3-6"/>
    </w:p>
    <w:p>
      <w:pPr>
        <w:pStyle w:val="BodyText"/>
      </w:pPr>
      <w:r>
        <w:drawing>
          <wp:inline>
            <wp:extent cx="5969000" cy="4853513"/>
            <wp:effectExtent b="0" l="0" r="0" t="0"/>
            <wp:docPr descr="" title="" id="65" name="Picture"/>
            <a:graphic>
              <a:graphicData uri="http://schemas.openxmlformats.org/drawingml/2006/picture">
                <pic:pic>
                  <pic:nvPicPr>
                    <pic:cNvPr descr="images/006_section_results-and-discussion/009_section_ct-profiles/010_section_model-building/12_time_profile_plot_Fluconazole_Ahonen_1997_fluconazole_400mg_po_train.png" id="66" name="Picture"/>
                    <pic:cNvPicPr>
                      <a:picLocks noChangeArrowheads="1" noChangeAspect="1"/>
                    </pic:cNvPicPr>
                  </pic:nvPicPr>
                  <pic:blipFill>
                    <a:blip r:embed="rId6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3-6: Time Profile Analysis</w:t>
      </w:r>
    </w:p>
    <w:p>
      <w:pPr>
        <w:pStyle w:val="BodyText"/>
      </w:pPr>
      <w:r>
        <w:t xml:space="preserve"> </w:t>
      </w:r>
    </w:p>
    <w:br w:type="page"/>
    <w:p>
      <w:pPr>
        <w:pStyle w:val="BodyText"/>
      </w:pPr>
      <w:bookmarkStart w:id="figure-3-7" w:name="figure-3-7"/>
      <w:bookmarkEnd w:id="figure-3-7"/>
    </w:p>
    <w:p>
      <w:pPr>
        <w:pStyle w:val="BodyText"/>
      </w:pPr>
      <w:r>
        <w:drawing>
          <wp:inline>
            <wp:extent cx="5969000" cy="4853513"/>
            <wp:effectExtent b="0" l="0" r="0" t="0"/>
            <wp:docPr descr="" title="" id="68" name="Picture"/>
            <a:graphic>
              <a:graphicData uri="http://schemas.openxmlformats.org/drawingml/2006/picture">
                <pic:pic>
                  <pic:nvPicPr>
                    <pic:cNvPr descr="images/006_section_results-and-discussion/009_section_ct-profiles/010_section_model-building/13_time_profile_plot_Fluconazole_Brammer_1990_fluconazole_200mg_po_train.png" id="69" name="Picture"/>
                    <pic:cNvPicPr>
                      <a:picLocks noChangeArrowheads="1" noChangeAspect="1"/>
                    </pic:cNvPicPr>
                  </pic:nvPicPr>
                  <pic:blipFill>
                    <a:blip r:embed="rId6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3-7: Time Profile Analysis</w:t>
      </w:r>
    </w:p>
    <w:p>
      <w:pPr>
        <w:pStyle w:val="BodyText"/>
      </w:pPr>
      <w:r>
        <w:t xml:space="preserve"> </w:t>
      </w:r>
    </w:p>
    <w:br w:type="page"/>
    <w:p>
      <w:pPr>
        <w:pStyle w:val="BodyText"/>
      </w:pPr>
      <w:bookmarkStart w:id="figure-3-8" w:name="figure-3-8"/>
      <w:bookmarkEnd w:id="figure-3-8"/>
    </w:p>
    <w:p>
      <w:pPr>
        <w:pStyle w:val="BodyText"/>
      </w:pPr>
      <w:r>
        <w:drawing>
          <wp:inline>
            <wp:extent cx="5969000" cy="4853513"/>
            <wp:effectExtent b="0" l="0" r="0" t="0"/>
            <wp:docPr descr="" title="" id="71" name="Picture"/>
            <a:graphic>
              <a:graphicData uri="http://schemas.openxmlformats.org/drawingml/2006/picture">
                <pic:pic>
                  <pic:nvPicPr>
                    <pic:cNvPr descr="images/006_section_results-and-discussion/009_section_ct-profiles/010_section_model-building/14_time_profile_plot_Fluconazole_Brammer_1990_fluconazole_300mg_po_train.png" id="72" name="Picture"/>
                    <pic:cNvPicPr>
                      <a:picLocks noChangeArrowheads="1" noChangeAspect="1"/>
                    </pic:cNvPicPr>
                  </pic:nvPicPr>
                  <pic:blipFill>
                    <a:blip r:embed="rId7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3-8: Time Profile Analysis</w:t>
      </w:r>
    </w:p>
    <w:p>
      <w:pPr>
        <w:pStyle w:val="BodyText"/>
      </w:pPr>
      <w:r>
        <w:t xml:space="preserve"> </w:t>
      </w:r>
    </w:p>
    <w:br w:type="page"/>
    <w:p>
      <w:pPr>
        <w:pStyle w:val="BodyText"/>
      </w:pPr>
      <w:bookmarkStart w:id="figure-3-9" w:name="figure-3-9"/>
      <w:bookmarkEnd w:id="figure-3-9"/>
    </w:p>
    <w:p>
      <w:pPr>
        <w:pStyle w:val="BodyText"/>
      </w:pPr>
      <w:r>
        <w:drawing>
          <wp:inline>
            <wp:extent cx="5969000" cy="4853513"/>
            <wp:effectExtent b="0" l="0" r="0" t="0"/>
            <wp:docPr descr="" title="" id="74" name="Picture"/>
            <a:graphic>
              <a:graphicData uri="http://schemas.openxmlformats.org/drawingml/2006/picture">
                <pic:pic>
                  <pic:nvPicPr>
                    <pic:cNvPr descr="images/006_section_results-and-discussion/009_section_ct-profiles/010_section_model-building/15_time_profile_plot_Fluconazole_Brammer_1990_fluconazole_400mg_po_train.png" id="75" name="Picture"/>
                    <pic:cNvPicPr>
                      <a:picLocks noChangeArrowheads="1" noChangeAspect="1"/>
                    </pic:cNvPicPr>
                  </pic:nvPicPr>
                  <pic:blipFill>
                    <a:blip r:embed="rId7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3-9: Time Profile Analysis</w:t>
      </w:r>
    </w:p>
    <w:p>
      <w:pPr>
        <w:pStyle w:val="BodyText"/>
      </w:pPr>
      <w:r>
        <w:t xml:space="preserve"> </w:t>
      </w:r>
    </w:p>
    <w:br w:type="page"/>
    <w:p>
      <w:pPr>
        <w:pStyle w:val="BodyText"/>
      </w:pPr>
      <w:bookmarkStart w:id="figure-3-10" w:name="figure-3-10"/>
      <w:bookmarkEnd w:id="figure-3-10"/>
    </w:p>
    <w:p>
      <w:pPr>
        <w:pStyle w:val="BodyText"/>
      </w:pPr>
      <w:r>
        <w:drawing>
          <wp:inline>
            <wp:extent cx="5969000" cy="4853513"/>
            <wp:effectExtent b="0" l="0" r="0" t="0"/>
            <wp:docPr descr="" title="" id="77" name="Picture"/>
            <a:graphic>
              <a:graphicData uri="http://schemas.openxmlformats.org/drawingml/2006/picture">
                <pic:pic>
                  <pic:nvPicPr>
                    <pic:cNvPr descr="images/006_section_results-and-discussion/009_section_ct-profiles/010_section_model-building/16_time_profile_plot_Fluconazole_Brammer_1990_fluconazole_50mg_po_train.png" id="78" name="Picture"/>
                    <pic:cNvPicPr>
                      <a:picLocks noChangeArrowheads="1" noChangeAspect="1"/>
                    </pic:cNvPicPr>
                  </pic:nvPicPr>
                  <pic:blipFill>
                    <a:blip r:embed="rId76"/>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3-10: Time Profile Analysis</w:t>
      </w:r>
    </w:p>
    <w:p>
      <w:pPr>
        <w:pStyle w:val="BodyText"/>
      </w:pPr>
      <w:r>
        <w:t xml:space="preserve"> </w:t>
      </w:r>
    </w:p>
    <w:br w:type="page"/>
    <w:p>
      <w:pPr>
        <w:pStyle w:val="BodyText"/>
      </w:pPr>
      <w:bookmarkStart w:id="figure-3-11" w:name="figure-3-11"/>
      <w:bookmarkEnd w:id="figure-3-11"/>
    </w:p>
    <w:p>
      <w:pPr>
        <w:pStyle w:val="BodyText"/>
      </w:pPr>
      <w:r>
        <w:drawing>
          <wp:inline>
            <wp:extent cx="5969000" cy="4853513"/>
            <wp:effectExtent b="0" l="0" r="0" t="0"/>
            <wp:docPr descr="" title="" id="80" name="Picture"/>
            <a:graphic>
              <a:graphicData uri="http://schemas.openxmlformats.org/drawingml/2006/picture">
                <pic:pic>
                  <pic:nvPicPr>
                    <pic:cNvPr descr="images/006_section_results-and-discussion/009_section_ct-profiles/010_section_model-building/17_time_profile_plot_Fluconazole_Brammer_1991_fluconazole_50mg_po_train.png" id="81" name="Picture"/>
                    <pic:cNvPicPr>
                      <a:picLocks noChangeArrowheads="1" noChangeAspect="1"/>
                    </pic:cNvPicPr>
                  </pic:nvPicPr>
                  <pic:blipFill>
                    <a:blip r:embed="rId7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3-11: Time Profile Analysis</w:t>
      </w:r>
    </w:p>
    <w:p>
      <w:pPr>
        <w:pStyle w:val="BodyText"/>
      </w:pPr>
      <w:r>
        <w:t xml:space="preserve"> </w:t>
      </w:r>
    </w:p>
    <w:br w:type="page"/>
    <w:p>
      <w:pPr>
        <w:pStyle w:val="BodyText"/>
      </w:pPr>
      <w:bookmarkStart w:id="figure-3-12" w:name="figure-3-12"/>
      <w:bookmarkEnd w:id="figure-3-12"/>
    </w:p>
    <w:p>
      <w:pPr>
        <w:pStyle w:val="BodyText"/>
      </w:pPr>
      <w:r>
        <w:drawing>
          <wp:inline>
            <wp:extent cx="5969000" cy="5800912"/>
            <wp:effectExtent b="0" l="0" r="0" t="0"/>
            <wp:docPr descr="" title="" id="83" name="Picture"/>
            <a:graphic>
              <a:graphicData uri="http://schemas.openxmlformats.org/drawingml/2006/picture">
                <pic:pic>
                  <pic:nvPicPr>
                    <pic:cNvPr descr="images/006_section_results-and-discussion/009_section_ct-profiles/010_section_model-building/18_time_profile_plot_Fluconazole_Shiba_1990_fluconazole_25mg_po_train.png" id="84" name="Picture"/>
                    <pic:cNvPicPr>
                      <a:picLocks noChangeArrowheads="1" noChangeAspect="1"/>
                    </pic:cNvPicPr>
                  </pic:nvPicPr>
                  <pic:blipFill>
                    <a:blip r:embed="rId82"/>
                    <a:stretch>
                      <a:fillRect/>
                    </a:stretch>
                  </pic:blipFill>
                  <pic:spPr bwMode="auto">
                    <a:xfrm>
                      <a:off x="0" y="0"/>
                      <a:ext cx="5969000" cy="5800912"/>
                    </a:xfrm>
                    <a:prstGeom prst="rect">
                      <a:avLst/>
                    </a:prstGeom>
                    <a:noFill/>
                    <a:ln w="9525">
                      <a:noFill/>
                      <a:headEnd/>
                      <a:tailEnd/>
                    </a:ln>
                  </pic:spPr>
                </pic:pic>
              </a:graphicData>
            </a:graphic>
          </wp:inline>
        </w:drawing>
      </w:r>
    </w:p>
    <w:p>
      <w:pPr>
        <w:pStyle w:val="BodyText"/>
      </w:pPr>
      <w:r>
        <w:rPr>
          <w:bCs/>
          <w:b/>
        </w:rPr>
        <w:t xml:space="preserve">Figure 3-12: Time Profile Analysis</w:t>
      </w:r>
    </w:p>
    <w:p>
      <w:pPr>
        <w:pStyle w:val="BodyText"/>
      </w:pPr>
      <w:r>
        <w:t xml:space="preserve"> </w:t>
      </w:r>
    </w:p>
    <w:br w:type="page"/>
    <w:p>
      <w:pPr>
        <w:pStyle w:val="BodyText"/>
      </w:pPr>
      <w:bookmarkStart w:id="figure-3-13" w:name="figure-3-13"/>
      <w:bookmarkEnd w:id="figure-3-13"/>
    </w:p>
    <w:p>
      <w:pPr>
        <w:pStyle w:val="BodyText"/>
      </w:pPr>
      <w:r>
        <w:drawing>
          <wp:inline>
            <wp:extent cx="5969000" cy="5800912"/>
            <wp:effectExtent b="0" l="0" r="0" t="0"/>
            <wp:docPr descr="" title="" id="86" name="Picture"/>
            <a:graphic>
              <a:graphicData uri="http://schemas.openxmlformats.org/drawingml/2006/picture">
                <pic:pic>
                  <pic:nvPicPr>
                    <pic:cNvPr descr="images/006_section_results-and-discussion/009_section_ct-profiles/010_section_model-building/19_time_profile_plot_Fluconazole_Shiba_1990_fluconazole_50mg_po_train.png" id="87" name="Picture"/>
                    <pic:cNvPicPr>
                      <a:picLocks noChangeArrowheads="1" noChangeAspect="1"/>
                    </pic:cNvPicPr>
                  </pic:nvPicPr>
                  <pic:blipFill>
                    <a:blip r:embed="rId85"/>
                    <a:stretch>
                      <a:fillRect/>
                    </a:stretch>
                  </pic:blipFill>
                  <pic:spPr bwMode="auto">
                    <a:xfrm>
                      <a:off x="0" y="0"/>
                      <a:ext cx="5969000" cy="5800912"/>
                    </a:xfrm>
                    <a:prstGeom prst="rect">
                      <a:avLst/>
                    </a:prstGeom>
                    <a:noFill/>
                    <a:ln w="9525">
                      <a:noFill/>
                      <a:headEnd/>
                      <a:tailEnd/>
                    </a:ln>
                  </pic:spPr>
                </pic:pic>
              </a:graphicData>
            </a:graphic>
          </wp:inline>
        </w:drawing>
      </w:r>
    </w:p>
    <w:p>
      <w:pPr>
        <w:pStyle w:val="BodyText"/>
      </w:pPr>
      <w:r>
        <w:rPr>
          <w:bCs/>
          <w:b/>
        </w:rPr>
        <w:t xml:space="preserve">Figure 3-13: Time Profile Analysis</w:t>
      </w:r>
    </w:p>
    <w:p>
      <w:pPr>
        <w:pStyle w:val="BodyText"/>
      </w:pPr>
      <w:r>
        <w:t xml:space="preserve"> </w:t>
      </w:r>
    </w:p>
    <w:br w:type="page"/>
    <w:p>
      <w:pPr>
        <w:pStyle w:val="BodyText"/>
      </w:pPr>
      <w:bookmarkStart w:id="figure-3-14" w:name="figure-3-14"/>
      <w:bookmarkEnd w:id="figure-3-14"/>
    </w:p>
    <w:p>
      <w:pPr>
        <w:pStyle w:val="BodyText"/>
      </w:pPr>
      <w:r>
        <w:drawing>
          <wp:inline>
            <wp:extent cx="5969000" cy="4853513"/>
            <wp:effectExtent b="0" l="0" r="0" t="0"/>
            <wp:docPr descr="" title="" id="89" name="Picture"/>
            <a:graphic>
              <a:graphicData uri="http://schemas.openxmlformats.org/drawingml/2006/picture">
                <pic:pic>
                  <pic:nvPicPr>
                    <pic:cNvPr descr="images/006_section_results-and-discussion/009_section_ct-profiles/010_section_model-building/20_time_profile_plot_Fluconazole_Thorpe_1990_fluconazole_100mg_po_train.png" id="90" name="Picture"/>
                    <pic:cNvPicPr>
                      <a:picLocks noChangeArrowheads="1" noChangeAspect="1"/>
                    </pic:cNvPicPr>
                  </pic:nvPicPr>
                  <pic:blipFill>
                    <a:blip r:embed="rId8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3-14: Time Profile Analysis</w:t>
      </w:r>
    </w:p>
    <w:p>
      <w:pPr>
        <w:pStyle w:val="BodyText"/>
      </w:pPr>
      <w:r>
        <w:t xml:space="preserve"> </w:t>
      </w:r>
    </w:p>
    <w:br w:type="page"/>
    <w:p>
      <w:pPr>
        <w:pStyle w:val="BodyText"/>
      </w:pPr>
      <w:bookmarkStart w:id="figure-3-15" w:name="figure-3-15"/>
      <w:bookmarkEnd w:id="figure-3-15"/>
    </w:p>
    <w:p>
      <w:pPr>
        <w:pStyle w:val="BodyText"/>
      </w:pPr>
      <w:r>
        <w:drawing>
          <wp:inline>
            <wp:extent cx="5969000" cy="4853513"/>
            <wp:effectExtent b="0" l="0" r="0" t="0"/>
            <wp:docPr descr="" title="" id="92" name="Picture"/>
            <a:graphic>
              <a:graphicData uri="http://schemas.openxmlformats.org/drawingml/2006/picture">
                <pic:pic>
                  <pic:nvPicPr>
                    <pic:cNvPr descr="images/006_section_results-and-discussion/009_section_ct-profiles/010_section_model-building/21_time_profile_plot_Fluconazole_Varhe_1996_fluconazole_100mg_po_train.png" id="93" name="Picture"/>
                    <pic:cNvPicPr>
                      <a:picLocks noChangeArrowheads="1" noChangeAspect="1"/>
                    </pic:cNvPicPr>
                  </pic:nvPicPr>
                  <pic:blipFill>
                    <a:blip r:embed="rId9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3-15: Time Profile Analysis</w:t>
      </w:r>
    </w:p>
    <w:p>
      <w:pPr>
        <w:pStyle w:val="BodyText"/>
      </w:pPr>
      <w:r>
        <w:t xml:space="preserve"> </w:t>
      </w:r>
    </w:p>
    <w:br w:type="page"/>
    <w:p>
      <w:pPr>
        <w:pStyle w:val="BodyText"/>
      </w:pPr>
      <w:bookmarkStart w:id="figure-3-16" w:name="figure-3-16"/>
      <w:bookmarkEnd w:id="figure-3-16"/>
    </w:p>
    <w:p>
      <w:pPr>
        <w:pStyle w:val="BodyText"/>
      </w:pPr>
      <w:r>
        <w:drawing>
          <wp:inline>
            <wp:extent cx="5969000" cy="4853513"/>
            <wp:effectExtent b="0" l="0" r="0" t="0"/>
            <wp:docPr descr="" title="" id="95" name="Picture"/>
            <a:graphic>
              <a:graphicData uri="http://schemas.openxmlformats.org/drawingml/2006/picture">
                <pic:pic>
                  <pic:nvPicPr>
                    <pic:cNvPr descr="images/006_section_results-and-discussion/009_section_ct-profiles/010_section_model-building/22_time_profile_plot_Fluconazole_Varhe_1996_fluconazole_200mg_po_train.png" id="96" name="Picture"/>
                    <pic:cNvPicPr>
                      <a:picLocks noChangeArrowheads="1" noChangeAspect="1"/>
                    </pic:cNvPicPr>
                  </pic:nvPicPr>
                  <pic:blipFill>
                    <a:blip r:embed="rId9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3-16: Time Profile Analysis</w:t>
      </w:r>
    </w:p>
    <w:p>
      <w:pPr>
        <w:pStyle w:val="BodyText"/>
      </w:pPr>
      <w:r>
        <w:t xml:space="preserve"> </w:t>
      </w:r>
    </w:p>
    <w:bookmarkEnd w:id="97"/>
    <w:bookmarkStart w:id="122" w:name="model-verification"/>
    <w:p>
      <w:pPr>
        <w:pStyle w:val="Heading3"/>
      </w:pPr>
      <w:r>
        <w:t xml:space="preserve">Model Verification</w:t>
      </w:r>
      <w:bookmarkStart w:id="model-verification" w:name="model-verification"/>
      <w:bookmarkEnd w:id="model-verification"/>
    </w:p>
    <w:br w:type="page"/>
    <w:p>
      <w:pPr>
        <w:pStyle w:val="FirstParagraph"/>
      </w:pPr>
      <w:bookmarkStart w:id="figure-3-17" w:name="figure-3-17"/>
      <w:bookmarkEnd w:id="figure-3-17"/>
    </w:p>
    <w:p>
      <w:pPr>
        <w:pStyle w:val="BodyText"/>
      </w:pPr>
      <w:r>
        <w:drawing>
          <wp:inline>
            <wp:extent cx="5969000" cy="4853513"/>
            <wp:effectExtent b="0" l="0" r="0" t="0"/>
            <wp:docPr descr="" title="" id="99" name="Picture"/>
            <a:graphic>
              <a:graphicData uri="http://schemas.openxmlformats.org/drawingml/2006/picture">
                <pic:pic>
                  <pic:nvPicPr>
                    <pic:cNvPr descr="images/006_section_results-and-discussion/009_section_ct-profiles/011_section_model-verification/1_time_profile_plot_Fluconazole_Ahonen_1997_fluconazole_400mg_iv_test.png" id="100" name="Picture"/>
                    <pic:cNvPicPr>
                      <a:picLocks noChangeArrowheads="1" noChangeAspect="1"/>
                    </pic:cNvPicPr>
                  </pic:nvPicPr>
                  <pic:blipFill>
                    <a:blip r:embed="rId9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3-17: Time Profile Analysis</w:t>
      </w:r>
    </w:p>
    <w:p>
      <w:pPr>
        <w:pStyle w:val="BodyText"/>
      </w:pPr>
      <w:r>
        <w:t xml:space="preserve"> </w:t>
      </w:r>
    </w:p>
    <w:br w:type="page"/>
    <w:p>
      <w:pPr>
        <w:pStyle w:val="BodyText"/>
      </w:pPr>
      <w:bookmarkStart w:id="figure-3-18" w:name="figure-3-18"/>
      <w:bookmarkEnd w:id="figure-3-18"/>
    </w:p>
    <w:p>
      <w:pPr>
        <w:pStyle w:val="BodyText"/>
      </w:pPr>
      <w:r>
        <w:drawing>
          <wp:inline>
            <wp:extent cx="5969000" cy="4853513"/>
            <wp:effectExtent b="0" l="0" r="0" t="0"/>
            <wp:docPr descr="" title="" id="102" name="Picture"/>
            <a:graphic>
              <a:graphicData uri="http://schemas.openxmlformats.org/drawingml/2006/picture">
                <pic:pic>
                  <pic:nvPicPr>
                    <pic:cNvPr descr="images/006_section_results-and-discussion/009_section_ct-profiles/011_section_model-verification/2_time_profile_plot_Fluconazole_Brammer_1990_fluconazole_50mg_iv_test.png" id="103" name="Picture"/>
                    <pic:cNvPicPr>
                      <a:picLocks noChangeArrowheads="1" noChangeAspect="1"/>
                    </pic:cNvPicPr>
                  </pic:nvPicPr>
                  <pic:blipFill>
                    <a:blip r:embed="rId10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3-18: Time Profile Analysis</w:t>
      </w:r>
    </w:p>
    <w:p>
      <w:pPr>
        <w:pStyle w:val="BodyText"/>
      </w:pPr>
      <w:r>
        <w:t xml:space="preserve"> </w:t>
      </w:r>
    </w:p>
    <w:br w:type="page"/>
    <w:p>
      <w:pPr>
        <w:pStyle w:val="BodyText"/>
      </w:pPr>
      <w:bookmarkStart w:id="figure-3-19" w:name="figure-3-19"/>
      <w:bookmarkEnd w:id="figure-3-19"/>
    </w:p>
    <w:p>
      <w:pPr>
        <w:pStyle w:val="BodyText"/>
      </w:pPr>
      <w:r>
        <w:drawing>
          <wp:inline>
            <wp:extent cx="5969000" cy="5800912"/>
            <wp:effectExtent b="0" l="0" r="0" t="0"/>
            <wp:docPr descr="" title="" id="105" name="Picture"/>
            <a:graphic>
              <a:graphicData uri="http://schemas.openxmlformats.org/drawingml/2006/picture">
                <pic:pic>
                  <pic:nvPicPr>
                    <pic:cNvPr descr="images/006_section_results-and-discussion/009_section_ct-profiles/011_section_model-verification/3_time_profile_plot_Fluconazole_Shiba_1990_fluconazole_25mg_iv_test.png" id="106" name="Picture"/>
                    <pic:cNvPicPr>
                      <a:picLocks noChangeArrowheads="1" noChangeAspect="1"/>
                    </pic:cNvPicPr>
                  </pic:nvPicPr>
                  <pic:blipFill>
                    <a:blip r:embed="rId104"/>
                    <a:stretch>
                      <a:fillRect/>
                    </a:stretch>
                  </pic:blipFill>
                  <pic:spPr bwMode="auto">
                    <a:xfrm>
                      <a:off x="0" y="0"/>
                      <a:ext cx="5969000" cy="5800912"/>
                    </a:xfrm>
                    <a:prstGeom prst="rect">
                      <a:avLst/>
                    </a:prstGeom>
                    <a:noFill/>
                    <a:ln w="9525">
                      <a:noFill/>
                      <a:headEnd/>
                      <a:tailEnd/>
                    </a:ln>
                  </pic:spPr>
                </pic:pic>
              </a:graphicData>
            </a:graphic>
          </wp:inline>
        </w:drawing>
      </w:r>
    </w:p>
    <w:p>
      <w:pPr>
        <w:pStyle w:val="BodyText"/>
      </w:pPr>
      <w:r>
        <w:rPr>
          <w:bCs/>
          <w:b/>
        </w:rPr>
        <w:t xml:space="preserve">Figure 3-19: Time Profile Analysis</w:t>
      </w:r>
    </w:p>
    <w:p>
      <w:pPr>
        <w:pStyle w:val="BodyText"/>
      </w:pPr>
      <w:r>
        <w:t xml:space="preserve"> </w:t>
      </w:r>
    </w:p>
    <w:br w:type="page"/>
    <w:p>
      <w:pPr>
        <w:pStyle w:val="BodyText"/>
      </w:pPr>
      <w:bookmarkStart w:id="figure-3-20" w:name="figure-3-20"/>
      <w:bookmarkEnd w:id="figure-3-20"/>
    </w:p>
    <w:p>
      <w:pPr>
        <w:pStyle w:val="BodyText"/>
      </w:pPr>
      <w:r>
        <w:drawing>
          <wp:inline>
            <wp:extent cx="5969000" cy="4853513"/>
            <wp:effectExtent b="0" l="0" r="0" t="0"/>
            <wp:docPr descr="" title="" id="108" name="Picture"/>
            <a:graphic>
              <a:graphicData uri="http://schemas.openxmlformats.org/drawingml/2006/picture">
                <pic:pic>
                  <pic:nvPicPr>
                    <pic:cNvPr descr="images/006_section_results-and-discussion/009_section_ct-profiles/011_section_model-verification/4_time_profile_plot_Fluconazole_Sobue_2004_fluconazole_800mg_iv_test.png" id="109" name="Picture"/>
                    <pic:cNvPicPr>
                      <a:picLocks noChangeArrowheads="1" noChangeAspect="1"/>
                    </pic:cNvPicPr>
                  </pic:nvPicPr>
                  <pic:blipFill>
                    <a:blip r:embed="rId10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3-20: Time Profile Analysis</w:t>
      </w:r>
    </w:p>
    <w:p>
      <w:pPr>
        <w:pStyle w:val="BodyText"/>
      </w:pPr>
      <w:r>
        <w:t xml:space="preserve"> </w:t>
      </w:r>
    </w:p>
    <w:br w:type="page"/>
    <w:p>
      <w:pPr>
        <w:pStyle w:val="BodyText"/>
      </w:pPr>
      <w:bookmarkStart w:id="figure-3-21" w:name="figure-3-21"/>
      <w:bookmarkEnd w:id="figure-3-21"/>
    </w:p>
    <w:p>
      <w:pPr>
        <w:pStyle w:val="BodyText"/>
      </w:pPr>
      <w:r>
        <w:drawing>
          <wp:inline>
            <wp:extent cx="5969000" cy="4853513"/>
            <wp:effectExtent b="0" l="0" r="0" t="0"/>
            <wp:docPr descr="" title="" id="111" name="Picture"/>
            <a:graphic>
              <a:graphicData uri="http://schemas.openxmlformats.org/drawingml/2006/picture">
                <pic:pic>
                  <pic:nvPicPr>
                    <pic:cNvPr descr="images/006_section_results-and-discussion/009_section_ct-profiles/011_section_model-verification/5_time_profile_plot_Fluconazole_Yeates_1994_fluconazole_100mg_iv_test.png" id="112" name="Picture"/>
                    <pic:cNvPicPr>
                      <a:picLocks noChangeArrowheads="1" noChangeAspect="1"/>
                    </pic:cNvPicPr>
                  </pic:nvPicPr>
                  <pic:blipFill>
                    <a:blip r:embed="rId11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3-21: Time Profile Analysis</w:t>
      </w:r>
    </w:p>
    <w:p>
      <w:pPr>
        <w:pStyle w:val="BodyText"/>
      </w:pPr>
      <w:r>
        <w:t xml:space="preserve"> </w:t>
      </w:r>
    </w:p>
    <w:br w:type="page"/>
    <w:p>
      <w:pPr>
        <w:pStyle w:val="BodyText"/>
      </w:pPr>
      <w:bookmarkStart w:id="figure-3-22" w:name="figure-3-22"/>
      <w:bookmarkEnd w:id="figure-3-22"/>
    </w:p>
    <w:p>
      <w:pPr>
        <w:pStyle w:val="BodyText"/>
      </w:pPr>
      <w:r>
        <w:drawing>
          <wp:inline>
            <wp:extent cx="5969000" cy="4853513"/>
            <wp:effectExtent b="0" l="0" r="0" t="0"/>
            <wp:docPr descr="" title="" id="114" name="Picture"/>
            <a:graphic>
              <a:graphicData uri="http://schemas.openxmlformats.org/drawingml/2006/picture">
                <pic:pic>
                  <pic:nvPicPr>
                    <pic:cNvPr descr="images/006_section_results-and-discussion/009_section_ct-profiles/011_section_model-verification/6_time_profile_plot_Fluconazole_Palkama_1998_fluconazole_400mg_po_test.png" id="115" name="Picture"/>
                    <pic:cNvPicPr>
                      <a:picLocks noChangeArrowheads="1" noChangeAspect="1"/>
                    </pic:cNvPicPr>
                  </pic:nvPicPr>
                  <pic:blipFill>
                    <a:blip r:embed="rId11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3-22: Time Profile Analysis</w:t>
      </w:r>
    </w:p>
    <w:p>
      <w:pPr>
        <w:pStyle w:val="BodyText"/>
      </w:pPr>
      <w:r>
        <w:t xml:space="preserve"> </w:t>
      </w:r>
    </w:p>
    <w:br w:type="page"/>
    <w:p>
      <w:pPr>
        <w:pStyle w:val="BodyText"/>
      </w:pPr>
      <w:bookmarkStart w:id="figure-3-23" w:name="figure-3-23"/>
      <w:bookmarkEnd w:id="figure-3-23"/>
    </w:p>
    <w:p>
      <w:pPr>
        <w:pStyle w:val="BodyText"/>
      </w:pPr>
      <w:r>
        <w:drawing>
          <wp:inline>
            <wp:extent cx="5969000" cy="4853513"/>
            <wp:effectExtent b="0" l="0" r="0" t="0"/>
            <wp:docPr descr="" title="" id="117" name="Picture"/>
            <a:graphic>
              <a:graphicData uri="http://schemas.openxmlformats.org/drawingml/2006/picture">
                <pic:pic>
                  <pic:nvPicPr>
                    <pic:cNvPr descr="images/006_section_results-and-discussion/009_section_ct-profiles/011_section_model-verification/7_time_profile_plot_Fluconazole_Shiba_1990_fluconazole_100mg_po_test.png" id="118" name="Picture"/>
                    <pic:cNvPicPr>
                      <a:picLocks noChangeArrowheads="1" noChangeAspect="1"/>
                    </pic:cNvPicPr>
                  </pic:nvPicPr>
                  <pic:blipFill>
                    <a:blip r:embed="rId116"/>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3-23: Time Profile Analysis</w:t>
      </w:r>
    </w:p>
    <w:p>
      <w:pPr>
        <w:pStyle w:val="BodyText"/>
      </w:pPr>
      <w:r>
        <w:t xml:space="preserve"> </w:t>
      </w:r>
    </w:p>
    <w:br w:type="page"/>
    <w:p>
      <w:pPr>
        <w:pStyle w:val="BodyText"/>
      </w:pPr>
      <w:bookmarkStart w:id="figure-3-24" w:name="figure-3-24"/>
      <w:bookmarkEnd w:id="figure-3-24"/>
    </w:p>
    <w:p>
      <w:pPr>
        <w:pStyle w:val="BodyText"/>
      </w:pPr>
      <w:r>
        <w:drawing>
          <wp:inline>
            <wp:extent cx="5969000" cy="4853513"/>
            <wp:effectExtent b="0" l="0" r="0" t="0"/>
            <wp:docPr descr="" title="" id="120" name="Picture"/>
            <a:graphic>
              <a:graphicData uri="http://schemas.openxmlformats.org/drawingml/2006/picture">
                <pic:pic>
                  <pic:nvPicPr>
                    <pic:cNvPr descr="images/006_section_results-and-discussion/009_section_ct-profiles/011_section_model-verification/8_time_profile_plot_Fluconazole_Varhe_1996_fluconazole_50mg_po_test.png" id="121" name="Picture"/>
                    <pic:cNvPicPr>
                      <a:picLocks noChangeArrowheads="1" noChangeAspect="1"/>
                    </pic:cNvPicPr>
                  </pic:nvPicPr>
                  <pic:blipFill>
                    <a:blip r:embed="rId11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3-24: Time Profile Analysis</w:t>
      </w:r>
    </w:p>
    <w:p>
      <w:pPr>
        <w:pStyle w:val="BodyText"/>
      </w:pPr>
      <w:r>
        <w:t xml:space="preserve"> </w:t>
      </w:r>
    </w:p>
    <w:bookmarkEnd w:id="122"/>
    <w:bookmarkEnd w:id="123"/>
    <w:bookmarkEnd w:id="124"/>
    <w:bookmarkStart w:id="125" w:name="conclusion"/>
    <w:p>
      <w:pPr>
        <w:pStyle w:val="Heading1"/>
      </w:pPr>
      <w:r>
        <w:t xml:space="preserve">Conclusion</w:t>
      </w:r>
      <w:bookmarkStart w:id="conclusion" w:name="conclusion"/>
      <w:bookmarkEnd w:id="conclusion"/>
    </w:p>
    <w:p>
      <w:pPr>
        <w:pStyle w:val="FirstParagraph"/>
      </w:pPr>
      <w:r>
        <w:t xml:space="preserve">The presented PBPK model adequately describes the intravenous and oral pharmacokinetics of fluconazole in adults.</w:t>
      </w:r>
    </w:p>
    <w:bookmarkEnd w:id="125"/>
    <w:bookmarkStart w:id="126" w:name="references"/>
    <w:p>
      <w:pPr>
        <w:pStyle w:val="Heading1"/>
      </w:pPr>
      <w:r>
        <w:t xml:space="preserve">References</w:t>
      </w:r>
      <w:bookmarkStart w:id="main-references" w:name="main-references"/>
      <w:bookmarkEnd w:id="main-references"/>
    </w:p>
    <w:p>
      <w:pPr>
        <w:pStyle w:val="FirstParagraph"/>
      </w:pPr>
      <w:r>
        <w:rPr>
          <w:bCs/>
          <w:b/>
        </w:rPr>
        <w:t xml:space="preserve">Ahonen 1997</w:t>
      </w:r>
      <w:r>
        <w:t xml:space="preserve"> </w:t>
      </w:r>
      <w:r>
        <w:t xml:space="preserve">Ahonen, Jouni, Klaus T. Olkkola, and Pertti J. Neuvonen. (1997). Effect of route of administration of fluconazole on the interaction between fluconazole and midazolam.</w:t>
      </w:r>
      <w:r>
        <w:t xml:space="preserve"> </w:t>
      </w:r>
      <w:r>
        <w:rPr>
          <w:iCs/>
          <w:i/>
        </w:rPr>
        <w:t xml:space="preserve">European journal of clinical pharmacology</w:t>
      </w:r>
      <w:r>
        <w:t xml:space="preserve"> </w:t>
      </w:r>
      <w:r>
        <w:t xml:space="preserve">51.5, 415-419.</w:t>
      </w:r>
    </w:p>
    <w:p>
      <w:pPr>
        <w:pStyle w:val="BodyText"/>
      </w:pPr>
      <w:r>
        <w:rPr>
          <w:bCs/>
          <w:b/>
        </w:rPr>
        <w:t xml:space="preserve">Brammer 1990</w:t>
      </w:r>
      <w:r>
        <w:t xml:space="preserve"> </w:t>
      </w:r>
      <w:r>
        <w:t xml:space="preserve">Brammer, K. W., P. R. Farrow, and J. K. Faulkner. (1990). Pharmacokinetics and tissue penetration of fluconazole in humans.</w:t>
      </w:r>
      <w:r>
        <w:t xml:space="preserve"> </w:t>
      </w:r>
      <w:r>
        <w:rPr>
          <w:iCs/>
          <w:i/>
        </w:rPr>
        <w:t xml:space="preserve">Reviews of infectious diseases</w:t>
      </w:r>
      <w:r>
        <w:t xml:space="preserve"> </w:t>
      </w:r>
      <w:r>
        <w:t xml:space="preserve">12.Supplement_3, S318-S326.</w:t>
      </w:r>
    </w:p>
    <w:p>
      <w:pPr>
        <w:pStyle w:val="BodyText"/>
      </w:pPr>
      <w:r>
        <w:rPr>
          <w:bCs/>
          <w:b/>
        </w:rPr>
        <w:t xml:space="preserve">Brammer 1991</w:t>
      </w:r>
      <w:r>
        <w:t xml:space="preserve"> </w:t>
      </w:r>
      <w:r>
        <w:t xml:space="preserve">Brammer, K. W., Coakley, A. J., Jezequel, S. G., &amp; Tarbit, M. H. (1991). The disposition and metabolism of [14C] fluconazole in humans.</w:t>
      </w:r>
      <w:r>
        <w:t xml:space="preserve"> </w:t>
      </w:r>
      <w:r>
        <w:rPr>
          <w:iCs/>
          <w:i/>
        </w:rPr>
        <w:t xml:space="preserve">Drug metabolism and disposition</w:t>
      </w:r>
      <w:r>
        <w:t xml:space="preserve"> </w:t>
      </w:r>
      <w:r>
        <w:t xml:space="preserve">19.4, 764-767.</w:t>
      </w:r>
    </w:p>
    <w:p>
      <w:pPr>
        <w:pStyle w:val="BodyText"/>
      </w:pPr>
      <w:r>
        <w:rPr>
          <w:bCs/>
          <w:b/>
        </w:rPr>
        <w:t xml:space="preserve">Charoo 2014</w:t>
      </w:r>
      <w:r>
        <w:t xml:space="preserve"> </w:t>
      </w:r>
      <w:r>
        <w:t xml:space="preserve">Charoo, N., Cristofoletti, R., Graham, A., Lartey, P., Abrahamsson, B., Groot, D. W., … &amp; Dressman, J. (2014). Biowaiver monograph for immediate-release solid oral dosage forms: fluconazole.</w:t>
      </w:r>
      <w:r>
        <w:t xml:space="preserve"> </w:t>
      </w:r>
      <w:r>
        <w:rPr>
          <w:iCs/>
          <w:i/>
        </w:rPr>
        <w:t xml:space="preserve">Journal of pharmaceutical sciences</w:t>
      </w:r>
      <w:r>
        <w:t xml:space="preserve">,</w:t>
      </w:r>
      <w:r>
        <w:t xml:space="preserve"> </w:t>
      </w:r>
      <w:r>
        <w:rPr>
          <w:iCs/>
          <w:i/>
        </w:rPr>
        <w:t xml:space="preserve">103</w:t>
      </w:r>
      <w:r>
        <w:t xml:space="preserve">(12), 3843-3858.</w:t>
      </w:r>
    </w:p>
    <w:p>
      <w:pPr>
        <w:pStyle w:val="BodyText"/>
      </w:pPr>
      <w:r>
        <w:rPr>
          <w:bCs/>
          <w:b/>
        </w:rPr>
        <w:t xml:space="preserve">Cristofoletti 2016</w:t>
      </w:r>
      <w:r>
        <w:t xml:space="preserve"> </w:t>
      </w:r>
      <w:r>
        <w:t xml:space="preserve">Cristofoletti, R., Charoo, N. A., &amp; Dressman, J. B. (2016). Exploratory investigation of the limiting steps of oral absorption of fluconazole and ketoconazole in children using an in silico pediatric absorption model.</w:t>
      </w:r>
      <w:r>
        <w:t xml:space="preserve"> </w:t>
      </w:r>
      <w:r>
        <w:rPr>
          <w:iCs/>
          <w:i/>
        </w:rPr>
        <w:t xml:space="preserve">Journal of pharmaceutical sciences</w:t>
      </w:r>
      <w:r>
        <w:t xml:space="preserve">,</w:t>
      </w:r>
      <w:r>
        <w:t xml:space="preserve"> </w:t>
      </w:r>
      <w:r>
        <w:rPr>
          <w:iCs/>
          <w:i/>
        </w:rPr>
        <w:t xml:space="preserve">105</w:t>
      </w:r>
      <w:r>
        <w:t xml:space="preserve">(9), 2794-2803.</w:t>
      </w:r>
    </w:p>
    <w:p>
      <w:pPr>
        <w:pStyle w:val="BodyText"/>
      </w:pPr>
      <w:r>
        <w:rPr>
          <w:bCs/>
          <w:b/>
        </w:rPr>
        <w:t xml:space="preserve">Debruyne 1993</w:t>
      </w:r>
      <w:r>
        <w:t xml:space="preserve"> </w:t>
      </w:r>
      <w:r>
        <w:t xml:space="preserve">Debruyne, D., &amp; Ryckelynck, J. P. (1993). Clinical pharmacokinetics of fluconazole.</w:t>
      </w:r>
      <w:r>
        <w:t xml:space="preserve"> </w:t>
      </w:r>
      <w:r>
        <w:rPr>
          <w:iCs/>
          <w:i/>
        </w:rPr>
        <w:t xml:space="preserve">Clinical pharmacokinetics</w:t>
      </w:r>
      <w:r>
        <w:t xml:space="preserve">,</w:t>
      </w:r>
      <w:r>
        <w:t xml:space="preserve"> </w:t>
      </w:r>
      <w:r>
        <w:rPr>
          <w:iCs/>
          <w:i/>
        </w:rPr>
        <w:t xml:space="preserve">24</w:t>
      </w:r>
      <w:r>
        <w:t xml:space="preserve">(1), 10-27.</w:t>
      </w:r>
    </w:p>
    <w:p>
      <w:pPr>
        <w:pStyle w:val="BodyText"/>
      </w:pPr>
      <w:r>
        <w:rPr>
          <w:bCs/>
          <w:b/>
        </w:rPr>
        <w:t xml:space="preserve">Kuepfer 2016</w:t>
      </w:r>
      <w:r>
        <w:t xml:space="preserve"> </w:t>
      </w:r>
      <w:r>
        <w:t xml:space="preserve">Kuepfer L, Niederalt C, Wendl T, Schlender JF, Willmann S, Lippert J, Block M, Eissing T, Teutonico D. (2016). Applied Concepts in PBPK Modeling: How to Build a PBPK/PD Model.</w:t>
      </w:r>
      <w:r>
        <w:t xml:space="preserve"> </w:t>
      </w:r>
      <w:r>
        <w:rPr>
          <w:iCs/>
          <w:i/>
        </w:rPr>
        <w:t xml:space="preserve">CPT Pharmacometrics Syst Pharmacol</w:t>
      </w:r>
      <w:r>
        <w:t xml:space="preserve">. Oct;5(10), 516-531.</w:t>
      </w:r>
    </w:p>
    <w:p>
      <w:pPr>
        <w:pStyle w:val="BodyText"/>
      </w:pPr>
      <w:r>
        <w:rPr>
          <w:bCs/>
          <w:b/>
        </w:rPr>
        <w:t xml:space="preserve">Meyer 2012</w:t>
      </w:r>
      <w:r>
        <w:t xml:space="preserve"> </w:t>
      </w:r>
      <w:r>
        <w:t xml:space="preserve">Meyer M, Schneckener S, Ludewig B, Kuepfer L, Lippert J. (2012). Using expression data for quantification of active processes in physiologically based pharmacokinetic modeling.</w:t>
      </w:r>
      <w:r>
        <w:t xml:space="preserve"> </w:t>
      </w:r>
      <w:r>
        <w:rPr>
          <w:iCs/>
          <w:i/>
        </w:rPr>
        <w:t xml:space="preserve">Drug Metab Dispos</w:t>
      </w:r>
      <w:r>
        <w:t xml:space="preserve">. May;40(5), 892-901.</w:t>
      </w:r>
    </w:p>
    <w:p>
      <w:pPr>
        <w:pStyle w:val="BodyText"/>
      </w:pPr>
      <w:r>
        <w:rPr>
          <w:bCs/>
          <w:b/>
        </w:rPr>
        <w:t xml:space="preserve">Nishimura 2003</w:t>
      </w:r>
      <w:r>
        <w:t xml:space="preserve"> </w:t>
      </w:r>
      <w:r>
        <w:t xml:space="preserve">Nishimura M, Yaguti H, Yoshitsugu H, Naito S, Satoh T. (2003). Tissue distribution of mRNA expression of human cytochrome P450 isoforms assessed by high-sensitivity real-time reverse transcription PCR.</w:t>
      </w:r>
      <w:r>
        <w:t xml:space="preserve"> </w:t>
      </w:r>
      <w:r>
        <w:rPr>
          <w:iCs/>
          <w:i/>
        </w:rPr>
        <w:t xml:space="preserve">Yakugaku Zasshi.</w:t>
      </w:r>
      <w:r>
        <w:t xml:space="preserve"> </w:t>
      </w:r>
      <w:r>
        <w:t xml:space="preserve">May;123(5), 369-75.</w:t>
      </w:r>
    </w:p>
    <w:p>
      <w:pPr>
        <w:pStyle w:val="BodyText"/>
      </w:pPr>
      <w:r>
        <w:rPr>
          <w:bCs/>
          <w:b/>
        </w:rPr>
        <w:t xml:space="preserve">Palkama 1998</w:t>
      </w:r>
      <w:r>
        <w:t xml:space="preserve"> </w:t>
      </w:r>
      <w:r>
        <w:t xml:space="preserve">Palkama, V. J., Isohanni, M. H., Neuvonen, P. J., &amp; Olkkola, K. T. (1998). The effect of intravenous and oral fluconazole on the pharmacokinetics and pharmacodynamics of intravenous alfentanil.</w:t>
      </w:r>
      <w:r>
        <w:t xml:space="preserve"> </w:t>
      </w:r>
      <w:r>
        <w:rPr>
          <w:iCs/>
          <w:i/>
        </w:rPr>
        <w:t xml:space="preserve">Anesthesia &amp; Analgesia</w:t>
      </w:r>
      <w:r>
        <w:t xml:space="preserve">,</w:t>
      </w:r>
      <w:r>
        <w:t xml:space="preserve"> </w:t>
      </w:r>
      <w:r>
        <w:rPr>
          <w:iCs/>
          <w:i/>
        </w:rPr>
        <w:t xml:space="preserve">87</w:t>
      </w:r>
      <w:r>
        <w:t xml:space="preserve">(1), 190-194.</w:t>
      </w:r>
    </w:p>
    <w:p>
      <w:pPr>
        <w:pStyle w:val="BodyText"/>
      </w:pPr>
      <w:r>
        <w:rPr>
          <w:bCs/>
          <w:b/>
        </w:rPr>
        <w:t xml:space="preserve">Ripa 1993</w:t>
      </w:r>
      <w:r>
        <w:t xml:space="preserve"> </w:t>
      </w:r>
      <w:r>
        <w:t xml:space="preserve">Ripa, S., Ferrante, L., &amp; Prenna, M. (1993). Pharmacokinetics of fluconazole in normal volunteers.</w:t>
      </w:r>
      <w:r>
        <w:t xml:space="preserve"> </w:t>
      </w:r>
      <w:r>
        <w:rPr>
          <w:iCs/>
          <w:i/>
        </w:rPr>
        <w:t xml:space="preserve">Chemotherapy</w:t>
      </w:r>
      <w:r>
        <w:t xml:space="preserve">,</w:t>
      </w:r>
      <w:r>
        <w:t xml:space="preserve"> </w:t>
      </w:r>
      <w:r>
        <w:rPr>
          <w:iCs/>
          <w:i/>
        </w:rPr>
        <w:t xml:space="preserve">39</w:t>
      </w:r>
      <w:r>
        <w:t xml:space="preserve">(1), 6-12.</w:t>
      </w:r>
    </w:p>
    <w:p>
      <w:pPr>
        <w:pStyle w:val="BodyText"/>
      </w:pPr>
      <w:r>
        <w:rPr>
          <w:bCs/>
          <w:b/>
        </w:rPr>
        <w:t xml:space="preserve">Sakaeda 2005</w:t>
      </w:r>
      <w:r>
        <w:t xml:space="preserve"> </w:t>
      </w:r>
      <w:r>
        <w:t xml:space="preserve">Sakaeda, T., Iwaki, K., Kakumoto, M., Nishikawa, M., Niwa, T., Jin, J. (2005). Effect of micafungin on cytochrome P450 3A4 and multidrug resistance protein 1 activities, and its comparison with azole antifungal drugs.</w:t>
      </w:r>
      <w:r>
        <w:t xml:space="preserve"> </w:t>
      </w:r>
      <w:r>
        <w:rPr>
          <w:iCs/>
          <w:i/>
        </w:rPr>
        <w:t xml:space="preserve">J Pharm Pharmacol</w:t>
      </w:r>
      <w:r>
        <w:t xml:space="preserve">,</w:t>
      </w:r>
      <w:r>
        <w:t xml:space="preserve"> </w:t>
      </w:r>
      <w:r>
        <w:rPr>
          <w:iCs/>
          <w:i/>
        </w:rPr>
        <w:t xml:space="preserve">57</w:t>
      </w:r>
      <w:r>
        <w:t xml:space="preserve">, 759-764.</w:t>
      </w:r>
    </w:p>
    <w:p>
      <w:pPr>
        <w:pStyle w:val="BodyText"/>
      </w:pPr>
      <w:r>
        <w:rPr>
          <w:bCs/>
          <w:b/>
        </w:rPr>
        <w:t xml:space="preserve">Shiba 1990</w:t>
      </w:r>
      <w:r>
        <w:t xml:space="preserve"> </w:t>
      </w:r>
      <w:r>
        <w:t xml:space="preserve">Shiba, K., Saito, A., &amp; Miyahara, T. (1990). Safety and pharmacokinetics of single oral and intravenous doses of fluconazole in healthy subjects.</w:t>
      </w:r>
      <w:r>
        <w:t xml:space="preserve"> </w:t>
      </w:r>
      <w:r>
        <w:rPr>
          <w:iCs/>
          <w:i/>
        </w:rPr>
        <w:t xml:space="preserve">Clinical therapeutics</w:t>
      </w:r>
      <w:r>
        <w:t xml:space="preserve">,</w:t>
      </w:r>
      <w:r>
        <w:t xml:space="preserve"> </w:t>
      </w:r>
      <w:r>
        <w:rPr>
          <w:iCs/>
          <w:i/>
        </w:rPr>
        <w:t xml:space="preserve">12</w:t>
      </w:r>
      <w:r>
        <w:t xml:space="preserve">(3), 206-215.</w:t>
      </w:r>
    </w:p>
    <w:p>
      <w:pPr>
        <w:pStyle w:val="BodyText"/>
      </w:pPr>
      <w:r>
        <w:rPr>
          <w:bCs/>
          <w:b/>
        </w:rPr>
        <w:t xml:space="preserve">Sobue 2004</w:t>
      </w:r>
      <w:r>
        <w:t xml:space="preserve"> </w:t>
      </w:r>
      <w:r>
        <w:t xml:space="preserve">Sobue, S., Tan, K., Layton, G., Eve, M., &amp; Sanderson, J. B. (2004). Pharmacokinetics of fosfluconazole and fluconazole following multiple intravenous administration of fosfluconazole in healthy male volunteers.</w:t>
      </w:r>
      <w:r>
        <w:t xml:space="preserve"> </w:t>
      </w:r>
      <w:r>
        <w:rPr>
          <w:iCs/>
          <w:i/>
        </w:rPr>
        <w:t xml:space="preserve">British journal of clinical pharmacology</w:t>
      </w:r>
      <w:r>
        <w:t xml:space="preserve">,</w:t>
      </w:r>
      <w:r>
        <w:t xml:space="preserve"> </w:t>
      </w:r>
      <w:r>
        <w:rPr>
          <w:iCs/>
          <w:i/>
        </w:rPr>
        <w:t xml:space="preserve">58</w:t>
      </w:r>
      <w:r>
        <w:t xml:space="preserve">(1), 20-25.</w:t>
      </w:r>
    </w:p>
    <w:p>
      <w:pPr>
        <w:pStyle w:val="BodyText"/>
      </w:pPr>
      <w:r>
        <w:rPr>
          <w:bCs/>
          <w:b/>
        </w:rPr>
        <w:t xml:space="preserve">Thorpe 1990</w:t>
      </w:r>
      <w:r>
        <w:t xml:space="preserve"> </w:t>
      </w:r>
      <w:r>
        <w:t xml:space="preserve">Thorpe, J. E., Baker, N., &amp; Bromet-Petit, M. (1990). Effect of oral antacid administration on the pharmacokinetics of oral fluconazole.</w:t>
      </w:r>
      <w:r>
        <w:t xml:space="preserve"> </w:t>
      </w:r>
      <w:r>
        <w:rPr>
          <w:iCs/>
          <w:i/>
        </w:rPr>
        <w:t xml:space="preserve">Antimicrobial agents and chemotherapy</w:t>
      </w:r>
      <w:r>
        <w:t xml:space="preserve">,</w:t>
      </w:r>
      <w:r>
        <w:t xml:space="preserve"> </w:t>
      </w:r>
      <w:r>
        <w:rPr>
          <w:iCs/>
          <w:i/>
        </w:rPr>
        <w:t xml:space="preserve">34</w:t>
      </w:r>
      <w:r>
        <w:t xml:space="preserve">(10), 2032-2033.</w:t>
      </w:r>
    </w:p>
    <w:p>
      <w:pPr>
        <w:pStyle w:val="BodyText"/>
      </w:pPr>
      <w:r>
        <w:rPr>
          <w:bCs/>
          <w:b/>
        </w:rPr>
        <w:t xml:space="preserve">Varhe 1996</w:t>
      </w:r>
      <w:r>
        <w:t xml:space="preserve"> </w:t>
      </w:r>
      <w:r>
        <w:t xml:space="preserve">Varhe, A., Olkkola, K. T., &amp; Neuvonen, P. J. (1996). Effect of fluconazole dose on the extent of fluconazole‐triazolam interaction.</w:t>
      </w:r>
      <w:r>
        <w:t xml:space="preserve"> </w:t>
      </w:r>
      <w:r>
        <w:rPr>
          <w:iCs/>
          <w:i/>
        </w:rPr>
        <w:t xml:space="preserve">British journal of clinical pharmacology</w:t>
      </w:r>
      <w:r>
        <w:t xml:space="preserve">,</w:t>
      </w:r>
      <w:r>
        <w:t xml:space="preserve"> </w:t>
      </w:r>
      <w:r>
        <w:rPr>
          <w:iCs/>
          <w:i/>
        </w:rPr>
        <w:t xml:space="preserve">42</w:t>
      </w:r>
      <w:r>
        <w:t xml:space="preserve">(4), 465-470.</w:t>
      </w:r>
    </w:p>
    <w:p>
      <w:pPr>
        <w:pStyle w:val="BodyText"/>
      </w:pPr>
      <w:r>
        <w:rPr>
          <w:bCs/>
          <w:b/>
        </w:rPr>
        <w:t xml:space="preserve">Watt 2018</w:t>
      </w:r>
      <w:r>
        <w:t xml:space="preserve"> </w:t>
      </w:r>
      <w:r>
        <w:t xml:space="preserve">Watt, K. M., Cohen‐Wolkowiez, M., Barrett, J. S., Sevestre, M., Zhao, P., Brouwer, K. L., &amp; Edginton, A. N. (2018). Physiologically based pharmacokinetic approach to determine dosing on extracorporeal life support: fluconazole in children on ECMO.</w:t>
      </w:r>
      <w:r>
        <w:t xml:space="preserve"> </w:t>
      </w:r>
      <w:r>
        <w:rPr>
          <w:iCs/>
          <w:i/>
        </w:rPr>
        <w:t xml:space="preserve">CPT: pharmacometrics &amp; systems pharmacology</w:t>
      </w:r>
      <w:r>
        <w:t xml:space="preserve">,</w:t>
      </w:r>
      <w:r>
        <w:t xml:space="preserve"> </w:t>
      </w:r>
      <w:r>
        <w:rPr>
          <w:iCs/>
          <w:i/>
        </w:rPr>
        <w:t xml:space="preserve">7</w:t>
      </w:r>
      <w:r>
        <w:t xml:space="preserve">(10), 629-637.</w:t>
      </w:r>
    </w:p>
    <w:p>
      <w:pPr>
        <w:pStyle w:val="BodyText"/>
      </w:pPr>
      <w:r>
        <w:rPr>
          <w:bCs/>
          <w:b/>
        </w:rPr>
        <w:t xml:space="preserve">Willmann 2007</w:t>
      </w:r>
      <w:r>
        <w:t xml:space="preserve"> </w:t>
      </w:r>
      <w:r>
        <w:t xml:space="preserve">Willmann S, Höhn K, Edginton A, Sevestre M, Solodenko J, Weiss W, Lippert J, Schmitt W. (2007). Development of a physiology-based whole-body population model for assessing the influence of individual variability on the pharmacokinetics of drugs.</w:t>
      </w:r>
      <w:r>
        <w:t xml:space="preserve"> </w:t>
      </w:r>
      <w:r>
        <w:rPr>
          <w:iCs/>
          <w:i/>
        </w:rPr>
        <w:t xml:space="preserve">J Pharmacokinet Pharmacodyn.</w:t>
      </w:r>
      <w:r>
        <w:t xml:space="preserve"> </w:t>
      </w:r>
      <w:r>
        <w:t xml:space="preserve">34(3), 401-431.</w:t>
      </w:r>
    </w:p>
    <w:p>
      <w:pPr>
        <w:pStyle w:val="BodyText"/>
      </w:pPr>
      <w:r>
        <w:rPr>
          <w:bCs/>
          <w:b/>
        </w:rPr>
        <w:t xml:space="preserve">Yeates 1994</w:t>
      </w:r>
      <w:r>
        <w:t xml:space="preserve"> </w:t>
      </w:r>
      <w:r>
        <w:t xml:space="preserve">Yeates, R. A., Ruhnke, M., Pfaff, G., Hartmann, A., Trautmann, M., &amp; Sarnow, E. (1994). The pharmacokinetics of fluconazole after a single intravenous dose in AIDS patients.</w:t>
      </w:r>
      <w:r>
        <w:t xml:space="preserve"> </w:t>
      </w:r>
      <w:r>
        <w:rPr>
          <w:iCs/>
          <w:i/>
        </w:rPr>
        <w:t xml:space="preserve">British journal of clinical pharmacology</w:t>
      </w:r>
      <w:r>
        <w:t xml:space="preserve">,</w:t>
      </w:r>
      <w:r>
        <w:t xml:space="preserve"> </w:t>
      </w:r>
      <w:r>
        <w:rPr>
          <w:iCs/>
          <w:i/>
        </w:rPr>
        <w:t xml:space="preserve">38</w:t>
      </w:r>
      <w:r>
        <w:t xml:space="preserve">(1), 77-79.</w:t>
      </w:r>
    </w:p>
    <w:bookmarkEnd w:id="126"/>
    <w:sectPr w:rsidR="00B470D9">
      <w:headerReference r:id="rId9" w:type="default"/>
      <w:footerReference r:id="rId10" w:type="default"/>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20" w:rsidRDefault="00237720">
    <w:pPr>
      <w:pStyle w:val="Footer"/>
      <w:jc w:val="center"/>
    </w:pPr>
  </w:p>
  <w:p w:rsidR="00237720" w:rsidRDefault="002377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20381891"/>
      <w:docPartObj>
        <w:docPartGallery w:val="Page Numbers (Top of Page)"/>
        <w:docPartUnique/>
      </w:docPartObj>
    </w:sdtPr>
    <w:sdtEndPr/>
    <w:sdtContent>
      <w:p w:rsidR="000F07F1" w:rsidRPr="007E2361" w:rsidRDefault="000F07F1" w:rsidP="000F07F1">
        <w:pPr>
          <w:pStyle w:val="Header"/>
          <w:jc w:val="right"/>
          <w:rPr>
            <w:rFonts w:ascii="Times New Roman" w:hAnsi="Times New Roman" w:cs="Times New Roman"/>
          </w:rPr>
        </w:pPr>
        <w:r w:rsidRPr="007E2361">
          <w:rPr>
            <w:rFonts w:ascii="Times New Roman" w:hAnsi="Times New Roman" w:cs="Times New Roman"/>
            <w:lang w:val="de-DE"/>
          </w:rPr>
          <w:t xml:space="preserve">Page </w:t>
        </w:r>
        <w:r w:rsidRPr="007E2361">
          <w:rPr>
            <w:rFonts w:ascii="Times New Roman" w:hAnsi="Times New Roman" w:cs="Times New Roman"/>
          </w:rPr>
          <w:fldChar w:fldCharType="begin"/>
        </w:r>
        <w:r w:rsidRPr="007E2361">
          <w:rPr>
            <w:rFonts w:ascii="Times New Roman" w:hAnsi="Times New Roman" w:cs="Times New Roman"/>
          </w:rPr>
          <w:instrText>PAGE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rPr>
          <w:fldChar w:fldCharType="end"/>
        </w:r>
        <w:r w:rsidRPr="007E2361">
          <w:rPr>
            <w:rFonts w:ascii="Times New Roman" w:hAnsi="Times New Roman" w:cs="Times New Roman"/>
            <w:lang w:val="de-DE"/>
          </w:rPr>
          <w:t xml:space="preserve"> of </w:t>
        </w:r>
        <w:r w:rsidRPr="007E2361">
          <w:rPr>
            <w:rFonts w:ascii="Times New Roman" w:hAnsi="Times New Roman" w:cs="Times New Roman"/>
          </w:rPr>
          <w:fldChar w:fldCharType="begin"/>
        </w:r>
        <w:r w:rsidRPr="007E2361">
          <w:rPr>
            <w:rFonts w:ascii="Times New Roman" w:hAnsi="Times New Roman" w:cs="Times New Roman"/>
          </w:rPr>
          <w:instrText>NUMPAGES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lang w:val="de-DE"/>
          </w:rPr>
          <w:fldChar w:fldCharType="end"/>
        </w:r>
      </w:p>
    </w:sdtContent>
  </w:sdt>
  <w:p w:rsidR="000F07F1" w:rsidRDefault="000F07F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52D2BC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D6823F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14951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B28122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966F83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746C5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1D6116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6DCFC3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B43C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3B06E4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E7ACB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6E7027"/>
    <w:multiLevelType w:val="multilevel"/>
    <w:tmpl w:val="CFB603AE"/>
    <w:styleLink w:val="REVersuch2"/>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1.%2.%3.%4"/>
      <w:lvlJc w:val="left"/>
      <w:pPr>
        <w:ind w:hanging="360" w:left="1440"/>
      </w:pPr>
      <w:rPr>
        <w:rFonts w:hint="default"/>
      </w:rPr>
    </w:lvl>
    <w:lvl w:ilvl="4">
      <w:start w:val="1"/>
      <w:numFmt w:val="decimal"/>
      <w:lvlText w:val="%1.%2.%3.%4.%5"/>
      <w:lvlJc w:val="left"/>
      <w:pPr>
        <w:ind w:hanging="360" w:left="1800"/>
      </w:pPr>
      <w:rPr>
        <w:rFonts w:hint="default"/>
      </w:rPr>
    </w:lvl>
    <w:lvl w:ilvl="5">
      <w:start w:val="1"/>
      <w:numFmt w:val="decimal"/>
      <w:lvlText w:val="%1.%2.%3.%4.%5.%6"/>
      <w:lvlJc w:val="left"/>
      <w:pPr>
        <w:ind w:hanging="360" w:left="2160"/>
      </w:pPr>
      <w:rPr>
        <w:rFonts w:hint="default"/>
      </w:rPr>
    </w:lvl>
    <w:lvl w:ilvl="6">
      <w:start w:val="1"/>
      <w:numFmt w:val="decimal"/>
      <w:lvlText w:val="%1.%2.%3.%4.%5.%6.%7"/>
      <w:lvlJc w:val="left"/>
      <w:pPr>
        <w:ind w:hanging="360" w:left="2520"/>
      </w:pPr>
      <w:rPr>
        <w:rFonts w:hint="default"/>
      </w:rPr>
    </w:lvl>
    <w:lvl w:ilvl="7">
      <w:start w:val="1"/>
      <w:numFmt w:val="decimal"/>
      <w:lvlText w:val="%1.%2.%3.%4.%5.%6.%7.%8"/>
      <w:lvlJc w:val="left"/>
      <w:pPr>
        <w:ind w:hanging="360" w:left="2880"/>
      </w:pPr>
      <w:rPr>
        <w:rFonts w:hint="default"/>
      </w:rPr>
    </w:lvl>
    <w:lvl w:ilvl="8">
      <w:start w:val="1"/>
      <w:numFmt w:val="decimal"/>
      <w:lvlText w:val="%1.%2.%3.%4.%5.%6.%7.%8.%9"/>
      <w:lvlJc w:val="left"/>
      <w:pPr>
        <w:ind w:hanging="360" w:left="3240"/>
      </w:pPr>
      <w:rPr>
        <w:rFonts w:hint="default"/>
      </w:rPr>
    </w:lvl>
  </w:abstractNum>
  <w:abstractNum w15:restartNumberingAfterBreak="0" w:abstractNumId="12">
    <w:nsid w:val="2F4367A2"/>
    <w:multiLevelType w:val="hybridMultilevel"/>
    <w:tmpl w:val="0E94A3F2"/>
    <w:lvl w:ilvl="0" w:tplc="6FFEDB94">
      <w:start w:val="1"/>
      <w:numFmt w:val="decimal"/>
      <w:lvlText w:val="Figur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3">
    <w:nsid w:val="439D272C"/>
    <w:multiLevelType w:val="multilevel"/>
    <w:tmpl w:val="5E8A4980"/>
    <w:lvl w:ilvl="0">
      <w:start w:val="1"/>
      <w:numFmt w:val="decimal"/>
      <w:pStyle w:val="Heading1"/>
      <w:lvlText w:val="%1"/>
      <w:lvlJc w:val="left"/>
      <w:pPr>
        <w:ind w:hanging="1134" w:left="1134"/>
      </w:pPr>
      <w:rPr>
        <w:rFonts w:hint="default"/>
      </w:rPr>
    </w:lvl>
    <w:lvl w:ilvl="1">
      <w:start w:val="1"/>
      <w:numFmt w:val="decimal"/>
      <w:pStyle w:val="Heading2"/>
      <w:lvlText w:val="%1.%2"/>
      <w:lvlJc w:val="left"/>
      <w:pPr>
        <w:ind w:hanging="1134" w:left="1134"/>
      </w:pPr>
      <w:rPr>
        <w:rFonts w:hint="default"/>
      </w:rPr>
    </w:lvl>
    <w:lvl w:ilvl="2">
      <w:start w:val="1"/>
      <w:numFmt w:val="decimal"/>
      <w:pStyle w:val="Heading3"/>
      <w:lvlText w:val="%1.%2.%3"/>
      <w:lvlJc w:val="left"/>
      <w:pPr>
        <w:ind w:hanging="1134" w:left="1134"/>
      </w:pPr>
      <w:rPr>
        <w:rFonts w:hint="default"/>
      </w:rPr>
    </w:lvl>
    <w:lvl w:ilvl="3">
      <w:start w:val="1"/>
      <w:numFmt w:val="decimal"/>
      <w:pStyle w:val="Heading4"/>
      <w:lvlText w:val="%1.%2.%3.%4"/>
      <w:lvlJc w:val="left"/>
      <w:pPr>
        <w:ind w:hanging="1134" w:left="1134"/>
      </w:pPr>
      <w:rPr>
        <w:rFonts w:hint="default"/>
      </w:rPr>
    </w:lvl>
    <w:lvl w:ilvl="4">
      <w:start w:val="1"/>
      <w:numFmt w:val="decimal"/>
      <w:pStyle w:val="Heading5"/>
      <w:lvlText w:val="%1.%2.%3.%4.%5"/>
      <w:lvlJc w:val="left"/>
      <w:pPr>
        <w:ind w:hanging="1134" w:left="1134"/>
      </w:pPr>
      <w:rPr>
        <w:rFonts w:hint="default"/>
      </w:rPr>
    </w:lvl>
    <w:lvl w:ilvl="5">
      <w:start w:val="1"/>
      <w:numFmt w:val="decimal"/>
      <w:pStyle w:val="Heading6"/>
      <w:lvlText w:val="%1.%2.%3.%4.%5.%6"/>
      <w:lvlJc w:val="left"/>
      <w:pPr>
        <w:ind w:hanging="1134" w:left="1134"/>
      </w:pPr>
      <w:rPr>
        <w:rFonts w:hint="default"/>
      </w:rPr>
    </w:lvl>
    <w:lvl w:ilvl="6">
      <w:start w:val="1"/>
      <w:numFmt w:val="decimal"/>
      <w:pStyle w:val="Heading7"/>
      <w:lvlText w:val="%1.%2.%3.%4.%5.%6.%7"/>
      <w:lvlJc w:val="left"/>
      <w:pPr>
        <w:ind w:hanging="1134" w:left="1134"/>
      </w:pPr>
      <w:rPr>
        <w:rFonts w:hint="default"/>
      </w:rPr>
    </w:lvl>
    <w:lvl w:ilvl="7">
      <w:start w:val="1"/>
      <w:numFmt w:val="decimal"/>
      <w:pStyle w:val="Heading8"/>
      <w:lvlText w:val="%1.%2.%3.%4.%5.%6.%7.%8"/>
      <w:lvlJc w:val="left"/>
      <w:pPr>
        <w:ind w:hanging="1134" w:left="1134"/>
      </w:pPr>
      <w:rPr>
        <w:rFonts w:hint="default"/>
      </w:rPr>
    </w:lvl>
    <w:lvl w:ilvl="8">
      <w:start w:val="1"/>
      <w:numFmt w:val="decimal"/>
      <w:pStyle w:val="Heading9"/>
      <w:lvlText w:val="%1.%2.%3.%4.%5.%6.%7.%8.%9"/>
      <w:lvlJc w:val="left"/>
      <w:pPr>
        <w:ind w:hanging="1134" w:left="1134"/>
      </w:pPr>
      <w:rPr>
        <w:rFonts w:hint="default"/>
      </w:rPr>
    </w:lvl>
  </w:abstractNum>
  <w:abstractNum w15:restartNumberingAfterBreak="0" w:abstractNumId="14">
    <w:nsid w:val="4E027060"/>
    <w:multiLevelType w:val="hybridMultilevel"/>
    <w:tmpl w:val="BDE6AA42"/>
    <w:lvl w:ilvl="0" w:tplc="9976DFBA">
      <w:start w:val="1"/>
      <w:numFmt w:val="decimal"/>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7675838"/>
    <w:multiLevelType w:val="multilevel"/>
    <w:tmpl w:val="CFB603AE"/>
    <w:numStyleLink w:val="REVersuch2"/>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rsid w:val="00DF4C3C"/>
    <w:pPr>
      <w:keepNext/>
      <w:keepLines/>
      <w:pageBreakBefore/>
      <w:numPr>
        <w:numId w:val="14"/>
      </w:numPr>
      <w:spacing w:after="0"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D500C1"/>
    <w:pPr>
      <w:keepNext/>
      <w:keepLines/>
      <w:numPr>
        <w:ilvl w:val="1"/>
        <w:numId w:val="14"/>
      </w:numPr>
      <w:spacing w:after="0" w:before="200"/>
      <w:outlineLvl w:val="1"/>
    </w:pPr>
    <w:rPr>
      <w:rFonts w:ascii="Times New Roman" w:cstheme="majorBidi" w:eastAsiaTheme="majorEastAsia" w:hAnsi="Times New Roman"/>
      <w:b/>
      <w:bCs/>
      <w:sz w:val="26"/>
      <w:szCs w:val="28"/>
    </w:rPr>
  </w:style>
  <w:style w:styleId="Heading3" w:type="paragraph">
    <w:name w:val="heading 3"/>
    <w:basedOn w:val="Normal"/>
    <w:next w:val="BodyText"/>
    <w:uiPriority w:val="9"/>
    <w:unhideWhenUsed/>
    <w:qFormat/>
    <w:rsid w:val="00D500C1"/>
    <w:pPr>
      <w:keepNext/>
      <w:keepLines/>
      <w:numPr>
        <w:ilvl w:val="2"/>
        <w:numId w:val="14"/>
      </w:numPr>
      <w:spacing w:after="0" w:before="200"/>
      <w:outlineLvl w:val="2"/>
    </w:pPr>
    <w:rPr>
      <w:rFonts w:ascii="Times New Roman" w:cstheme="majorBidi" w:eastAsiaTheme="majorEastAsia" w:hAnsi="Times New Roman"/>
      <w:b/>
      <w:bCs/>
      <w:sz w:val="26"/>
    </w:rPr>
  </w:style>
  <w:style w:styleId="Heading4" w:type="paragraph">
    <w:name w:val="heading 4"/>
    <w:basedOn w:val="Normal"/>
    <w:next w:val="BodyText"/>
    <w:uiPriority w:val="9"/>
    <w:unhideWhenUsed/>
    <w:qFormat/>
    <w:rsid w:val="00D500C1"/>
    <w:pPr>
      <w:keepNext/>
      <w:keepLines/>
      <w:numPr>
        <w:ilvl w:val="3"/>
        <w:numId w:val="14"/>
      </w:numPr>
      <w:spacing w:after="0" w:before="200"/>
      <w:outlineLvl w:val="3"/>
    </w:pPr>
    <w:rPr>
      <w:rFonts w:ascii="Times New Roman" w:cstheme="majorBidi" w:eastAsiaTheme="majorEastAsia" w:hAnsi="Times New Roman"/>
      <w:b/>
      <w:bCs/>
      <w:sz w:val="26"/>
    </w:rPr>
  </w:style>
  <w:style w:styleId="Heading5" w:type="paragraph">
    <w:name w:val="heading 5"/>
    <w:basedOn w:val="Normal"/>
    <w:next w:val="BodyText"/>
    <w:uiPriority w:val="9"/>
    <w:unhideWhenUsed/>
    <w:qFormat/>
    <w:rsid w:val="00D500C1"/>
    <w:pPr>
      <w:keepNext/>
      <w:keepLines/>
      <w:numPr>
        <w:ilvl w:val="4"/>
        <w:numId w:val="14"/>
      </w:numPr>
      <w:spacing w:after="0" w:before="200"/>
      <w:outlineLvl w:val="4"/>
    </w:pPr>
    <w:rPr>
      <w:rFonts w:ascii="Times New Roman" w:cstheme="majorBidi" w:eastAsiaTheme="majorEastAsia" w:hAnsi="Times New Roman"/>
      <w:b/>
      <w:iCs/>
      <w:sz w:val="26"/>
    </w:rPr>
  </w:style>
  <w:style w:styleId="Heading6" w:type="paragraph">
    <w:name w:val="heading 6"/>
    <w:basedOn w:val="Normal"/>
    <w:next w:val="BodyText"/>
    <w:uiPriority w:val="9"/>
    <w:unhideWhenUsed/>
    <w:qFormat/>
    <w:rsid w:val="00D500C1"/>
    <w:pPr>
      <w:keepNext/>
      <w:keepLines/>
      <w:numPr>
        <w:ilvl w:val="5"/>
        <w:numId w:val="14"/>
      </w:numPr>
      <w:spacing w:after="0" w:before="200"/>
      <w:outlineLvl w:val="5"/>
    </w:pPr>
    <w:rPr>
      <w:rFonts w:ascii="Times New Roman" w:cstheme="majorBidi" w:eastAsiaTheme="majorEastAsia" w:hAnsi="Times New Roman"/>
      <w:b/>
      <w:sz w:val="26"/>
    </w:rPr>
  </w:style>
  <w:style w:styleId="Heading7" w:type="paragraph">
    <w:name w:val="heading 7"/>
    <w:basedOn w:val="Normal"/>
    <w:next w:val="BodyText"/>
    <w:uiPriority w:val="9"/>
    <w:unhideWhenUsed/>
    <w:qFormat/>
    <w:rsid w:val="00D500C1"/>
    <w:pPr>
      <w:keepNext/>
      <w:keepLines/>
      <w:numPr>
        <w:ilvl w:val="6"/>
        <w:numId w:val="14"/>
      </w:numPr>
      <w:spacing w:after="0" w:before="200"/>
      <w:outlineLvl w:val="6"/>
    </w:pPr>
    <w:rPr>
      <w:rFonts w:ascii="Times New Roman" w:cstheme="majorBidi" w:eastAsiaTheme="majorEastAsia" w:hAnsi="Times New Roman"/>
      <w:b/>
      <w:sz w:val="26"/>
    </w:rPr>
  </w:style>
  <w:style w:styleId="Heading8" w:type="paragraph">
    <w:name w:val="heading 8"/>
    <w:basedOn w:val="Normal"/>
    <w:next w:val="BodyText"/>
    <w:uiPriority w:val="9"/>
    <w:unhideWhenUsed/>
    <w:qFormat/>
    <w:rsid w:val="00D500C1"/>
    <w:pPr>
      <w:keepNext/>
      <w:keepLines/>
      <w:numPr>
        <w:ilvl w:val="7"/>
        <w:numId w:val="14"/>
      </w:numPr>
      <w:spacing w:after="0" w:before="200"/>
      <w:outlineLvl w:val="7"/>
    </w:pPr>
    <w:rPr>
      <w:rFonts w:ascii="Times New Roman" w:cstheme="majorBidi" w:eastAsiaTheme="majorEastAsia" w:hAnsi="Times New Roman"/>
      <w:b/>
      <w:sz w:val="26"/>
    </w:rPr>
  </w:style>
  <w:style w:styleId="Heading9" w:type="paragraph">
    <w:name w:val="heading 9"/>
    <w:basedOn w:val="Normal"/>
    <w:next w:val="BodyText"/>
    <w:uiPriority w:val="9"/>
    <w:unhideWhenUsed/>
    <w:qFormat/>
    <w:rsid w:val="00D500C1"/>
    <w:pPr>
      <w:keepNext/>
      <w:keepLines/>
      <w:numPr>
        <w:ilvl w:val="8"/>
        <w:numId w:val="14"/>
      </w:numPr>
      <w:spacing w:after="0" w:before="200"/>
      <w:outlineLvl w:val="8"/>
    </w:pPr>
    <w:rPr>
      <w:rFonts w:ascii="Times New Roman" w:cstheme="majorBidi" w:eastAsiaTheme="majorEastAsia" w:hAnsi="Times New Roman"/>
      <w:b/>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034F3"/>
    <w:pPr>
      <w:spacing w:after="180" w:before="180" w:line="360" w:lineRule="auto"/>
    </w:pPr>
    <w:rPr>
      <w:rFonts w:ascii="Arial" w:hAnsi="Arial"/>
      <w:sz w:val="20"/>
    </w:rPr>
  </w:style>
  <w:style w:customStyle="1" w:styleId="FirstParagraph" w:type="paragraph">
    <w:name w:val="First Paragraph"/>
    <w:basedOn w:val="BodyText"/>
    <w:next w:val="BodyText"/>
    <w:autoRedefine/>
    <w:qFormat/>
    <w:rsid w:val="008D31A4"/>
  </w:style>
  <w:style w:customStyle="1" w:styleId="Compact" w:type="paragraph">
    <w:name w:val="Compact"/>
    <w:basedOn w:val="BodyText"/>
    <w:autoRedefine/>
    <w:qFormat/>
    <w:rsid w:val="008D31A4"/>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8D31A4"/>
    <w:pPr>
      <w:keepNext/>
      <w:keepLines/>
      <w:jc w:val="center"/>
    </w:pPr>
    <w:rPr>
      <w:rFonts w:ascii="Arial" w:hAnsi="Arial"/>
    </w:rPr>
  </w:style>
  <w:style w:styleId="Date" w:type="paragraph">
    <w:name w:val="Date"/>
    <w:next w:val="BodyText"/>
    <w:autoRedefine/>
    <w:qFormat/>
    <w:rsid w:val="008D31A4"/>
    <w:pPr>
      <w:keepNext/>
      <w:keepLines/>
      <w:jc w:val="center"/>
    </w:pPr>
    <w:rPr>
      <w:rFonts w:ascii="Arial" w:hAnsi="Arial"/>
    </w:rPr>
  </w:style>
  <w:style w:customStyle="1" w:styleId="Abstract" w:type="paragraph">
    <w:name w:val="Abstract"/>
    <w:basedOn w:val="Normal"/>
    <w:next w:val="BodyText"/>
    <w:autoRedefine/>
    <w:qFormat/>
    <w:rsid w:val="008D31A4"/>
    <w:pPr>
      <w:keepNext/>
      <w:keepLines/>
      <w:spacing w:after="300" w:before="300"/>
      <w:jc w:val="both"/>
    </w:pPr>
    <w:rPr>
      <w:rFonts w:ascii="Arial" w:hAnsi="Arial"/>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GridTable1Light"/>
    <w:semiHidden/>
    <w:unhideWhenUsed/>
    <w:qFormat/>
    <w:rsid w:val="008F3A26"/>
    <w:rPr>
      <w:rFonts w:ascii="Arial" w:hAnsi="Arial"/>
      <w:sz w:val="20"/>
      <w:szCs w:val="20"/>
      <w:lang w:eastAsia="en-CA" w:val="en-CA"/>
    </w:rPr>
    <w:tblPr/>
    <w:tcPr>
      <w:vAlign w:val="center"/>
    </w:tcPr>
    <w:tblStylePr w:type="firstRow">
      <w:rPr>
        <w:b/>
        <w:bCs/>
      </w:rPr>
      <w:tblPr/>
      <w:tcPr>
        <w:tcBorders>
          <w:bottom w:color="666666" w:space="0" w:sz="12" w:themeColor="text1" w:themeTint="99" w:val="single"/>
        </w:tcBorders>
      </w:tcPr>
    </w:tblStylePr>
    <w:tblStylePr w:type="lastRow">
      <w:rPr>
        <w:b w:val="0"/>
        <w:bCs/>
      </w:rPr>
      <w:tblPr/>
      <w:tcPr>
        <w:tcBorders>
          <w:top w:color="BFBFBF" w:space="0" w:sz="4" w:themeColor="background1" w:themeShade="BF" w:val="single"/>
        </w:tcBorders>
      </w:tcPr>
    </w:tblStylePr>
    <w:tblStylePr w:type="firstCol">
      <w:rPr>
        <w:b/>
        <w:bCs/>
      </w:rPr>
    </w:tblStylePr>
    <w:tblStylePr w:type="lastCol">
      <w:rPr>
        <w:b w:val="0"/>
        <w:bCs/>
      </w:rPr>
    </w:tblStylePr>
    <w:tblStylePr w:type="swCell">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CB69FF"/>
    <w:pPr>
      <w:keepNext/>
      <w:spacing w:before="120"/>
    </w:pPr>
    <w:rPr>
      <w:rFonts w:ascii="Arial" w:hAnsi="Arial"/>
      <w:b/>
      <w:i w:val="0"/>
      <w:sz w:val="20"/>
    </w:rPr>
  </w:style>
  <w:style w:customStyle="1" w:styleId="ImageCaption" w:type="paragraph">
    <w:name w:val="Image Caption"/>
    <w:basedOn w:val="Caption"/>
    <w:rsid w:val="00CB69FF"/>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uiPriority w:val="99"/>
    <w:rsid w:val="007E2361"/>
    <w:rPr>
      <w:color w:val="0000FF"/>
    </w:rPr>
  </w:style>
  <w:style w:styleId="TOCHeading" w:type="paragraph">
    <w:name w:val="TOC Heading"/>
    <w:aliases w:val="RE_TableOfContent"/>
    <w:next w:val="BodyText"/>
    <w:uiPriority w:val="39"/>
    <w:unhideWhenUsed/>
    <w:qFormat/>
    <w:rsid w:val="00D500C1"/>
    <w:pPr>
      <w:spacing w:before="240" w:line="259" w:lineRule="auto"/>
    </w:pPr>
    <w:rPr>
      <w:rFonts w:ascii="Times New Roman" w:cstheme="majorBidi" w:eastAsiaTheme="majorEastAsia" w:hAnsi="Times New Roman"/>
      <w:b/>
      <w:szCs w:val="32"/>
    </w:rPr>
  </w:style>
  <w:style w:styleId="Header" w:type="paragraph">
    <w:name w:val="header"/>
    <w:basedOn w:val="Normal"/>
    <w:link w:val="HeaderChar"/>
    <w:unhideWhenUsed/>
    <w:rsid w:val="00237720"/>
    <w:pPr>
      <w:tabs>
        <w:tab w:pos="4536" w:val="center"/>
        <w:tab w:pos="9072" w:val="right"/>
      </w:tabs>
      <w:spacing w:after="0"/>
    </w:pPr>
  </w:style>
  <w:style w:customStyle="1" w:styleId="HeaderChar" w:type="character">
    <w:name w:val="Header Char"/>
    <w:basedOn w:val="DefaultParagraphFont"/>
    <w:link w:val="Header"/>
    <w:rsid w:val="00237720"/>
  </w:style>
  <w:style w:styleId="Footer" w:type="paragraph">
    <w:name w:val="footer"/>
    <w:basedOn w:val="Normal"/>
    <w:link w:val="FooterChar"/>
    <w:uiPriority w:val="99"/>
    <w:unhideWhenUsed/>
    <w:rsid w:val="00237720"/>
    <w:pPr>
      <w:tabs>
        <w:tab w:pos="4536" w:val="center"/>
        <w:tab w:pos="9072" w:val="right"/>
      </w:tabs>
      <w:spacing w:after="0"/>
    </w:pPr>
  </w:style>
  <w:style w:customStyle="1" w:styleId="FooterChar" w:type="character">
    <w:name w:val="Footer Char"/>
    <w:basedOn w:val="DefaultParagraphFont"/>
    <w:link w:val="Footer"/>
    <w:uiPriority w:val="99"/>
    <w:rsid w:val="00237720"/>
  </w:style>
  <w:style w:customStyle="1" w:styleId="REVersuch2" w:type="numbering">
    <w:name w:val="RE_Versuch_2"/>
    <w:uiPriority w:val="99"/>
    <w:rsid w:val="00F5435A"/>
    <w:pPr>
      <w:numPr>
        <w:numId w:val="12"/>
      </w:numPr>
    </w:pPr>
  </w:style>
  <w:style w:customStyle="1" w:styleId="BodyTextChar" w:type="character">
    <w:name w:val="Body Text Char"/>
    <w:basedOn w:val="DefaultParagraphFont"/>
    <w:link w:val="BodyText"/>
    <w:rsid w:val="00B034F3"/>
    <w:rPr>
      <w:rFonts w:ascii="Arial" w:hAnsi="Arial"/>
      <w:sz w:val="20"/>
    </w:rPr>
  </w:style>
  <w:style w:styleId="TOC2" w:type="paragraph">
    <w:name w:val="toc 2"/>
    <w:basedOn w:val="Normal"/>
    <w:next w:val="Normal"/>
    <w:autoRedefine/>
    <w:uiPriority w:val="39"/>
    <w:unhideWhenUsed/>
    <w:rsid w:val="00F45D3A"/>
    <w:pPr>
      <w:tabs>
        <w:tab w:pos="880" w:val="left"/>
        <w:tab w:leader="dot" w:pos="9396" w:val="right"/>
      </w:tabs>
      <w:spacing w:after="0"/>
      <w:ind w:hanging="624" w:left="624" w:right="284"/>
    </w:pPr>
    <w:rPr>
      <w:rFonts w:ascii="Times New Roman" w:hAnsi="Times New Roman"/>
      <w:color w:val="0000FF"/>
    </w:rPr>
  </w:style>
  <w:style w:styleId="TOC1" w:type="paragraph">
    <w:name w:val="toc 1"/>
    <w:basedOn w:val="Normal"/>
    <w:next w:val="Normal"/>
    <w:autoRedefine/>
    <w:uiPriority w:val="39"/>
    <w:unhideWhenUsed/>
    <w:rsid w:val="00F45D3A"/>
    <w:pPr>
      <w:spacing w:after="0" w:before="120"/>
      <w:ind w:hanging="425" w:left="425" w:right="284"/>
    </w:pPr>
    <w:rPr>
      <w:rFonts w:ascii="Times New Roman" w:hAnsi="Times New Roman"/>
      <w:b/>
      <w:color w:val="0000FF"/>
    </w:rPr>
  </w:style>
  <w:style w:styleId="TOC3" w:type="paragraph">
    <w:name w:val="toc 3"/>
    <w:basedOn w:val="Normal"/>
    <w:next w:val="Normal"/>
    <w:autoRedefine/>
    <w:uiPriority w:val="39"/>
    <w:unhideWhenUsed/>
    <w:rsid w:val="00F45D3A"/>
    <w:pPr>
      <w:tabs>
        <w:tab w:pos="1320" w:val="left"/>
        <w:tab w:leader="dot" w:pos="9396" w:val="right"/>
      </w:tabs>
      <w:spacing w:after="0"/>
      <w:ind w:hanging="822" w:left="822" w:right="284"/>
    </w:pPr>
    <w:rPr>
      <w:rFonts w:ascii="Times New Roman" w:hAnsi="Times New Roman"/>
      <w:color w:val="0000FF"/>
    </w:rPr>
  </w:style>
  <w:style w:styleId="TOC4" w:type="paragraph">
    <w:name w:val="toc 4"/>
    <w:basedOn w:val="Normal"/>
    <w:next w:val="Normal"/>
    <w:autoRedefine/>
    <w:uiPriority w:val="39"/>
    <w:unhideWhenUsed/>
    <w:rsid w:val="00F45D3A"/>
    <w:pPr>
      <w:tabs>
        <w:tab w:pos="1540" w:val="left"/>
        <w:tab w:leader="dot" w:pos="9396" w:val="right"/>
      </w:tabs>
      <w:spacing w:after="0"/>
      <w:ind w:hanging="1021" w:left="1021" w:right="284"/>
    </w:pPr>
    <w:rPr>
      <w:rFonts w:ascii="Times New Roman" w:hAnsi="Times New Roman"/>
      <w:color w:val="0000FF"/>
    </w:rPr>
  </w:style>
  <w:style w:styleId="TOC5" w:type="paragraph">
    <w:name w:val="toc 5"/>
    <w:basedOn w:val="Normal"/>
    <w:next w:val="Normal"/>
    <w:autoRedefine/>
    <w:uiPriority w:val="39"/>
    <w:unhideWhenUsed/>
    <w:rsid w:val="00F45D3A"/>
    <w:pPr>
      <w:tabs>
        <w:tab w:pos="1880" w:val="left"/>
        <w:tab w:leader="dot" w:pos="9396" w:val="right"/>
      </w:tabs>
      <w:spacing w:after="0"/>
      <w:ind w:hanging="1219" w:left="1219" w:right="284"/>
    </w:pPr>
    <w:rPr>
      <w:rFonts w:ascii="Times New Roman" w:hAnsi="Times New Roman"/>
      <w:color w:val="0000FF"/>
    </w:rPr>
  </w:style>
  <w:style w:styleId="Index1" w:type="paragraph">
    <w:name w:val="index 1"/>
    <w:basedOn w:val="Normal"/>
    <w:next w:val="Normal"/>
    <w:autoRedefine/>
    <w:rsid w:val="00830389"/>
    <w:pPr>
      <w:spacing w:after="0"/>
      <w:ind w:hanging="240" w:left="240"/>
    </w:pPr>
  </w:style>
  <w:style w:styleId="TableofFigures" w:type="paragraph">
    <w:name w:val="table of figures"/>
    <w:basedOn w:val="Normal"/>
    <w:next w:val="Normal"/>
    <w:uiPriority w:val="99"/>
    <w:unhideWhenUsed/>
    <w:rsid w:val="00162E8B"/>
    <w:pPr>
      <w:spacing w:after="0"/>
    </w:pPr>
    <w:rPr>
      <w:rFonts w:ascii="Times New Roman" w:hAnsi="Times New Roman"/>
      <w:color w:val="0000FF"/>
    </w:rPr>
  </w:style>
  <w:style w:styleId="GridTable1Light" w:type="table">
    <w:name w:val="Grid Table 1 Light"/>
    <w:basedOn w:val="TableNormal"/>
    <w:rsid w:val="008D31A4"/>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55" Target="media/rId5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118</Words>
  <Characters>679</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and evaluation of a PBPK model for Fluconazole in healthy adults</dc:title>
  <dc:creator/>
  <cp:keywords/>
  <dcterms:created xsi:type="dcterms:W3CDTF">2025-05-06T17:03:21Z</dcterms:created>
  <dcterms:modified xsi:type="dcterms:W3CDTF">2025-05-06T17:03:21Z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Version1.0-OSP12.0based on Model Snapshot and Evaluation Planhttps://github.com/Open-Systems-Pharmacology/Fluconazole-Model/releases/tag/v1.0OSP Version12.0Qualification Framework Version3.3This evaluation report and the corresponding PK-Sim project file are filed at:https://github.com/Open-Systems-Pharmacology/OSP-PBPK-Model-Library/</vt:lpwstr>
  </property>
  <property fmtid="{D5CDD505-2E9C-101B-9397-08002B2CF9AE}" pid="3" name="subtitle">
    <vt:lpwstr/>
  </property>
</Properties>
</file>