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8.png" ContentType="image/png"/>
  <Override PartName="/word/media/rId51.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83.png" ContentType="image/png"/>
  <Override PartName="/word/media/rId86.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Pitavastatin</w:t>
      </w:r>
      <w:r>
        <w:t xml:space="preserve"> </w:t>
      </w:r>
      <w:r>
        <w:t xml:space="preserve">in</w:t>
      </w:r>
      <w:r>
        <w:t xml:space="preserve"> </w:t>
      </w:r>
      <w:r>
        <w:t xml:space="preserve">healthy</w:t>
      </w:r>
      <w:r>
        <w:t xml:space="preserve"> </w:t>
      </w:r>
      <w:r>
        <w:t xml:space="preserve">adults</w:t>
      </w:r>
    </w:p>
    <w:p>
      <w:pPr>
        <w:pStyle w:val="AbstractTitle"/>
      </w:pPr>
      <w:r>
        <w:t xml:space="preserve">Abstract</w:t>
      </w:r>
    </w:p>
    <w:tbl>
      <w:tblPr>
        <w:tblStyle w:val="Table"/>
        <w:tblW w:type="pct" w:w="5000"/>
        <w:tblLook w:firstRow="1" w:lastRow="0" w:firstColumn="0" w:lastColumn="0" w:noHBand="0" w:noVBand="0" w:val="0020"/>
        <w:jc w:val="start"/>
      </w:tblPr>
      <w:tblGrid>
        <w:gridCol w:w="3478"/>
        <w:gridCol w:w="4441"/>
      </w:tblGrid>
      <w:tr>
        <w:trPr>
          <w:tblHeader w:val="true"/>
        </w:trPr>
        <w:tc>
          <w:tcPr/>
          <w:p>
            <w:pPr>
              <w:pStyle w:val="Compact"/>
              <w:jc w:val="left"/>
            </w:pPr>
            <w:r>
              <w:t xml:space="preserve">Version</w:t>
            </w:r>
          </w:p>
        </w:tc>
        <w:tc>
          <w:tcPr/>
          <w:p>
            <w:pPr>
              <w:pStyle w:val="Compact"/>
              <w:jc w:val="left"/>
            </w:pPr>
            <w:r>
              <w:t xml:space="preserve">1.0-OSP12.0</w:t>
            </w:r>
          </w:p>
        </w:tc>
      </w:tr>
      <w:tr>
        <w:tc>
          <w:tcPr/>
          <w:p>
            <w:pPr>
              <w:pStyle w:val="Compact"/>
              <w:jc w:val="left"/>
            </w:pPr>
            <w:r>
              <w:t xml:space="preserve">based</w:t>
            </w:r>
            <w:r>
              <w:t xml:space="preserve"> </w:t>
            </w:r>
            <w:r>
              <w:t xml:space="preserve">on</w:t>
            </w:r>
            <w:r>
              <w:t xml:space="preserve"> </w:t>
            </w:r>
            <w:r>
              <w:rPr>
                <w:iCs/>
                <w:i/>
              </w:rPr>
              <w:t xml:space="preserve">Model</w:t>
            </w:r>
            <w:r>
              <w:rPr>
                <w:iCs/>
                <w:i/>
              </w:rPr>
              <w:t xml:space="preserve"> </w:t>
            </w:r>
            <w:r>
              <w:rPr>
                <w:iCs/>
                <w:i/>
              </w:rPr>
              <w:t xml:space="preserve">Snapshot</w:t>
            </w:r>
            <w:r>
              <w:t xml:space="preserve"> </w:t>
            </w:r>
            <w:r>
              <w:t xml:space="preserve">and</w:t>
            </w:r>
            <w:r>
              <w:t xml:space="preserve"> </w:t>
            </w:r>
            <w:r>
              <w:rPr>
                <w:iCs/>
                <w:i/>
              </w:rPr>
              <w:t xml:space="preserve">Evaluation</w:t>
            </w:r>
            <w:r>
              <w:rPr>
                <w:iCs/>
                <w:i/>
              </w:rPr>
              <w:t xml:space="preserve"> </w:t>
            </w:r>
            <w:r>
              <w:rPr>
                <w:iCs/>
                <w:i/>
              </w:rPr>
              <w:t xml:space="preserve">Plan</w:t>
            </w:r>
          </w:p>
        </w:tc>
        <w:tc>
          <w:tcPr/>
          <w:p>
            <w:pPr>
              <w:pStyle w:val="Compact"/>
              <w:jc w:val="left"/>
            </w:pPr>
            <w:r>
              <w:t xml:space="preserve">https://github.com/Open-Systems-Pharmacology/Pitavastatin-Model/releases/tag/v1.0</w:t>
            </w:r>
          </w:p>
        </w:tc>
      </w:tr>
      <w:tr>
        <w:tc>
          <w:tcPr/>
          <w:p>
            <w:pPr>
              <w:pStyle w:val="Compact"/>
              <w:jc w:val="left"/>
            </w:pPr>
            <w:r>
              <w:t xml:space="preserve">OSP</w:t>
            </w:r>
            <w:r>
              <w:t xml:space="preserve"> </w:t>
            </w:r>
            <w:r>
              <w:t xml:space="preserve">Version</w:t>
            </w:r>
          </w:p>
        </w:tc>
        <w:tc>
          <w:tcPr/>
          <w:p>
            <w:pPr>
              <w:pStyle w:val="Compact"/>
              <w:jc w:val="left"/>
            </w:pPr>
            <w:r>
              <w:t xml:space="preserve">12.0</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3.3</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bookmarkStart w:id="1" w:name="1"/>
      <w:bookmarkEnd w:id="1"/>
    </w:p>
    <w:p>
      <w:pPr>
        <w:pStyle w:val="FirstParagraph"/>
      </w:pPr>
      <w:r>
        <w:t xml:space="preserve">Pitavastatin is an inhibitor of HMG-CoA reductase and indicated for hypercholesterolaemia and for the prevention of cardiovascular disease. Pitavastatin is an orally delivered drug with a bioavailability of about 80%. Pitavastatin is mainly excreted</w:t>
      </w:r>
      <w:r>
        <w:t xml:space="preserve"> </w:t>
      </w:r>
      <w:r>
        <w:t xml:space="preserve">via the bile via uptake into the liver by OATP1Bs and efflux to bile via BCRP, renal excretion is negligible.</w:t>
      </w:r>
    </w:p>
    <w:p>
      <w:pPr>
        <w:pStyle w:val="BodyText"/>
      </w:pPr>
      <w:r>
        <w:t xml:space="preserve">This pitavastatin model is intended to be used as a victim drug in OATP1B1-mediated drug-drug interactions (DDI).</w:t>
      </w:r>
    </w:p>
    <w:p>
      <w:pPr>
        <w:pStyle w:val="BodyText"/>
      </w:pPr>
      <w:r>
        <w:t xml:space="preserve">This whole-body PBPK model of pitavastatin has been developed using published pharmacokinetic clinical data by Mori 2020 (</w:t>
      </w:r>
      <w:hyperlink w:anchor="Xa559bd5247f9128e74e6edcc17de37648e8cde6">
        <w:r>
          <w:rPr>
            <w:rStyle w:val="Hyperlink"/>
          </w:rPr>
          <w:t xml:space="preserve">Mori 2020</w:t>
        </w:r>
      </w:hyperlink>
      <w:r>
        <w:t xml:space="preserve">), Takehara 2018 (</w:t>
      </w:r>
      <w:hyperlink w:anchor="Xa559bd5247f9128e74e6edcc17de37648e8cde6">
        <w:r>
          <w:rPr>
            <w:rStyle w:val="Hyperlink"/>
          </w:rPr>
          <w:t xml:space="preserve">Takehara 2018</w:t>
        </w:r>
      </w:hyperlink>
      <w:r>
        <w:t xml:space="preserve">), Lou 2015 (</w:t>
      </w:r>
      <w:hyperlink w:anchor="Xa559bd5247f9128e74e6edcc17de37648e8cde6">
        <w:r>
          <w:rPr>
            <w:rStyle w:val="Hyperlink"/>
          </w:rPr>
          <w:t xml:space="preserve">Lou 2015</w:t>
        </w:r>
      </w:hyperlink>
      <w:r>
        <w:t xml:space="preserve">), Kimoto 2022 (</w:t>
      </w:r>
      <w:hyperlink w:anchor="Xa559bd5247f9128e74e6edcc17de37648e8cde6">
        <w:r>
          <w:rPr>
            <w:rStyle w:val="Hyperlink"/>
          </w:rPr>
          <w:t xml:space="preserve">Kimoto 2022</w:t>
        </w:r>
      </w:hyperlink>
      <w:r>
        <w:t xml:space="preserve">), Chen 2013 (</w:t>
      </w:r>
      <w:hyperlink w:anchor="Xa559bd5247f9128e74e6edcc17de37648e8cde6">
        <w:r>
          <w:rPr>
            <w:rStyle w:val="Hyperlink"/>
          </w:rPr>
          <w:t xml:space="preserve">Chen 2013</w:t>
        </w:r>
      </w:hyperlink>
      <w:r>
        <w:t xml:space="preserve">) and Prueksaritanont 2014 (</w:t>
      </w:r>
      <w:hyperlink w:anchor="Xa559bd5247f9128e74e6edcc17de37648e8cde6">
        <w:r>
          <w:rPr>
            <w:rStyle w:val="Hyperlink"/>
          </w:rPr>
          <w:t xml:space="preserve">Prueksaritanont 2014</w:t>
        </w:r>
      </w:hyperlink>
      <w:r>
        <w:t xml:space="preserve">).</w:t>
      </w:r>
      <w:r>
        <w:t xml:space="preserve"> </w:t>
      </w:r>
      <w:r>
        <w:t xml:space="preserve">The clinical data includedboth intravenous and orally administration and a dose range of 0.2mg to 4 mg pitavastatin.</w:t>
      </w:r>
      <w:r>
        <w:t xml:space="preserve"> </w:t>
      </w:r>
      <w:r>
        <w:t xml:space="preserve">The model has then been evaluated by simulating clinical studies with individuals of different SLO1B1 genotypes and comparing with respective observed data.</w:t>
      </w:r>
    </w:p>
    <w:p>
      <w:pPr>
        <w:pStyle w:val="BodyText"/>
      </w:pPr>
      <w:r>
        <w:t xml:space="preserve">The presented model includes the following features:</w:t>
      </w:r>
    </w:p>
    <w:p>
      <w:pPr>
        <w:numPr>
          <w:ilvl w:val="0"/>
          <w:numId w:val="1001"/>
        </w:numPr>
        <w:pStyle w:val="Compact"/>
      </w:pPr>
      <w:r>
        <w:t xml:space="preserve">metabolism by unspecified UGT enzym present in the liver,</w:t>
      </w:r>
    </w:p>
    <w:p>
      <w:pPr>
        <w:numPr>
          <w:ilvl w:val="0"/>
          <w:numId w:val="1001"/>
        </w:numPr>
        <w:pStyle w:val="Compact"/>
      </w:pPr>
      <w:r>
        <w:t xml:space="preserve">transport by OATP1B1/B3,</w:t>
      </w:r>
    </w:p>
    <w:p>
      <w:pPr>
        <w:numPr>
          <w:ilvl w:val="0"/>
          <w:numId w:val="1001"/>
        </w:numPr>
        <w:pStyle w:val="Compact"/>
      </w:pPr>
      <w:r>
        <w:t xml:space="preserve">transport by BCRP</w:t>
      </w:r>
    </w:p>
    <w:p>
      <w:pPr>
        <w:numPr>
          <w:ilvl w:val="0"/>
          <w:numId w:val="1001"/>
        </w:numPr>
        <w:pStyle w:val="Compact"/>
      </w:pPr>
      <w:r>
        <w:t xml:space="preserve">no renal clearance,</w:t>
      </w:r>
    </w:p>
    <w:p>
      <w:pPr>
        <w:numPr>
          <w:ilvl w:val="0"/>
          <w:numId w:val="1001"/>
        </w:numPr>
        <w:pStyle w:val="Compact"/>
      </w:pPr>
      <w:r>
        <w:t xml:space="preserve">oral absorption with dissolution rate assigned to the Lint80 function..</w:t>
      </w:r>
    </w:p>
    <w:bookmarkEnd w:id="20"/>
    <w:bookmarkStart w:id="30" w:name="methods"/>
    <w:p>
      <w:pPr>
        <w:pStyle w:val="Heading1"/>
      </w:pPr>
      <w:r>
        <w:t xml:space="preserve">Methods</w:t>
      </w:r>
      <w:bookmarkStart w:id="2" w:name="2"/>
      <w:bookmarkEnd w:id="2"/>
    </w:p>
    <w:bookmarkStart w:id="21" w:name="modeling-strategy"/>
    <w:p>
      <w:pPr>
        <w:pStyle w:val="Heading2"/>
      </w:pPr>
      <w:r>
        <w:t xml:space="preserve">Modeling strategy</w:t>
      </w:r>
      <w:bookmarkStart w:id="21" w:name="21"/>
      <w:bookmarkEnd w:id="21"/>
    </w:p>
    <w:p>
      <w:pPr>
        <w:pStyle w:val="FirstParagraph"/>
      </w:pPr>
      <w:r>
        <w:t xml:space="preserve">The general concept of building a PBPK model has previously been described by Kuepfer et al. (</w:t>
      </w:r>
      <w:hyperlink w:anchor="Xa559bd5247f9128e74e6edcc17de37648e8cde6">
        <w:r>
          <w:rPr>
            <w:rStyle w:val="Hyperlink"/>
          </w:rPr>
          <w:t xml:space="preserve">Kuepfer 2016</w:t>
        </w:r>
      </w:hyperlink>
      <w:r>
        <w:t xml:space="preserve">). Relevant information on anthropometric (height, weight) and physiological parameters (e.g. blood flows, organ volumes, binding protein concentrations, hematocrit, cardiac output) in adults was gathered from the literature and has been previously published (</w:t>
      </w:r>
      <w:hyperlink w:anchor="Xa559bd5247f9128e74e6edcc17de37648e8cde6">
        <w:r>
          <w:rPr>
            <w:rStyle w:val="Hyperlink"/>
          </w:rPr>
          <w:t xml:space="preserve">Willmann 2007</w:t>
        </w:r>
      </w:hyperlink>
      <w:r>
        <w:t xml:space="preserve">). The information was incorporated into PK-Sim® and was used as default values for the simulations in adults.</w:t>
      </w:r>
    </w:p>
    <w:p>
      <w:pPr>
        <w:pStyle w:val="BodyText"/>
      </w:pPr>
      <w:r>
        <w:t xml:space="preserve">The applied activity and variability of plasma proteins and active processes that are integrated into PK-Sim® are described in the publicly available PK-Sim® Ontogeny Database Version 7.3 (</w:t>
      </w:r>
      <w:hyperlink w:anchor="Xa559bd5247f9128e74e6edcc17de37648e8cde6">
        <w:r>
          <w:rPr>
            <w:rStyle w:val="Hyperlink"/>
          </w:rPr>
          <w:t xml:space="preserve">PK-Sim Ontogeny Database Version 7.3</w:t>
        </w:r>
      </w:hyperlink>
      <w:r>
        <w:t xml:space="preserve">) or otherwise referenced for the specific process.</w:t>
      </w:r>
    </w:p>
    <w:p>
      <w:pPr>
        <w:pStyle w:val="BodyText"/>
      </w:pPr>
      <w:r>
        <w:t xml:space="preserve">A mean model was built based on clinical data from studies with intravenous and oral administration of pitavastatin by Mori 2020 (</w:t>
      </w:r>
      <w:hyperlink w:anchor="Xa559bd5247f9128e74e6edcc17de37648e8cde6">
        <w:r>
          <w:rPr>
            <w:rStyle w:val="Hyperlink"/>
          </w:rPr>
          <w:t xml:space="preserve">Mori 2020</w:t>
        </w:r>
      </w:hyperlink>
      <w:r>
        <w:t xml:space="preserve">), Takehara 2018 (</w:t>
      </w:r>
      <w:hyperlink w:anchor="Xa559bd5247f9128e74e6edcc17de37648e8cde6">
        <w:r>
          <w:rPr>
            <w:rStyle w:val="Hyperlink"/>
          </w:rPr>
          <w:t xml:space="preserve">Takehara 2018</w:t>
        </w:r>
      </w:hyperlink>
      <w:r>
        <w:t xml:space="preserve">), Lou 2015 (</w:t>
      </w:r>
      <w:hyperlink w:anchor="Xa559bd5247f9128e74e6edcc17de37648e8cde6">
        <w:r>
          <w:rPr>
            <w:rStyle w:val="Hyperlink"/>
          </w:rPr>
          <w:t xml:space="preserve">Lou 2015</w:t>
        </w:r>
      </w:hyperlink>
      <w:r>
        <w:t xml:space="preserve">), Kimoto 2022 (</w:t>
      </w:r>
      <w:hyperlink w:anchor="Xa559bd5247f9128e74e6edcc17de37648e8cde6">
        <w:r>
          <w:rPr>
            <w:rStyle w:val="Hyperlink"/>
          </w:rPr>
          <w:t xml:space="preserve">Kimoto 2022</w:t>
        </w:r>
      </w:hyperlink>
      <w:r>
        <w:t xml:space="preserve">), Chen 2013 (</w:t>
      </w:r>
      <w:hyperlink w:anchor="Xa559bd5247f9128e74e6edcc17de37648e8cde6">
        <w:r>
          <w:rPr>
            <w:rStyle w:val="Hyperlink"/>
          </w:rPr>
          <w:t xml:space="preserve">Chen 2013</w:t>
        </w:r>
      </w:hyperlink>
      <w:r>
        <w:t xml:space="preserve">) and Prueksaritanont 2014 (</w:t>
      </w:r>
      <w:hyperlink w:anchor="Xa559bd5247f9128e74e6edcc17de37648e8cde6">
        <w:r>
          <w:rPr>
            <w:rStyle w:val="Hyperlink"/>
          </w:rPr>
          <w:t xml:space="preserve">Prueksaritanont 2014</w:t>
        </w:r>
      </w:hyperlink>
      <w:r>
        <w:t xml:space="preserve">). The studies reported mean plasma concentrations of pitavastatin. The mean PBPK model was developed using a mean individual based on the demographic data for each study and if no demographic data were provided the following values were used; male, European, 30 years of age, 73 kg body weight and 176 cm body height. The relative tissue-specific expressions of the enzyme and transporter predominantly being involved in the metabolism/transport of pitavastatin (OATP1B1 and BCRP) were considered (</w:t>
      </w:r>
      <w:hyperlink w:anchor="Xa559bd5247f9128e74e6edcc17de37648e8cde6">
        <w:r>
          <w:rPr>
            <w:rStyle w:val="Hyperlink"/>
          </w:rPr>
          <w:t xml:space="preserve">Meyer 2012</w:t>
        </w:r>
      </w:hyperlink>
      <w:r>
        <w:t xml:space="preserve">). A Lint80 function with 80% of tablet dissolved in 30 minutes were applied according to Cho 2024 (</w:t>
      </w:r>
      <w:hyperlink w:anchor="Xa559bd5247f9128e74e6edcc17de37648e8cde6">
        <w:r>
          <w:rPr>
            <w:rStyle w:val="Hyperlink"/>
          </w:rPr>
          <w:t xml:space="preserve">Cho 2024</w:t>
        </w:r>
      </w:hyperlink>
      <w:r>
        <w:t xml:space="preserve">).</w:t>
      </w:r>
    </w:p>
    <w:p>
      <w:pPr>
        <w:pStyle w:val="BodyText"/>
      </w:pPr>
      <w:r>
        <w:t xml:space="preserve">Due to the large inter-study variability of pitavastatin plasma concentration, a large part of the available clinical data was used for model building.</w:t>
      </w:r>
    </w:p>
    <w:p>
      <w:pPr>
        <w:pStyle w:val="BodyText"/>
      </w:pPr>
      <w:r>
        <w:t xml:space="preserve">A specific set of parameters (see below) was optimized to describe the disposition of pitavastatin using the Parameter Identification module provided in PK-Sim®. Structural model selection was mainly guided by visual inspection and total error of the resulting description of data, 95% confidence interval of the identified parameter values and biological plausibility.</w:t>
      </w:r>
    </w:p>
    <w:p>
      <w:pPr>
        <w:pStyle w:val="BodyText"/>
      </w:pPr>
      <w:r>
        <w:t xml:space="preserve">The model was then verified by simulating further clinical studies reporting pharmacokinetic concentration-time profiles after oral administration of pitavastatin in individuals with different SLCO1B1 genotypes.</w:t>
      </w:r>
    </w:p>
    <w:p>
      <w:pPr>
        <w:pStyle w:val="BodyText"/>
      </w:pPr>
      <w:r>
        <w:t xml:space="preserve">Details about input data (physicochemical,</w:t>
      </w:r>
      <w:r>
        <w:t xml:space="preserve"> </w:t>
      </w:r>
      <w:r>
        <w:rPr>
          <w:iCs/>
          <w:i/>
        </w:rPr>
        <w:t xml:space="preserve">in vitro</w:t>
      </w:r>
      <w:r>
        <w:t xml:space="preserve"> </w:t>
      </w:r>
      <w:r>
        <w:t xml:space="preserve">and clinical) can be found in</w:t>
      </w:r>
      <w:r>
        <w:t xml:space="preserve"> </w:t>
      </w:r>
      <w:hyperlink w:anchor="X96ac2a02c49e5946643b6fb28b6a29308f08cb0">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bookmarkEnd w:id="21"/>
    <w:bookmarkStart w:id="24" w:name="data-used"/>
    <w:p>
      <w:pPr>
        <w:pStyle w:val="Heading2"/>
      </w:pPr>
      <w:r>
        <w:t xml:space="preserve">Data used</w:t>
      </w:r>
      <w:bookmarkStart w:id="22" w:name="22"/>
      <w:bookmarkEnd w:id="22"/>
    </w:p>
    <w:bookmarkStart w:id="22" w:name="in-vitro-and-physicochemical-data"/>
    <w:p>
      <w:pPr>
        <w:pStyle w:val="Heading3"/>
      </w:pPr>
      <w:r>
        <w:t xml:space="preserve">2.2.1 In vitro and physicochemical data</w:t>
      </w:r>
    </w:p>
    <w:p>
      <w:pPr>
        <w:pStyle w:val="FirstParagraph"/>
      </w:pPr>
      <w:r>
        <w:t xml:space="preserve">A literature search was performed to collect available information on physicochemical properties of pitavastatin. The obtained information from literature is summarized in the table below, and is used for model building.</w:t>
      </w:r>
    </w:p>
    <w:tbl>
      <w:tblPr>
        <w:tblStyle w:val="Table"/>
        <w:tblW w:type="pct" w:w="5000"/>
        <w:tblLook w:firstRow="1" w:lastRow="0" w:firstColumn="0" w:lastColumn="0" w:noHBand="0" w:noVBand="0" w:val="0020"/>
        <w:jc w:val="start"/>
      </w:tblPr>
      <w:tblGrid>
        <w:gridCol w:w="1339"/>
        <w:gridCol w:w="465"/>
        <w:gridCol w:w="524"/>
        <w:gridCol w:w="2096"/>
        <w:gridCol w:w="3494"/>
      </w:tblGrid>
      <w:tr>
        <w:trPr>
          <w:tblHeader w:val="true"/>
        </w:trPr>
        <w:tc>
          <w:tcPr/>
          <w:p>
            <w:pPr>
              <w:pStyle w:val="Compact"/>
              <w:jc w:val="left"/>
            </w:pPr>
            <w:r>
              <w:rPr>
                <w:bCs/>
                <w:b/>
              </w:rPr>
              <w:t xml:space="preserve">Parameter</w:t>
            </w:r>
          </w:p>
        </w:tc>
        <w:tc>
          <w:tcPr/>
          <w:p>
            <w:pPr>
              <w:pStyle w:val="Compact"/>
              <w:jc w:val="left"/>
            </w:pPr>
            <w:r>
              <w:rPr>
                <w:bCs/>
                <w:b/>
              </w:rPr>
              <w:t xml:space="preserve">Unit</w:t>
            </w:r>
          </w:p>
        </w:tc>
        <w:tc>
          <w:tcPr/>
          <w:p>
            <w:pPr>
              <w:pStyle w:val="Compact"/>
              <w:jc w:val="left"/>
            </w:pPr>
            <w:r>
              <w:rPr>
                <w:bCs/>
                <w:b/>
              </w:rPr>
              <w:t xml:space="preserve">Value</w:t>
            </w:r>
          </w:p>
        </w:tc>
        <w:tc>
          <w:tcPr/>
          <w:p>
            <w:pPr>
              <w:pStyle w:val="Compact"/>
              <w:jc w:val="left"/>
            </w:pPr>
            <w:r>
              <w:t xml:space="preserve">Source</w:t>
            </w:r>
          </w:p>
        </w:tc>
        <w:tc>
          <w:tcPr/>
          <w:p>
            <w:pPr>
              <w:pStyle w:val="Compact"/>
              <w:jc w:val="left"/>
            </w:pPr>
            <w:r>
              <w:rPr>
                <w:bCs/>
                <w:b/>
              </w:rPr>
              <w:t xml:space="preserve">Description</w:t>
            </w:r>
          </w:p>
        </w:tc>
      </w:tr>
      <w:tr>
        <w:tc>
          <w:tcPr/>
          <w:p>
            <w:pPr>
              <w:pStyle w:val="Compact"/>
              <w:jc w:val="left"/>
            </w:pPr>
            <w:r>
              <w:t xml:space="preserve">MW</w:t>
            </w:r>
          </w:p>
        </w:tc>
        <w:tc>
          <w:tcPr/>
          <w:p>
            <w:pPr>
              <w:pStyle w:val="Compact"/>
              <w:jc w:val="left"/>
            </w:pPr>
            <w:r>
              <w:t xml:space="preserve">g/mol</w:t>
            </w:r>
          </w:p>
        </w:tc>
        <w:tc>
          <w:tcPr/>
          <w:p>
            <w:pPr>
              <w:pStyle w:val="Compact"/>
              <w:jc w:val="left"/>
            </w:pPr>
            <w:r>
              <w:t xml:space="preserve">421.46</w:t>
            </w:r>
          </w:p>
        </w:tc>
        <w:tc>
          <w:tcPr/>
          <w:p>
            <w:pPr>
              <w:pStyle w:val="Compact"/>
              <w:jc w:val="left"/>
            </w:pPr>
            <w:hyperlink w:anchor="Xa559bd5247f9128e74e6edcc17de37648e8cde6">
              <w:r>
                <w:rPr>
                  <w:rStyle w:val="Hyperlink"/>
                </w:rPr>
                <w:t xml:space="preserve">Yoshikado 2018</w:t>
              </w:r>
            </w:hyperlink>
          </w:p>
        </w:tc>
        <w:tc>
          <w:tcPr/>
          <w:p>
            <w:pPr>
              <w:pStyle w:val="Compact"/>
              <w:jc w:val="left"/>
            </w:pPr>
            <w:r>
              <w:t xml:space="preserve">Molecular weight</w:t>
            </w:r>
          </w:p>
        </w:tc>
      </w:tr>
      <w:tr>
        <w:tc>
          <w:tcPr/>
          <w:p>
            <w:pPr>
              <w:pStyle w:val="Compact"/>
              <w:jc w:val="left"/>
            </w:pPr>
            <w:r>
              <w:t xml:space="preserve">pK</w:t>
            </w:r>
            <w:r>
              <w:rPr>
                <w:vertAlign w:val="subscript"/>
              </w:rPr>
              <w:t xml:space="preserve">a</w:t>
            </w:r>
            <w:r>
              <w:t xml:space="preserve"> </w:t>
            </w:r>
            <w:r>
              <w:t xml:space="preserve">(acid)</w:t>
            </w:r>
          </w:p>
        </w:tc>
        <w:tc>
          <w:tcPr/>
          <w:p>
            <w:pPr>
              <w:pStyle w:val="Compact"/>
            </w:pPr>
          </w:p>
        </w:tc>
        <w:tc>
          <w:tcPr/>
          <w:p>
            <w:pPr>
              <w:pStyle w:val="Compact"/>
              <w:jc w:val="left"/>
            </w:pPr>
            <w:r>
              <w:t xml:space="preserve">4.24</w:t>
            </w:r>
          </w:p>
        </w:tc>
        <w:tc>
          <w:tcPr/>
          <w:p>
            <w:pPr>
              <w:pStyle w:val="Compact"/>
              <w:jc w:val="left"/>
            </w:pPr>
            <w:hyperlink w:anchor="Xa559bd5247f9128e74e6edcc17de37648e8cde6">
              <w:r>
                <w:rPr>
                  <w:rStyle w:val="Hyperlink"/>
                </w:rPr>
                <w:t xml:space="preserve">Yoshikado 2018</w:t>
              </w:r>
            </w:hyperlink>
          </w:p>
        </w:tc>
        <w:tc>
          <w:tcPr/>
          <w:p>
            <w:pPr>
              <w:pStyle w:val="Compact"/>
              <w:jc w:val="left"/>
            </w:pPr>
            <w:r>
              <w:t xml:space="preserve">acid dissociation constant of conjugate acid</w:t>
            </w:r>
          </w:p>
        </w:tc>
      </w:tr>
      <w:tr>
        <w:tc>
          <w:tcPr/>
          <w:p>
            <w:pPr>
              <w:pStyle w:val="Compact"/>
              <w:jc w:val="left"/>
            </w:pPr>
            <w:r>
              <w:t xml:space="preserve">pK</w:t>
            </w:r>
            <w:r>
              <w:rPr>
                <w:vertAlign w:val="subscript"/>
              </w:rPr>
              <w:t xml:space="preserve">a</w:t>
            </w:r>
            <w:r>
              <w:t xml:space="preserve"> </w:t>
            </w:r>
            <w:r>
              <w:t xml:space="preserve">(base)</w:t>
            </w:r>
          </w:p>
        </w:tc>
        <w:tc>
          <w:tcPr/>
          <w:p>
            <w:pPr>
              <w:pStyle w:val="Compact"/>
            </w:pPr>
          </w:p>
        </w:tc>
        <w:tc>
          <w:tcPr/>
          <w:p>
            <w:pPr>
              <w:pStyle w:val="Compact"/>
              <w:jc w:val="left"/>
            </w:pPr>
            <w:r>
              <w:t xml:space="preserve">4.68</w:t>
            </w:r>
          </w:p>
        </w:tc>
        <w:tc>
          <w:tcPr/>
          <w:p>
            <w:pPr>
              <w:pStyle w:val="Compact"/>
              <w:jc w:val="left"/>
            </w:pPr>
            <w:hyperlink w:anchor="Xa559bd5247f9128e74e6edcc17de37648e8cde6">
              <w:r>
                <w:rPr>
                  <w:rStyle w:val="Hyperlink"/>
                </w:rPr>
                <w:t xml:space="preserve">Yoshikado 2018</w:t>
              </w:r>
            </w:hyperlink>
          </w:p>
        </w:tc>
        <w:tc>
          <w:tcPr/>
          <w:p>
            <w:pPr>
              <w:pStyle w:val="Compact"/>
              <w:jc w:val="left"/>
            </w:pPr>
            <w:r>
              <w:t xml:space="preserve">acid dissociation constant of conjugate base</w:t>
            </w:r>
          </w:p>
        </w:tc>
      </w:tr>
      <w:tr>
        <w:tc>
          <w:tcPr/>
          <w:p>
            <w:pPr>
              <w:pStyle w:val="Compact"/>
              <w:jc w:val="left"/>
            </w:pPr>
            <w:r>
              <w:t xml:space="preserve">Solubility (pH7.4)</w:t>
            </w:r>
          </w:p>
        </w:tc>
        <w:tc>
          <w:tcPr/>
          <w:p>
            <w:pPr>
              <w:pStyle w:val="Compact"/>
              <w:jc w:val="left"/>
            </w:pPr>
            <w:r>
              <w:t xml:space="preserve">mg/mL</w:t>
            </w:r>
          </w:p>
        </w:tc>
        <w:tc>
          <w:tcPr/>
          <w:p>
            <w:pPr>
              <w:pStyle w:val="Compact"/>
              <w:jc w:val="left"/>
            </w:pPr>
            <w:r>
              <w:t xml:space="preserve">0.004</w:t>
            </w:r>
          </w:p>
        </w:tc>
        <w:tc>
          <w:tcPr/>
          <w:p>
            <w:pPr>
              <w:pStyle w:val="Compact"/>
              <w:jc w:val="left"/>
            </w:pPr>
            <w:hyperlink w:anchor="Xa559bd5247f9128e74e6edcc17de37648e8cde6">
              <w:r>
                <w:rPr>
                  <w:rStyle w:val="Hyperlink"/>
                </w:rPr>
                <w:t xml:space="preserve">DrugBank</w:t>
              </w:r>
            </w:hyperlink>
          </w:p>
        </w:tc>
        <w:tc>
          <w:tcPr/>
          <w:p>
            <w:pPr>
              <w:pStyle w:val="Compact"/>
              <w:jc w:val="left"/>
            </w:pPr>
            <w:r>
              <w:t xml:space="preserve">Aqueous Solubility in pH 7.4</w:t>
            </w:r>
          </w:p>
        </w:tc>
      </w:tr>
      <w:tr>
        <w:tc>
          <w:tcPr/>
          <w:p>
            <w:pPr>
              <w:pStyle w:val="Compact"/>
              <w:jc w:val="left"/>
            </w:pPr>
            <w:r>
              <w:t xml:space="preserve">logP</w:t>
            </w:r>
          </w:p>
        </w:tc>
        <w:tc>
          <w:tcPr/>
          <w:p>
            <w:pPr>
              <w:pStyle w:val="Compact"/>
            </w:pPr>
          </w:p>
        </w:tc>
        <w:tc>
          <w:tcPr/>
          <w:p>
            <w:pPr>
              <w:pStyle w:val="Compact"/>
              <w:jc w:val="left"/>
            </w:pPr>
            <w:r>
              <w:t xml:space="preserve">1.92</w:t>
            </w:r>
          </w:p>
        </w:tc>
        <w:tc>
          <w:tcPr/>
          <w:p>
            <w:pPr>
              <w:pStyle w:val="Compact"/>
              <w:jc w:val="left"/>
            </w:pPr>
            <w:hyperlink w:anchor="Xa559bd5247f9128e74e6edcc17de37648e8cde6">
              <w:r>
                <w:rPr>
                  <w:rStyle w:val="Hyperlink"/>
                </w:rPr>
                <w:t xml:space="preserve">Yoshikado 2018</w:t>
              </w:r>
            </w:hyperlink>
          </w:p>
        </w:tc>
        <w:tc>
          <w:tcPr/>
          <w:p>
            <w:pPr>
              <w:pStyle w:val="Compact"/>
              <w:jc w:val="left"/>
            </w:pPr>
            <w:r>
              <w:t xml:space="preserve">Partition coefficient between octanol and water</w:t>
            </w:r>
          </w:p>
        </w:tc>
      </w:tr>
      <w:tr>
        <w:tc>
          <w:tcPr/>
          <w:p>
            <w:pPr>
              <w:pStyle w:val="Compact"/>
            </w:pPr>
          </w:p>
        </w:tc>
        <w:tc>
          <w:tcPr/>
          <w:p>
            <w:pPr>
              <w:pStyle w:val="Compact"/>
            </w:pPr>
          </w:p>
        </w:tc>
        <w:tc>
          <w:tcPr/>
          <w:p>
            <w:pPr>
              <w:pStyle w:val="Compact"/>
              <w:jc w:val="left"/>
            </w:pPr>
            <w:r>
              <w:t xml:space="preserve">2.91</w:t>
            </w:r>
          </w:p>
        </w:tc>
        <w:tc>
          <w:tcPr/>
          <w:p>
            <w:pPr>
              <w:pStyle w:val="Compact"/>
              <w:jc w:val="left"/>
            </w:pPr>
            <w:hyperlink w:anchor="Xa559bd5247f9128e74e6edcc17de37648e8cde6">
              <w:r>
                <w:rPr>
                  <w:rStyle w:val="Hyperlink"/>
                </w:rPr>
                <w:t xml:space="preserve">Kimoto 2022</w:t>
              </w:r>
            </w:hyperlink>
          </w:p>
        </w:tc>
        <w:tc>
          <w:tcPr/>
          <w:p>
            <w:pPr>
              <w:pStyle w:val="Compact"/>
              <w:jc w:val="left"/>
            </w:pPr>
            <w:r>
              <w:t xml:space="preserve">Partition coefficient between octanol and water</w:t>
            </w:r>
          </w:p>
        </w:tc>
      </w:tr>
      <w:tr>
        <w:tc>
          <w:tcPr/>
          <w:p>
            <w:pPr>
              <w:pStyle w:val="Compact"/>
              <w:jc w:val="left"/>
            </w:pPr>
            <w:r>
              <w:t xml:space="preserve">fu</w:t>
            </w:r>
          </w:p>
        </w:tc>
        <w:tc>
          <w:tcPr/>
          <w:p>
            <w:pPr>
              <w:pStyle w:val="Compact"/>
              <w:jc w:val="left"/>
            </w:pPr>
            <w:r>
              <w:t xml:space="preserve">%</w:t>
            </w:r>
          </w:p>
        </w:tc>
        <w:tc>
          <w:tcPr/>
          <w:p>
            <w:pPr>
              <w:pStyle w:val="Compact"/>
              <w:jc w:val="left"/>
            </w:pPr>
            <w:r>
              <w:t xml:space="preserve">0.52</w:t>
            </w:r>
          </w:p>
        </w:tc>
        <w:tc>
          <w:tcPr/>
          <w:p>
            <w:pPr>
              <w:pStyle w:val="Compact"/>
              <w:jc w:val="left"/>
            </w:pPr>
            <w:hyperlink w:anchor="Xa559bd5247f9128e74e6edcc17de37648e8cde6">
              <w:r>
                <w:rPr>
                  <w:rStyle w:val="Hyperlink"/>
                </w:rPr>
                <w:t xml:space="preserve">Yoshikado 2018</w:t>
              </w:r>
            </w:hyperlink>
          </w:p>
        </w:tc>
        <w:tc>
          <w:tcPr/>
          <w:p>
            <w:pPr>
              <w:pStyle w:val="Compact"/>
              <w:jc w:val="left"/>
            </w:pPr>
            <w:r>
              <w:t xml:space="preserve">Fraction unbound in plasma</w:t>
            </w:r>
          </w:p>
        </w:tc>
      </w:tr>
      <w:tr>
        <w:tc>
          <w:tcPr/>
          <w:p>
            <w:pPr>
              <w:pStyle w:val="Compact"/>
              <w:jc w:val="left"/>
            </w:pPr>
            <w:r>
              <w:t xml:space="preserve">K</w:t>
            </w:r>
            <w:r>
              <w:rPr>
                <w:vertAlign w:val="subscript"/>
              </w:rPr>
              <w:t xml:space="preserve">m</w:t>
            </w:r>
            <w:r>
              <w:t xml:space="preserve"> </w:t>
            </w:r>
            <w:r>
              <w:t xml:space="preserve">OATP1B1</w:t>
            </w:r>
          </w:p>
        </w:tc>
        <w:tc>
          <w:tcPr/>
          <w:p>
            <w:pPr>
              <w:pStyle w:val="Compact"/>
              <w:jc w:val="left"/>
            </w:pPr>
            <w:r>
              <w:t xml:space="preserve">µmol/L</w:t>
            </w:r>
          </w:p>
        </w:tc>
        <w:tc>
          <w:tcPr/>
          <w:p>
            <w:pPr>
              <w:pStyle w:val="Compact"/>
              <w:jc w:val="left"/>
            </w:pPr>
            <w:r>
              <w:t xml:space="preserve">0.77</w:t>
            </w:r>
          </w:p>
        </w:tc>
        <w:tc>
          <w:tcPr/>
          <w:p>
            <w:pPr>
              <w:pStyle w:val="Compact"/>
              <w:jc w:val="left"/>
            </w:pPr>
            <w:hyperlink w:anchor="Xa559bd5247f9128e74e6edcc17de37648e8cde6">
              <w:r>
                <w:rPr>
                  <w:rStyle w:val="Hyperlink"/>
                </w:rPr>
                <w:t xml:space="preserve">Duan 2017</w:t>
              </w:r>
            </w:hyperlink>
          </w:p>
        </w:tc>
        <w:tc>
          <w:tcPr/>
          <w:p>
            <w:pPr>
              <w:pStyle w:val="Compact"/>
              <w:jc w:val="left"/>
            </w:pPr>
            <w:r>
              <w:t xml:space="preserve">OATP1B1 Michaelis-Menten constant</w:t>
            </w:r>
          </w:p>
        </w:tc>
      </w:tr>
      <w:tr>
        <w:tc>
          <w:tcPr/>
          <w:p>
            <w:pPr>
              <w:pStyle w:val="Compact"/>
              <w:jc w:val="left"/>
            </w:pPr>
            <w:r>
              <w:t xml:space="preserve">K</w:t>
            </w:r>
            <w:r>
              <w:rPr>
                <w:vertAlign w:val="subscript"/>
              </w:rPr>
              <w:t xml:space="preserve">m</w:t>
            </w:r>
            <w:r>
              <w:t xml:space="preserve"> </w:t>
            </w:r>
            <w:r>
              <w:t xml:space="preserve">BCRP</w:t>
            </w:r>
          </w:p>
        </w:tc>
        <w:tc>
          <w:tcPr/>
          <w:p>
            <w:pPr>
              <w:pStyle w:val="Compact"/>
              <w:jc w:val="left"/>
            </w:pPr>
            <w:r>
              <w:t xml:space="preserve">µmol/L</w:t>
            </w:r>
          </w:p>
        </w:tc>
        <w:tc>
          <w:tcPr/>
          <w:p>
            <w:pPr>
              <w:pStyle w:val="Compact"/>
              <w:jc w:val="left"/>
            </w:pPr>
            <w:r>
              <w:t xml:space="preserve">2.02</w:t>
            </w:r>
          </w:p>
        </w:tc>
        <w:tc>
          <w:tcPr/>
          <w:p>
            <w:pPr>
              <w:pStyle w:val="Compact"/>
              <w:jc w:val="left"/>
            </w:pPr>
            <w:r>
              <w:t xml:space="preserve">Assumed same as for Rosuvastatin</w:t>
            </w:r>
          </w:p>
        </w:tc>
        <w:tc>
          <w:tcPr/>
          <w:p>
            <w:pPr>
              <w:pStyle w:val="Compact"/>
              <w:jc w:val="left"/>
            </w:pPr>
            <w:r>
              <w:t xml:space="preserve">BCRP Michaelis-Menten</w:t>
            </w:r>
          </w:p>
        </w:tc>
      </w:tr>
      <w:tr>
        <w:tc>
          <w:tcPr/>
          <w:p>
            <w:pPr>
              <w:pStyle w:val="Compact"/>
              <w:jc w:val="left"/>
            </w:pPr>
            <w:r>
              <w:t xml:space="preserve">Lint80 Dissolution time</w:t>
            </w:r>
          </w:p>
        </w:tc>
        <w:tc>
          <w:tcPr/>
          <w:p>
            <w:pPr>
              <w:pStyle w:val="Compact"/>
              <w:jc w:val="left"/>
            </w:pPr>
            <w:r>
              <w:t xml:space="preserve">min</w:t>
            </w:r>
          </w:p>
        </w:tc>
        <w:tc>
          <w:tcPr/>
          <w:p>
            <w:pPr>
              <w:pStyle w:val="Compact"/>
              <w:jc w:val="left"/>
            </w:pPr>
            <w:r>
              <w:t xml:space="preserve">30</w:t>
            </w:r>
          </w:p>
        </w:tc>
        <w:tc>
          <w:tcPr/>
          <w:p>
            <w:pPr>
              <w:pStyle w:val="Compact"/>
              <w:jc w:val="left"/>
            </w:pPr>
            <w:hyperlink w:anchor="Xa559bd5247f9128e74e6edcc17de37648e8cde6">
              <w:r>
                <w:rPr>
                  <w:rStyle w:val="Hyperlink"/>
                </w:rPr>
                <w:t xml:space="preserve">Cho 2024</w:t>
              </w:r>
            </w:hyperlink>
          </w:p>
        </w:tc>
        <w:tc>
          <w:tcPr/>
          <w:p>
            <w:pPr>
              <w:pStyle w:val="Compact"/>
              <w:jc w:val="left"/>
            </w:pPr>
            <w:r>
              <w:t xml:space="preserve">Dissolution time until 80% of drug is dissolved</w:t>
            </w:r>
          </w:p>
        </w:tc>
      </w:tr>
      <w:tr>
        <w:tc>
          <w:tcPr/>
          <w:p>
            <w:pPr>
              <w:pStyle w:val="Compact"/>
              <w:jc w:val="left"/>
            </w:pPr>
            <w:r>
              <w:t xml:space="preserve">GFR fraction</w:t>
            </w:r>
          </w:p>
        </w:tc>
        <w:tc>
          <w:tcPr/>
          <w:p>
            <w:pPr>
              <w:pStyle w:val="Compact"/>
              <w:jc w:val="left"/>
            </w:pPr>
            <w:r>
              <w:t xml:space="preserve">fraction</w:t>
            </w:r>
          </w:p>
        </w:tc>
        <w:tc>
          <w:tcPr/>
          <w:p>
            <w:pPr>
              <w:pStyle w:val="Compact"/>
              <w:jc w:val="left"/>
            </w:pPr>
            <w:r>
              <w:t xml:space="preserve">0</w:t>
            </w:r>
          </w:p>
        </w:tc>
        <w:tc>
          <w:tcPr/>
          <w:p>
            <w:pPr>
              <w:pStyle w:val="Compact"/>
              <w:jc w:val="left"/>
            </w:pPr>
            <w:hyperlink w:anchor="Xa559bd5247f9128e74e6edcc17de37648e8cde6">
              <w:r>
                <w:rPr>
                  <w:rStyle w:val="Hyperlink"/>
                </w:rPr>
                <w:t xml:space="preserve">Mochizuki 2022</w:t>
              </w:r>
            </w:hyperlink>
          </w:p>
        </w:tc>
        <w:tc>
          <w:tcPr/>
          <w:p>
            <w:pPr>
              <w:pStyle w:val="Compact"/>
              <w:jc w:val="left"/>
            </w:pPr>
            <w:r>
              <w:t xml:space="preserve">glomerular filtration rate</w:t>
            </w:r>
          </w:p>
        </w:tc>
      </w:tr>
    </w:tbl>
    <w:bookmarkEnd w:id="22"/>
    <w:bookmarkStart w:id="23" w:name="clinical-data"/>
    <w:p>
      <w:pPr>
        <w:pStyle w:val="Heading3"/>
      </w:pPr>
      <w:r>
        <w:t xml:space="preserve">2.2.2 Clinical data</w:t>
      </w:r>
    </w:p>
    <w:p>
      <w:pPr>
        <w:pStyle w:val="FirstParagraph"/>
      </w:pPr>
      <w:r>
        <w:t xml:space="preserve">A literature search was performed to collect available clinical data on pitavastatin in adults.</w:t>
      </w:r>
    </w:p>
    <w:p>
      <w:pPr>
        <w:pStyle w:val="BodyText"/>
      </w:pPr>
      <w:r>
        <w:t xml:space="preserve">The following publications were found in adults for model building:</w:t>
      </w:r>
    </w:p>
    <w:tbl>
      <w:tblPr>
        <w:tblStyle w:val="Table"/>
        <w:tblW w:type="pct" w:w="5000"/>
        <w:tblLook w:firstRow="1" w:lastRow="0" w:firstColumn="0" w:lastColumn="0" w:noHBand="0" w:noVBand="0" w:val="0020"/>
        <w:jc w:val="start"/>
      </w:tblPr>
      <w:tblGrid>
        <w:gridCol w:w="2580"/>
        <w:gridCol w:w="5339"/>
      </w:tblGrid>
      <w:tr>
        <w:trPr>
          <w:tblHeader w:val="true"/>
        </w:trPr>
        <w:tc>
          <w:tcPr/>
          <w:p>
            <w:pPr>
              <w:pStyle w:val="Compact"/>
              <w:jc w:val="left"/>
            </w:pPr>
            <w:r>
              <w:t xml:space="preserve">Publication</w:t>
            </w:r>
          </w:p>
        </w:tc>
        <w:tc>
          <w:tcPr/>
          <w:p>
            <w:pPr>
              <w:pStyle w:val="Compact"/>
              <w:jc w:val="left"/>
            </w:pPr>
            <w:r>
              <w:t xml:space="preserve">Arm / Treatment / Information used for model building</w:t>
            </w:r>
          </w:p>
        </w:tc>
      </w:tr>
      <w:tr>
        <w:tc>
          <w:tcPr/>
          <w:p>
            <w:pPr>
              <w:pStyle w:val="Compact"/>
              <w:jc w:val="left"/>
            </w:pPr>
            <w:hyperlink w:anchor="Xa559bd5247f9128e74e6edcc17de37648e8cde6">
              <w:r>
                <w:rPr>
                  <w:rStyle w:val="Hyperlink"/>
                </w:rPr>
                <w:t xml:space="preserve">Kimoto 2022</w:t>
              </w:r>
            </w:hyperlink>
          </w:p>
        </w:tc>
        <w:tc>
          <w:tcPr/>
          <w:p>
            <w:pPr>
              <w:pStyle w:val="Compact"/>
              <w:jc w:val="left"/>
            </w:pPr>
            <w:r>
              <w:t xml:space="preserve">Plasma PK profiles in healthy subjects after single iv infusion (1h) of 2 mg pitavastatin and oral administration of 2 and 4 mg pitavastatin</w:t>
            </w:r>
          </w:p>
        </w:tc>
      </w:tr>
      <w:tr>
        <w:tc>
          <w:tcPr/>
          <w:p>
            <w:pPr>
              <w:pStyle w:val="Compact"/>
              <w:jc w:val="left"/>
            </w:pPr>
            <w:hyperlink w:anchor="Xa559bd5247f9128e74e6edcc17de37648e8cde6">
              <w:r>
                <w:rPr>
                  <w:rStyle w:val="Hyperlink"/>
                </w:rPr>
                <w:t xml:space="preserve">Mori 2020</w:t>
              </w:r>
            </w:hyperlink>
          </w:p>
        </w:tc>
        <w:tc>
          <w:tcPr/>
          <w:p>
            <w:pPr>
              <w:pStyle w:val="Compact"/>
              <w:jc w:val="left"/>
            </w:pPr>
            <w:r>
              <w:t xml:space="preserve">Plasma PK profiles in healthy subjects after single oral administration of 0.2 mg pitavastatin</w:t>
            </w:r>
          </w:p>
        </w:tc>
      </w:tr>
      <w:tr>
        <w:tc>
          <w:tcPr/>
          <w:p>
            <w:pPr>
              <w:pStyle w:val="Compact"/>
              <w:jc w:val="left"/>
            </w:pPr>
            <w:hyperlink w:anchor="Xa559bd5247f9128e74e6edcc17de37648e8cde6">
              <w:r>
                <w:rPr>
                  <w:rStyle w:val="Hyperlink"/>
                </w:rPr>
                <w:t xml:space="preserve">Takehara 2018</w:t>
              </w:r>
            </w:hyperlink>
          </w:p>
        </w:tc>
        <w:tc>
          <w:tcPr/>
          <w:p>
            <w:pPr>
              <w:pStyle w:val="Compact"/>
              <w:jc w:val="left"/>
            </w:pPr>
            <w:r>
              <w:t xml:space="preserve">Plasma PK profiles in healthy subjects after single oral administration of 0.2 mg pitavastatin</w:t>
            </w:r>
          </w:p>
        </w:tc>
      </w:tr>
      <w:tr>
        <w:tc>
          <w:tcPr/>
          <w:p>
            <w:pPr>
              <w:pStyle w:val="Compact"/>
              <w:jc w:val="left"/>
            </w:pPr>
            <w:hyperlink w:anchor="Xa559bd5247f9128e74e6edcc17de37648e8cde6">
              <w:r>
                <w:rPr>
                  <w:rStyle w:val="Hyperlink"/>
                </w:rPr>
                <w:t xml:space="preserve">Lou 2015</w:t>
              </w:r>
            </w:hyperlink>
          </w:p>
        </w:tc>
        <w:tc>
          <w:tcPr/>
          <w:p>
            <w:pPr>
              <w:pStyle w:val="Compact"/>
              <w:jc w:val="left"/>
            </w:pPr>
            <w:r>
              <w:t xml:space="preserve">Plasma PK profiles in healthy subjects after single oral administration of 1, 2 and 4 mg pitavastatin</w:t>
            </w:r>
          </w:p>
        </w:tc>
      </w:tr>
      <w:tr>
        <w:tc>
          <w:tcPr/>
          <w:p>
            <w:pPr>
              <w:pStyle w:val="Compact"/>
              <w:jc w:val="left"/>
            </w:pPr>
            <w:hyperlink w:anchor="Xa559bd5247f9128e74e6edcc17de37648e8cde6">
              <w:r>
                <w:rPr>
                  <w:rStyle w:val="Hyperlink"/>
                </w:rPr>
                <w:t xml:space="preserve">Chen 2013</w:t>
              </w:r>
            </w:hyperlink>
          </w:p>
        </w:tc>
        <w:tc>
          <w:tcPr/>
          <w:p>
            <w:pPr>
              <w:pStyle w:val="Compact"/>
              <w:jc w:val="left"/>
            </w:pPr>
            <w:r>
              <w:t xml:space="preserve">Plasma PK profiles in healthy subjects after single oral administration of 4 mg pitavastatin</w:t>
            </w:r>
          </w:p>
        </w:tc>
      </w:tr>
      <w:tr>
        <w:tc>
          <w:tcPr/>
          <w:p>
            <w:pPr>
              <w:pStyle w:val="Compact"/>
              <w:jc w:val="left"/>
            </w:pPr>
            <w:hyperlink w:anchor="Xa559bd5247f9128e74e6edcc17de37648e8cde6">
              <w:r>
                <w:rPr>
                  <w:rStyle w:val="Hyperlink"/>
                </w:rPr>
                <w:t xml:space="preserve">Prueksaritanont 2014</w:t>
              </w:r>
            </w:hyperlink>
          </w:p>
        </w:tc>
        <w:tc>
          <w:tcPr/>
          <w:p>
            <w:pPr>
              <w:pStyle w:val="Compact"/>
              <w:jc w:val="left"/>
            </w:pPr>
            <w:r>
              <w:t xml:space="preserve">Plasma PK profiles in healthy subjects after single oral administration of 1 mg pitavastatin</w:t>
            </w:r>
          </w:p>
        </w:tc>
      </w:tr>
    </w:tbl>
    <w:p>
      <w:pPr>
        <w:pStyle w:val="BodyText"/>
      </w:pPr>
      <w:r>
        <w:t xml:space="preserve">The following dosing scenarios were simulated and compared to respective data for model verification:</w:t>
      </w:r>
    </w:p>
    <w:tbl>
      <w:tblPr>
        <w:tblStyle w:val="Table"/>
        <w:tblW w:type="pct" w:w="5000"/>
        <w:tblLook w:firstRow="1" w:lastRow="0" w:firstColumn="0" w:lastColumn="0" w:noHBand="0" w:noVBand="0" w:val="0020"/>
        <w:jc w:val="start"/>
      </w:tblPr>
      <w:tblGrid>
        <w:gridCol w:w="4950"/>
        <w:gridCol w:w="2970"/>
      </w:tblGrid>
      <w:tr>
        <w:trPr>
          <w:tblHeader w:val="true"/>
        </w:trPr>
        <w:tc>
          <w:tcPr/>
          <w:p>
            <w:pPr>
              <w:pStyle w:val="Compact"/>
              <w:jc w:val="left"/>
            </w:pPr>
            <w:r>
              <w:t xml:space="preserve">Scenario</w:t>
            </w:r>
          </w:p>
        </w:tc>
        <w:tc>
          <w:tcPr/>
          <w:p>
            <w:pPr>
              <w:pStyle w:val="Compact"/>
              <w:jc w:val="left"/>
            </w:pPr>
            <w:r>
              <w:t xml:space="preserve">Data reference</w:t>
            </w:r>
          </w:p>
        </w:tc>
      </w:tr>
      <w:tr>
        <w:tc>
          <w:tcPr/>
          <w:p>
            <w:pPr>
              <w:pStyle w:val="Compact"/>
              <w:jc w:val="left"/>
            </w:pPr>
            <w:r>
              <w:t xml:space="preserve">po 2 mg in 3 different SLCO1B1 genotypes</w:t>
            </w:r>
          </w:p>
        </w:tc>
        <w:tc>
          <w:tcPr/>
          <w:p>
            <w:pPr>
              <w:pStyle w:val="Compact"/>
              <w:jc w:val="left"/>
            </w:pPr>
            <w:hyperlink w:anchor="Xa559bd5247f9128e74e6edcc17de37648e8cde6">
              <w:r>
                <w:rPr>
                  <w:rStyle w:val="Hyperlink"/>
                </w:rPr>
                <w:t xml:space="preserve">Ieiri 2007</w:t>
              </w:r>
            </w:hyperlink>
          </w:p>
        </w:tc>
      </w:tr>
    </w:tbl>
    <w:bookmarkEnd w:id="23"/>
    <w:bookmarkEnd w:id="24"/>
    <w:bookmarkStart w:id="29" w:name="model-parameters-and-assumptions"/>
    <w:p>
      <w:pPr>
        <w:pStyle w:val="Heading2"/>
      </w:pPr>
      <w:r>
        <w:t xml:space="preserve">Model parameters and assumptions</w:t>
      </w:r>
      <w:bookmarkStart w:id="23" w:name="23"/>
      <w:bookmarkEnd w:id="23"/>
    </w:p>
    <w:bookmarkStart w:id="25" w:name="absorption"/>
    <w:p>
      <w:pPr>
        <w:pStyle w:val="Heading3"/>
      </w:pPr>
      <w:r>
        <w:t xml:space="preserve">2.3.1 Absorption</w:t>
      </w:r>
    </w:p>
    <w:p>
      <w:pPr>
        <w:pStyle w:val="FirstParagraph"/>
      </w:pPr>
      <w:r>
        <w:t xml:space="preserve">The parameter value for</w:t>
      </w:r>
      <w:r>
        <w:t xml:space="preserve"> </w:t>
      </w:r>
      <w:r>
        <w:rPr>
          <w:rStyle w:val="VerbatimChar"/>
        </w:rPr>
        <w:t xml:space="preserve">Specific intestinal permeability</w:t>
      </w:r>
      <w:r>
        <w:t xml:space="preserve"> </w:t>
      </w:r>
      <w:r>
        <w:t xml:space="preserve">was optimized based on clinical oral data, see results of optimization in</w:t>
      </w:r>
      <w:r>
        <w:t xml:space="preserve"> </w:t>
      </w:r>
      <w:hyperlink w:anchor="X2a13133295efba879d59b4ecc1b6a15b8871330">
        <w:r>
          <w:rPr>
            <w:rStyle w:val="Hyperlink"/>
          </w:rPr>
          <w:t xml:space="preserve">Section 2.3.4</w:t>
        </w:r>
      </w:hyperlink>
      <w:r>
        <w:t xml:space="preserve">. The solubility was obtianed from DrugBank (see</w:t>
      </w:r>
      <w:r>
        <w:t xml:space="preserve"> </w:t>
      </w:r>
      <w:hyperlink w:anchor="X873f1d933aeea7d4aa146491e21cc3be56dfc99">
        <w:r>
          <w:rPr>
            <w:rStyle w:val="Hyperlink"/>
          </w:rPr>
          <w:t xml:space="preserve">Section 2.2.1</w:t>
        </w:r>
      </w:hyperlink>
      <w:r>
        <w:t xml:space="preserve">)</w:t>
      </w:r>
    </w:p>
    <w:p>
      <w:pPr>
        <w:pStyle w:val="BodyText"/>
      </w:pPr>
      <w:r>
        <w:t xml:space="preserve">The dissolution of tablets was implemented via empirical Lint80 dissolution, according to Cho 2023 (</w:t>
      </w:r>
      <w:hyperlink w:anchor="Xa559bd5247f9128e74e6edcc17de37648e8cde6">
        <w:r>
          <w:rPr>
            <w:rStyle w:val="Hyperlink"/>
          </w:rPr>
          <w:t xml:space="preserve">Cho 2024</w:t>
        </w:r>
      </w:hyperlink>
      <w:r>
        <w:t xml:space="preserve">).</w:t>
      </w:r>
    </w:p>
    <w:bookmarkEnd w:id="25"/>
    <w:bookmarkStart w:id="26" w:name="distribution"/>
    <w:p>
      <w:pPr>
        <w:pStyle w:val="Heading3"/>
      </w:pPr>
      <w:r>
        <w:t xml:space="preserve">2.3.2 Distribution</w:t>
      </w:r>
    </w:p>
    <w:p>
      <w:pPr>
        <w:pStyle w:val="FirstParagraph"/>
      </w:pPr>
      <w:r>
        <w:t xml:space="preserve">Pitavastatin is highly bound to plasma proteins (&gt;99 %) (see</w:t>
      </w:r>
      <w:r>
        <w:t xml:space="preserve"> </w:t>
      </w:r>
      <w:hyperlink w:anchor="X873f1d933aeea7d4aa146491e21cc3be56dfc99">
        <w:r>
          <w:rPr>
            <w:rStyle w:val="Hyperlink"/>
          </w:rPr>
          <w:t xml:space="preserve">Section 2.2.1</w:t>
        </w:r>
      </w:hyperlink>
      <w:r>
        <w:t xml:space="preserve">). A value of 0.52% was used in this PBPK model for</w:t>
      </w:r>
      <w:r>
        <w:t xml:space="preserve"> </w:t>
      </w:r>
      <w:r>
        <w:rPr>
          <w:rStyle w:val="VerbatimChar"/>
        </w:rPr>
        <w:t xml:space="preserve">Fraction unbound (plasma, reference value)</w:t>
      </w:r>
      <w:r>
        <w:t xml:space="preserve">. The major binding partner was set to albumin (see</w:t>
      </w:r>
      <w:r>
        <w:t xml:space="preserve"> </w:t>
      </w:r>
      <w:hyperlink w:anchor="X873f1d933aeea7d4aa146491e21cc3be56dfc99">
        <w:r>
          <w:rPr>
            <w:rStyle w:val="Hyperlink"/>
          </w:rPr>
          <w:t xml:space="preserve">Section 2.2.1</w:t>
        </w:r>
      </w:hyperlink>
      <w:r>
        <w:t xml:space="preserve">).</w:t>
      </w:r>
    </w:p>
    <w:p>
      <w:pPr>
        <w:pStyle w:val="BodyText"/>
      </w:pPr>
      <w:r>
        <w:t xml:space="preserve">An important parameter influencing the resulting volume of distribution is lipophilicity. The reported experimental logP values are in the range of 1.92-2.91 (see</w:t>
      </w:r>
      <w:r>
        <w:t xml:space="preserve"> </w:t>
      </w:r>
      <w:hyperlink w:anchor="X873f1d933aeea7d4aa146491e21cc3be56dfc99">
        <w:r>
          <w:rPr>
            <w:rStyle w:val="Hyperlink"/>
          </w:rPr>
          <w:t xml:space="preserve">Section 2.2.1</w:t>
        </w:r>
      </w:hyperlink>
      <w:r>
        <w:t xml:space="preserve">) which served as a starting value. Finally, the model parameters</w:t>
      </w:r>
      <w:r>
        <w:t xml:space="preserve"> </w:t>
      </w:r>
      <w:r>
        <w:rPr>
          <w:rStyle w:val="VerbatimChar"/>
        </w:rPr>
        <w:t xml:space="preserve">Lipophilicity</w:t>
      </w:r>
      <w:r>
        <w:t xml:space="preserve"> </w:t>
      </w:r>
      <w:r>
        <w:t xml:space="preserve">was optimized to match clinical data (see also</w:t>
      </w:r>
      <w:r>
        <w:t xml:space="preserve"> </w:t>
      </w:r>
      <w:hyperlink w:anchor="X2a13133295efba879d59b4ecc1b6a15b8871330">
        <w:r>
          <w:rPr>
            <w:rStyle w:val="Hyperlink"/>
          </w:rPr>
          <w:t xml:space="preserve">Section 2.3.4</w:t>
        </w:r>
      </w:hyperlink>
      <w:r>
        <w:t xml:space="preserve">).</w:t>
      </w:r>
    </w:p>
    <w:p>
      <w:pPr>
        <w:pStyle w:val="BodyText"/>
      </w:pPr>
      <w:r>
        <w:t xml:space="preserve">After testing the available organ-plasma partition coefficient and cell permeability calculation methods built in PK-Sim, observed clinical data was best described by choosing the partition coefficient calculation by</w:t>
      </w:r>
      <w:r>
        <w:t xml:space="preserve"> </w:t>
      </w:r>
      <w:r>
        <w:rPr>
          <w:rStyle w:val="VerbatimChar"/>
        </w:rPr>
        <w:t xml:space="preserve">Rodgers and Rowland</w:t>
      </w:r>
      <w:r>
        <w:t xml:space="preserve"> </w:t>
      </w:r>
      <w:r>
        <w:t xml:space="preserve">and cellular permeability calculation by</w:t>
      </w:r>
      <w:r>
        <w:t xml:space="preserve"> </w:t>
      </w:r>
      <w:r>
        <w:rPr>
          <w:rStyle w:val="VerbatimChar"/>
        </w:rPr>
        <w:t xml:space="preserve">Charge dependent Schmitt</w:t>
      </w:r>
      <w:r>
        <w:t xml:space="preserve">.</w:t>
      </w:r>
    </w:p>
    <w:bookmarkEnd w:id="26"/>
    <w:bookmarkStart w:id="27" w:name="metabolism-and-elimination"/>
    <w:p>
      <w:pPr>
        <w:pStyle w:val="Heading3"/>
      </w:pPr>
      <w:r>
        <w:t xml:space="preserve">2.3.3 Metabolism and Elimination</w:t>
      </w:r>
    </w:p>
    <w:p>
      <w:pPr>
        <w:pStyle w:val="FirstParagraph"/>
      </w:pPr>
      <w:r>
        <w:t xml:space="preserve">One metabolic pathway was implement into the model a first order process</w:t>
      </w:r>
    </w:p>
    <w:p>
      <w:pPr>
        <w:numPr>
          <w:ilvl w:val="0"/>
          <w:numId w:val="1002"/>
        </w:numPr>
        <w:pStyle w:val="Compact"/>
      </w:pPr>
      <w:r>
        <w:t xml:space="preserve">Unspecific UGT</w:t>
      </w:r>
      <w:r>
        <w:t xml:space="preserve"> </w:t>
      </w:r>
      <w:r>
        <w:t xml:space="preserve">Metabolic enzyme activity is described as first order process</w:t>
      </w:r>
    </w:p>
    <w:p>
      <w:pPr>
        <w:pStyle w:val="FirstParagraph"/>
      </w:pPr>
      <w:r>
        <w:t xml:space="preserve">The unspecific UGT was set to only be expressed in the liver. Metabolic enzyme activity was set to be described as first order process, were the</w:t>
      </w:r>
      <w:r>
        <w:t xml:space="preserve"> </w:t>
      </w:r>
      <w:r>
        <w:rPr>
          <w:rStyle w:val="VerbatimChar"/>
        </w:rPr>
        <w:t xml:space="preserve">CLspec/[Enzyme]</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pStyle w:val="BodyText"/>
      </w:pPr>
      <w:r>
        <w:t xml:space="preserve">And two transport protein was implemented into the model via Michaelis-Menten kinetics</w:t>
      </w:r>
    </w:p>
    <w:p>
      <w:pPr>
        <w:numPr>
          <w:ilvl w:val="0"/>
          <w:numId w:val="1003"/>
        </w:numPr>
        <w:pStyle w:val="Compact"/>
      </w:pPr>
      <w:r>
        <w:t xml:space="preserve">OATP1B1</w:t>
      </w:r>
    </w:p>
    <w:p>
      <w:pPr>
        <w:pStyle w:val="FirstParagraph"/>
      </w:pPr>
      <w:r>
        <w:t xml:space="preserve">The OATP1B1 expression profiles is based on high-sensitive real-time RT-PCR (</w:t>
      </w:r>
      <w:hyperlink w:anchor="Xa559bd5247f9128e74e6edcc17de37648e8cde6">
        <w:r>
          <w:rPr>
            <w:rStyle w:val="Hyperlink"/>
          </w:rPr>
          <w:t xml:space="preserve">Nishimura 2003</w:t>
        </w:r>
      </w:hyperlink>
      <w:r>
        <w:t xml:space="preserve">). The reference concentration for OATP1B1 was measured by liquid chromatography tandem mass spectroscopy (</w:t>
      </w:r>
      <w:hyperlink w:anchor="Xa559bd5247f9128e74e6edcc17de37648e8cde6">
        <w:r>
          <w:rPr>
            <w:rStyle w:val="Hyperlink"/>
          </w:rPr>
          <w:t xml:space="preserve">Prasad 2014</w:t>
        </w:r>
      </w:hyperlink>
      <w:r>
        <w:t xml:space="preserve">). Transporter activity was described as saturable process following Michaelis-Menten kinetics, were the</w:t>
      </w:r>
      <w:r>
        <w:t xml:space="preserve"> </w:t>
      </w:r>
      <w:r>
        <w:rPr>
          <w:rStyle w:val="VerbatimChar"/>
        </w:rPr>
        <w:t xml:space="preserve">Km</w:t>
      </w:r>
      <w:r>
        <w:t xml:space="preserve"> </w:t>
      </w:r>
      <w:r>
        <w:t xml:space="preserve">was taken from literature and the</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numPr>
          <w:ilvl w:val="0"/>
          <w:numId w:val="1004"/>
        </w:numPr>
        <w:pStyle w:val="Compact"/>
      </w:pPr>
      <w:r>
        <w:t xml:space="preserve">BCRP</w:t>
      </w:r>
    </w:p>
    <w:p>
      <w:pPr>
        <w:pStyle w:val="FirstParagraph"/>
      </w:pPr>
      <w:r>
        <w:t xml:space="preserve">The BCRP expression profiles is based on Microarray expression data from ArrayExpress. The reference concentration for OATP1B1 was measured by liquid chromatography tandem mass spectroscopy (</w:t>
      </w:r>
      <w:hyperlink w:anchor="Xa559bd5247f9128e74e6edcc17de37648e8cde6">
        <w:r>
          <w:rPr>
            <w:rStyle w:val="Hyperlink"/>
          </w:rPr>
          <w:t xml:space="preserve">Prasad 2013</w:t>
        </w:r>
      </w:hyperlink>
      <w:r>
        <w:t xml:space="preserve">). Transporter activity was described as saturable process following Michaelis-Menten kinetics, were the</w:t>
      </w:r>
      <w:r>
        <w:t xml:space="preserve"> </w:t>
      </w:r>
      <w:r>
        <w:rPr>
          <w:rStyle w:val="VerbatimChar"/>
        </w:rPr>
        <w:t xml:space="preserve">Km</w:t>
      </w:r>
      <w:r>
        <w:t xml:space="preserve"> </w:t>
      </w:r>
      <w:r>
        <w:t xml:space="preserve">was taken from literature and the</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pStyle w:val="BodyText"/>
      </w:pPr>
      <w:r>
        <w:t xml:space="preserve">Additionally, renal clearance was set to 0 according to literature (see</w:t>
      </w:r>
      <w:r>
        <w:t xml:space="preserve"> </w:t>
      </w:r>
      <w:hyperlink w:anchor="X873f1d933aeea7d4aa146491e21cc3be56dfc99">
        <w:r>
          <w:rPr>
            <w:rStyle w:val="Hyperlink"/>
          </w:rPr>
          <w:t xml:space="preserve">Section 2.2.1</w:t>
        </w:r>
      </w:hyperlink>
      <w:r>
        <w:t xml:space="preserve">).</w:t>
      </w:r>
    </w:p>
    <w:bookmarkEnd w:id="27"/>
    <w:bookmarkStart w:id="28" w:name="automated-parameter-identification"/>
    <w:p>
      <w:pPr>
        <w:pStyle w:val="Heading3"/>
      </w:pPr>
      <w:r>
        <w:t xml:space="preserve">2.3.4 Automated Parameter Identification</w:t>
      </w:r>
    </w:p>
    <w:p>
      <w:pPr>
        <w:pStyle w:val="FirstParagraph"/>
      </w:pPr>
      <w:r>
        <w:t xml:space="preserve">The following parameters were optimized by fitting the model to the data: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Model Parameter</w:t>
            </w:r>
          </w:p>
        </w:tc>
      </w:tr>
      <w:tr>
        <w:tc>
          <w:tcPr/>
          <w:p>
            <w:pPr>
              <w:pStyle w:val="Compact"/>
              <w:jc w:val="left"/>
            </w:pPr>
            <w:r>
              <w:rPr>
                <w:rStyle w:val="VerbatimChar"/>
              </w:rPr>
              <w:t xml:space="preserve">Lipophilicity</w:t>
            </w:r>
          </w:p>
        </w:tc>
      </w:tr>
      <w:tr>
        <w:tc>
          <w:tcPr/>
          <w:p>
            <w:pPr>
              <w:pStyle w:val="Compact"/>
              <w:jc w:val="left"/>
            </w:pPr>
            <w:r>
              <w:rPr>
                <w:rStyle w:val="VerbatimChar"/>
              </w:rPr>
              <w:t xml:space="preserve">kcat</w:t>
            </w:r>
            <w:r>
              <w:t xml:space="preserve"> </w:t>
            </w:r>
            <w:r>
              <w:t xml:space="preserve">(OATP1B1)</w:t>
            </w:r>
          </w:p>
        </w:tc>
      </w:tr>
      <w:tr>
        <w:tc>
          <w:tcPr/>
          <w:p>
            <w:pPr>
              <w:pStyle w:val="Compact"/>
              <w:jc w:val="left"/>
            </w:pPr>
            <w:r>
              <w:rPr>
                <w:rStyle w:val="VerbatimChar"/>
              </w:rPr>
              <w:t xml:space="preserve">CLspec/[Enzyme]</w:t>
            </w:r>
            <w:r>
              <w:t xml:space="preserve"> </w:t>
            </w:r>
            <w:r>
              <w:t xml:space="preserve">(OAT3)</w:t>
            </w:r>
          </w:p>
        </w:tc>
      </w:tr>
      <w:tr>
        <w:tc>
          <w:tcPr/>
          <w:p>
            <w:pPr>
              <w:pStyle w:val="Compact"/>
              <w:jc w:val="left"/>
            </w:pPr>
            <w:r>
              <w:rPr>
                <w:rStyle w:val="VerbatimChar"/>
              </w:rPr>
              <w:t xml:space="preserve">kcat</w:t>
            </w:r>
            <w:r>
              <w:t xml:space="preserve"> </w:t>
            </w:r>
            <w:r>
              <w:t xml:space="preserve">(BCRP)</w:t>
            </w:r>
          </w:p>
        </w:tc>
      </w:tr>
      <w:tr>
        <w:tc>
          <w:tcPr/>
          <w:p>
            <w:pPr>
              <w:pStyle w:val="Compact"/>
              <w:jc w:val="left"/>
            </w:pPr>
            <w:r>
              <w:rPr>
                <w:rStyle w:val="VerbatimChar"/>
              </w:rPr>
              <w:t xml:space="preserve">Specific intestinal permeability</w:t>
            </w:r>
          </w:p>
        </w:tc>
      </w:tr>
    </w:tbl>
    <w:bookmarkEnd w:id="28"/>
    <w:bookmarkEnd w:id="29"/>
    <w:bookmarkEnd w:id="30"/>
    <w:bookmarkStart w:id="91" w:name="results-and-discussion"/>
    <w:p>
      <w:pPr>
        <w:pStyle w:val="Heading1"/>
      </w:pPr>
      <w:r>
        <w:t xml:space="preserve">Results and Discussion</w:t>
      </w:r>
      <w:bookmarkStart w:id="3" w:name="3"/>
      <w:bookmarkEnd w:id="3"/>
    </w:p>
    <w:p>
      <w:pPr>
        <w:pStyle w:val="FirstParagraph"/>
      </w:pPr>
      <w:r>
        <w:t xml:space="preserve">The PBPK model for pitavastatin was developed and verified with clinical pharmacokinetic data.</w:t>
      </w:r>
    </w:p>
    <w:p>
      <w:pPr>
        <w:pStyle w:val="BodyText"/>
      </w:pPr>
      <w:r>
        <w:t xml:space="preserve">The model was built and evaluated covering data from studies including in particular</w:t>
      </w:r>
    </w:p>
    <w:p>
      <w:pPr>
        <w:numPr>
          <w:ilvl w:val="0"/>
          <w:numId w:val="1005"/>
        </w:numPr>
        <w:pStyle w:val="Compact"/>
      </w:pPr>
      <w:r>
        <w:t xml:space="preserve">single intravenous administration and single oral administrations (tablets).</w:t>
      </w:r>
    </w:p>
    <w:p>
      <w:pPr>
        <w:numPr>
          <w:ilvl w:val="0"/>
          <w:numId w:val="1005"/>
        </w:numPr>
        <w:pStyle w:val="Compact"/>
      </w:pPr>
      <w:r>
        <w:t xml:space="preserve">a dose range of 0.2 to 4 mg.</w:t>
      </w:r>
    </w:p>
    <w:p>
      <w:pPr>
        <w:pStyle w:val="FirstParagraph"/>
      </w:pPr>
      <w:r>
        <w:t xml:space="preserve">The model quantifies excretion via bile through BCRP transport, influx to liver via OATP1B1/1B3 and metabolism via unspecified UGT enzyme present in the liver.</w:t>
      </w:r>
    </w:p>
    <w:p>
      <w:pPr>
        <w:pStyle w:val="BodyText"/>
      </w:pPr>
      <w:r>
        <w:t xml:space="preserve">The next sections show:</w:t>
      </w:r>
    </w:p>
    <w:p>
      <w:pPr>
        <w:numPr>
          <w:ilvl w:val="0"/>
          <w:numId w:val="1006"/>
        </w:numPr>
        <w:pStyle w:val="Compact"/>
      </w:pPr>
      <w:r>
        <w:t xml:space="preserve">the final model input parameters for the building blocks:</w:t>
      </w:r>
      <w:r>
        <w:t xml:space="preserve"> </w:t>
      </w:r>
      <w:hyperlink w:anchor="Xbcab3f80bafbbb74cc1346a43ee03df06066707">
        <w:r>
          <w:rPr>
            <w:rStyle w:val="Hyperlink"/>
          </w:rPr>
          <w:t xml:space="preserve">Section 3.1</w:t>
        </w:r>
      </w:hyperlink>
      <w:r>
        <w:t xml:space="preserve">.</w:t>
      </w:r>
    </w:p>
    <w:p>
      <w:pPr>
        <w:numPr>
          <w:ilvl w:val="0"/>
          <w:numId w:val="1006"/>
        </w:numPr>
        <w:pStyle w:val="Compact"/>
      </w:pPr>
      <w:r>
        <w:t xml:space="preserve">the overall goodness of fit:</w:t>
      </w:r>
      <w:r>
        <w:t xml:space="preserve"> </w:t>
      </w:r>
      <w:hyperlink w:anchor="Xf606d2f1107546a3ad066de42d376e47dd32005">
        <w:r>
          <w:rPr>
            <w:rStyle w:val="Hyperlink"/>
          </w:rPr>
          <w:t xml:space="preserve">Section 3.2</w:t>
        </w:r>
      </w:hyperlink>
      <w:r>
        <w:t xml:space="preserve">.</w:t>
      </w:r>
    </w:p>
    <w:p>
      <w:pPr>
        <w:numPr>
          <w:ilvl w:val="0"/>
          <w:numId w:val="1006"/>
        </w:numPr>
        <w:pStyle w:val="Compact"/>
      </w:pPr>
      <w:r>
        <w:t xml:space="preserve">simulated vs. observed concentration-time profiles for the clinical studies used for model building and for model verification:</w:t>
      </w:r>
      <w:r>
        <w:t xml:space="preserve"> </w:t>
      </w:r>
      <w:hyperlink w:anchor="Xdc8b4cf40574b5c39801a4fb59aa003db333782">
        <w:r>
          <w:rPr>
            <w:rStyle w:val="Hyperlink"/>
          </w:rPr>
          <w:t xml:space="preserve">Section 3.3</w:t>
        </w:r>
      </w:hyperlink>
      <w:r>
        <w:t xml:space="preserve">.</w:t>
      </w:r>
    </w:p>
    <w:bookmarkStart w:id="47" w:name="pitavastatin-final-input-parameters"/>
    <w:p>
      <w:pPr>
        <w:pStyle w:val="Heading2"/>
      </w:pPr>
      <w:r>
        <w:t xml:space="preserve">Pitavastatin final input parameters</w:t>
      </w:r>
      <w:bookmarkStart w:id="31" w:name="31"/>
      <w:bookmarkEnd w:id="31"/>
    </w:p>
    <w:p>
      <w:pPr>
        <w:pStyle w:val="FirstParagraph"/>
      </w:pPr>
      <w:r>
        <w:t xml:space="preserve">The compound parameter values of the final PBPK model are illustrated below.</w:t>
      </w:r>
    </w:p>
    <w:bookmarkStart w:id="46" w:name="compound-pitavastatin"/>
    <w:p>
      <w:pPr>
        <w:pStyle w:val="Heading3"/>
      </w:pPr>
      <w:r>
        <w:t xml:space="preserve">Compound: Pitavastatin</w:t>
      </w:r>
    </w:p>
    <w:bookmarkStart w:id="31" w:name="parameters"/>
    <w:p>
      <w:pPr>
        <w:pStyle w:val="Heading4"/>
      </w:pPr>
      <w:r>
        <w:t xml:space="preserve">Parameters</w:t>
      </w:r>
    </w:p>
    <w:tbl>
      <w:tblPr>
        <w:tblStyle w:val="Table"/>
        <w:tblW w:type="pct" w:w="5000"/>
        <w:tblLook w:firstRow="1" w:lastRow="0" w:firstColumn="0" w:lastColumn="0" w:noHBand="0" w:noVBand="0" w:val="0020"/>
        <w:jc w:val="start"/>
      </w:tblPr>
      <w:tblGrid>
        <w:gridCol w:w="1980"/>
        <w:gridCol w:w="907"/>
        <w:gridCol w:w="4290"/>
        <w:gridCol w:w="453"/>
        <w:gridCol w:w="288"/>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0.004 mg/ml</w:t>
            </w:r>
          </w:p>
        </w:tc>
        <w:tc>
          <w:tcPr/>
          <w:p>
            <w:pPr>
              <w:pStyle w:val="Compact"/>
              <w:jc w:val="left"/>
            </w:pPr>
            <w:r>
              <w:t xml:space="preserve">Database-DrugBank</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7</w:t>
            </w:r>
          </w:p>
        </w:tc>
        <w:tc>
          <w:tcPr/>
          <w:p>
            <w:pPr>
              <w:pStyle w:val="Compact"/>
              <w:jc w:val="left"/>
            </w:pPr>
            <w:r>
              <w:t xml:space="preserve">Database-DrugBank</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Lipophilicity</w:t>
            </w:r>
          </w:p>
        </w:tc>
        <w:tc>
          <w:tcPr/>
          <w:p>
            <w:pPr>
              <w:pStyle w:val="Compact"/>
              <w:jc w:val="left"/>
            </w:pPr>
            <w:r>
              <w:t xml:space="preserve">0.9683645282 Log Units</w:t>
            </w:r>
          </w:p>
        </w:tc>
        <w:tc>
          <w:tcPr/>
          <w:p>
            <w:pPr>
              <w:pStyle w:val="Compact"/>
              <w:jc w:val="left"/>
            </w:pPr>
            <w:r>
              <w:t xml:space="preserve">Parameter Identification-Parameter Identification-Value updated from</w:t>
            </w:r>
            <w:r>
              <w:t xml:space="preserve"> </w:t>
            </w:r>
            <w:r>
              <w:t xml:space="preserve">‘</w:t>
            </w:r>
            <w:r>
              <w:t xml:space="preserve">PI-final</w:t>
            </w:r>
            <w:r>
              <w:t xml:space="preserve">’</w:t>
            </w:r>
            <w:r>
              <w:t xml:space="preserve"> </w:t>
            </w:r>
            <w:r>
              <w:t xml:space="preserve">on 2024-03-18 16:36</w:t>
            </w:r>
          </w:p>
        </w:tc>
        <w:tc>
          <w:tcPr/>
          <w:p>
            <w:pPr>
              <w:pStyle w:val="Compact"/>
              <w:jc w:val="left"/>
            </w:pPr>
            <w:r>
              <w:t xml:space="preserve">fit</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0.52 %</w:t>
            </w:r>
          </w:p>
        </w:tc>
        <w:tc>
          <w:tcPr/>
          <w:p>
            <w:pPr>
              <w:pStyle w:val="Compact"/>
              <w:jc w:val="left"/>
            </w:pPr>
            <w:r>
              <w:t xml:space="preserve">Parameter Identification-Parameter Identification-Value updated from</w:t>
            </w:r>
            <w:r>
              <w:t xml:space="preserve"> </w:t>
            </w:r>
            <w:r>
              <w:t xml:space="preserve">‘</w:t>
            </w:r>
            <w:r>
              <w:t xml:space="preserve">PI#3c_MC_JE_5</w:t>
            </w:r>
            <w:r>
              <w:t xml:space="preserve">’</w:t>
            </w:r>
            <w:r>
              <w:t xml:space="preserve"> </w:t>
            </w:r>
            <w:r>
              <w:t xml:space="preserve">on 2024-03-07 12:12</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Specific intestinal permeability (transcellular)</w:t>
            </w:r>
          </w:p>
        </w:tc>
        <w:tc>
          <w:tcPr/>
          <w:p>
            <w:pPr>
              <w:pStyle w:val="Compact"/>
              <w:jc w:val="left"/>
            </w:pPr>
            <w:r>
              <w:t xml:space="preserve">0.0140921913 cm/min</w:t>
            </w:r>
          </w:p>
        </w:tc>
        <w:tc>
          <w:tcPr/>
          <w:p>
            <w:pPr>
              <w:pStyle w:val="Compact"/>
              <w:jc w:val="left"/>
            </w:pPr>
            <w:r>
              <w:t xml:space="preserve">Parameter Identification-Parameter Identification-Value updated from</w:t>
            </w:r>
            <w:r>
              <w:t xml:space="preserve"> </w:t>
            </w:r>
            <w:r>
              <w:t xml:space="preserve">‘</w:t>
            </w:r>
            <w:r>
              <w:t xml:space="preserve">PI-final</w:t>
            </w:r>
            <w:r>
              <w:t xml:space="preserve">’</w:t>
            </w:r>
            <w:r>
              <w:t xml:space="preserve"> </w:t>
            </w:r>
            <w:r>
              <w:t xml:space="preserve">on 2024-03-18 16:37</w:t>
            </w:r>
          </w:p>
        </w:tc>
        <w:tc>
          <w:tcPr/>
          <w:p>
            <w:pPr>
              <w:pStyle w:val="Compact"/>
              <w:jc w:val="left"/>
            </w:pPr>
            <w:r>
              <w:t xml:space="preserve">fit</w:t>
            </w:r>
          </w:p>
        </w:tc>
        <w:tc>
          <w:tcPr/>
          <w:p>
            <w:pPr>
              <w:pStyle w:val="Compact"/>
              <w:jc w:val="left"/>
            </w:pPr>
            <w:r>
              <w:t xml:space="preserve">True</w:t>
            </w:r>
          </w:p>
        </w:tc>
      </w:tr>
      <w:tr>
        <w:tc>
          <w:tcPr/>
          <w:p>
            <w:pPr>
              <w:pStyle w:val="Compact"/>
              <w:jc w:val="left"/>
            </w:pPr>
            <w:r>
              <w:t xml:space="preserve">F</w:t>
            </w:r>
          </w:p>
        </w:tc>
        <w:tc>
          <w:tcPr/>
          <w:p>
            <w:pPr>
              <w:pStyle w:val="Compact"/>
              <w:jc w:val="left"/>
            </w:pPr>
            <w:r>
              <w:t xml:space="preserve">1</w:t>
            </w:r>
          </w:p>
        </w:tc>
        <w:tc>
          <w:tcPr/>
          <w:p>
            <w:pPr>
              <w:pStyle w:val="Compact"/>
              <w:jc w:val="left"/>
            </w:pPr>
            <w:r>
              <w:t xml:space="preserve">Publication-Yoshikado 2018</w:t>
            </w:r>
          </w:p>
        </w:tc>
        <w:tc>
          <w:tcPr/>
          <w:p>
            <w:pPr>
              <w:pStyle w:val="Compact"/>
            </w:pPr>
          </w:p>
        </w:tc>
        <w:tc>
          <w:tcPr/>
          <w:p>
            <w:pPr>
              <w:pStyle w:val="Compact"/>
            </w:pP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421.46 g/mol</w:t>
            </w:r>
          </w:p>
        </w:tc>
        <w:tc>
          <w:tcPr/>
          <w:p>
            <w:pPr>
              <w:pStyle w:val="Compact"/>
              <w:jc w:val="left"/>
            </w:pPr>
            <w:r>
              <w:t xml:space="preserve">Publication-Yoshikado 2018</w:t>
            </w: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Albumin</w:t>
            </w:r>
          </w:p>
        </w:tc>
        <w:tc>
          <w:tcPr/>
          <w:p>
            <w:pPr>
              <w:pStyle w:val="Compact"/>
            </w:pPr>
          </w:p>
        </w:tc>
        <w:tc>
          <w:tcPr/>
          <w:p>
            <w:pPr>
              <w:pStyle w:val="Compact"/>
            </w:pPr>
          </w:p>
        </w:tc>
        <w:tc>
          <w:tcPr/>
          <w:p>
            <w:pPr>
              <w:pStyle w:val="Compact"/>
            </w:pPr>
          </w:p>
        </w:tc>
      </w:tr>
    </w:tbl>
    <w:bookmarkEnd w:id="31"/>
    <w:bookmarkStart w:id="32" w:name="calculation-methods"/>
    <w:p>
      <w:pPr>
        <w:pStyle w:val="Heading4"/>
      </w:pPr>
      <w:r>
        <w:t xml:space="preserve">Calculation methods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Rodgers and Rowland</w:t>
            </w:r>
          </w:p>
        </w:tc>
      </w:tr>
      <w:tr>
        <w:tc>
          <w:tcPr/>
          <w:p>
            <w:pPr>
              <w:pStyle w:val="Compact"/>
              <w:jc w:val="left"/>
            </w:pPr>
            <w:r>
              <w:t xml:space="preserve">Cellular permeabilities</w:t>
            </w:r>
          </w:p>
        </w:tc>
        <w:tc>
          <w:tcPr/>
          <w:p>
            <w:pPr>
              <w:pStyle w:val="Compact"/>
              <w:jc w:val="left"/>
            </w:pPr>
            <w:r>
              <w:t xml:space="preserve">Charge dependent Schmitt</w:t>
            </w:r>
          </w:p>
        </w:tc>
      </w:tr>
    </w:tbl>
    <w:bookmarkEnd w:id="32"/>
    <w:bookmarkStart w:id="45" w:name="processes"/>
    <w:p>
      <w:pPr>
        <w:pStyle w:val="Heading4"/>
      </w:pPr>
      <w:r>
        <w:t xml:space="preserve">Processes</w:t>
      </w:r>
    </w:p>
    <w:bookmarkStart w:id="34" w:name="transport-protein-bcrp-pi"/>
    <w:p>
      <w:pPr>
        <w:pStyle w:val="Heading5"/>
      </w:pPr>
      <w:r>
        <w:t xml:space="preserve">Transport Protein: BCRP-PI</w:t>
      </w:r>
    </w:p>
    <w:p>
      <w:pPr>
        <w:pStyle w:val="FirstParagraph"/>
      </w:pPr>
      <w:r>
        <w:t xml:space="preserve">Molecule: BCRP</w:t>
      </w:r>
    </w:p>
    <w:bookmarkStart w:id="33" w:name="parameters-1"/>
    <w:p>
      <w:pPr>
        <w:pStyle w:val="Heading6"/>
      </w:pPr>
      <w:r>
        <w:t xml:space="preserve">Parameters</w:t>
      </w:r>
    </w:p>
    <w:tbl>
      <w:tblPr>
        <w:tblStyle w:val="Table"/>
        <w:tblW w:type="pct" w:w="5000"/>
        <w:tblLook w:firstRow="1" w:lastRow="0" w:firstColumn="0" w:lastColumn="0" w:noHBand="0" w:noVBand="0" w:val="0020"/>
        <w:jc w:val="start"/>
      </w:tblPr>
      <w:tblGrid>
        <w:gridCol w:w="1394"/>
        <w:gridCol w:w="1003"/>
        <w:gridCol w:w="5521"/>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Transporter concentration</w:t>
            </w:r>
          </w:p>
        </w:tc>
        <w:tc>
          <w:tcPr/>
          <w:p>
            <w:pPr>
              <w:pStyle w:val="Compact"/>
              <w:jc w:val="left"/>
            </w:pPr>
            <w:r>
              <w:t xml:space="preserve">1 µmol/l</w:t>
            </w:r>
          </w:p>
        </w:tc>
        <w:tc>
          <w:tcPr/>
          <w:p>
            <w:pPr>
              <w:pStyle w:val="Compact"/>
            </w:pPr>
          </w:p>
        </w:tc>
      </w:tr>
      <w:tr>
        <w:tc>
          <w:tcPr/>
          <w:p>
            <w:pPr>
              <w:pStyle w:val="Compact"/>
              <w:jc w:val="left"/>
            </w:pPr>
            <w:r>
              <w:t xml:space="preserve">Vmax</w:t>
            </w:r>
          </w:p>
        </w:tc>
        <w:tc>
          <w:tcPr/>
          <w:p>
            <w:pPr>
              <w:pStyle w:val="Compact"/>
              <w:jc w:val="left"/>
            </w:pPr>
            <w:r>
              <w:t xml:space="preserve">0 µmol/l/min</w:t>
            </w:r>
          </w:p>
        </w:tc>
        <w:tc>
          <w:tcPr/>
          <w:p>
            <w:pPr>
              <w:pStyle w:val="Compact"/>
            </w:pPr>
          </w:p>
        </w:tc>
      </w:tr>
      <w:tr>
        <w:tc>
          <w:tcPr/>
          <w:p>
            <w:pPr>
              <w:pStyle w:val="Compact"/>
              <w:jc w:val="left"/>
            </w:pPr>
            <w:r>
              <w:t xml:space="preserve">Km</w:t>
            </w:r>
          </w:p>
        </w:tc>
        <w:tc>
          <w:tcPr/>
          <w:p>
            <w:pPr>
              <w:pStyle w:val="Compact"/>
              <w:jc w:val="left"/>
            </w:pPr>
            <w:r>
              <w:t xml:space="preserve">2.02 µmol/l</w:t>
            </w:r>
          </w:p>
        </w:tc>
        <w:tc>
          <w:tcPr/>
          <w:p>
            <w:pPr>
              <w:pStyle w:val="Compact"/>
              <w:jc w:val="left"/>
            </w:pPr>
            <w:r>
              <w:t xml:space="preserve">Other-In Vitro-Hanke et al Assuming similar Km as for Rosuvastatin</w:t>
            </w:r>
          </w:p>
        </w:tc>
      </w:tr>
      <w:tr>
        <w:tc>
          <w:tcPr/>
          <w:p>
            <w:pPr>
              <w:pStyle w:val="Compact"/>
              <w:jc w:val="left"/>
            </w:pPr>
            <w:r>
              <w:t xml:space="preserve">kcat</w:t>
            </w:r>
          </w:p>
        </w:tc>
        <w:tc>
          <w:tcPr/>
          <w:p>
            <w:pPr>
              <w:pStyle w:val="Compact"/>
              <w:jc w:val="left"/>
            </w:pPr>
            <w:r>
              <w:t xml:space="preserve">0.3826135266 1/min</w:t>
            </w:r>
          </w:p>
        </w:tc>
        <w:tc>
          <w:tcPr/>
          <w:p>
            <w:pPr>
              <w:pStyle w:val="Compact"/>
              <w:jc w:val="left"/>
            </w:pPr>
            <w:r>
              <w:t xml:space="preserve">Parameter Identification-Parameter Identification-Value updated from</w:t>
            </w:r>
            <w:r>
              <w:t xml:space="preserve"> </w:t>
            </w:r>
            <w:r>
              <w:t xml:space="preserve">‘</w:t>
            </w:r>
            <w:r>
              <w:t xml:space="preserve">PI-final</w:t>
            </w:r>
            <w:r>
              <w:t xml:space="preserve">’</w:t>
            </w:r>
            <w:r>
              <w:t xml:space="preserve"> </w:t>
            </w:r>
            <w:r>
              <w:t xml:space="preserve">on 2024-03-18 16:36</w:t>
            </w:r>
          </w:p>
        </w:tc>
      </w:tr>
    </w:tbl>
    <w:bookmarkEnd w:id="33"/>
    <w:bookmarkEnd w:id="34"/>
    <w:bookmarkStart w:id="36" w:name="transport-protein-oatp1b11b3-pi"/>
    <w:p>
      <w:pPr>
        <w:pStyle w:val="Heading5"/>
      </w:pPr>
      <w:r>
        <w:t xml:space="preserve">Transport Protein: OATP1B1/1B3-PI</w:t>
      </w:r>
    </w:p>
    <w:p>
      <w:pPr>
        <w:pStyle w:val="FirstParagraph"/>
      </w:pPr>
      <w:r>
        <w:t xml:space="preserve">Molecule: OATP1B1/1B3</w:t>
      </w:r>
    </w:p>
    <w:bookmarkStart w:id="35" w:name="parameters-2"/>
    <w:p>
      <w:pPr>
        <w:pStyle w:val="Heading6"/>
      </w:pPr>
      <w:r>
        <w:t xml:space="preserve">Parameters</w:t>
      </w:r>
    </w:p>
    <w:tbl>
      <w:tblPr>
        <w:tblStyle w:val="Table"/>
        <w:tblW w:type="pct" w:w="5000"/>
        <w:tblLook w:firstRow="1" w:lastRow="0" w:firstColumn="0" w:lastColumn="0" w:noHBand="0" w:noVBand="0" w:val="0020"/>
        <w:jc w:val="start"/>
      </w:tblPr>
      <w:tblGrid>
        <w:gridCol w:w="1200"/>
        <w:gridCol w:w="624"/>
        <w:gridCol w:w="60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Transporter concentration</w:t>
            </w:r>
          </w:p>
        </w:tc>
        <w:tc>
          <w:tcPr/>
          <w:p>
            <w:pPr>
              <w:pStyle w:val="Compact"/>
              <w:jc w:val="left"/>
            </w:pPr>
            <w:r>
              <w:t xml:space="preserve">1 µmol/l</w:t>
            </w:r>
          </w:p>
        </w:tc>
        <w:tc>
          <w:tcPr/>
          <w:p>
            <w:pPr>
              <w:pStyle w:val="Compact"/>
            </w:pPr>
          </w:p>
        </w:tc>
      </w:tr>
      <w:tr>
        <w:tc>
          <w:tcPr/>
          <w:p>
            <w:pPr>
              <w:pStyle w:val="Compact"/>
              <w:jc w:val="left"/>
            </w:pPr>
            <w:r>
              <w:t xml:space="preserve">Vmax</w:t>
            </w:r>
          </w:p>
        </w:tc>
        <w:tc>
          <w:tcPr/>
          <w:p>
            <w:pPr>
              <w:pStyle w:val="Compact"/>
              <w:jc w:val="left"/>
            </w:pPr>
            <w:r>
              <w:t xml:space="preserve">0 µmol/l/min</w:t>
            </w:r>
          </w:p>
        </w:tc>
        <w:tc>
          <w:tcPr/>
          <w:p>
            <w:pPr>
              <w:pStyle w:val="Compact"/>
            </w:pPr>
          </w:p>
        </w:tc>
      </w:tr>
      <w:tr>
        <w:tc>
          <w:tcPr/>
          <w:p>
            <w:pPr>
              <w:pStyle w:val="Compact"/>
              <w:jc w:val="left"/>
            </w:pPr>
            <w:r>
              <w:t xml:space="preserve">Km</w:t>
            </w:r>
          </w:p>
        </w:tc>
        <w:tc>
          <w:tcPr/>
          <w:p>
            <w:pPr>
              <w:pStyle w:val="Compact"/>
              <w:jc w:val="left"/>
            </w:pPr>
            <w:r>
              <w:t xml:space="preserve">0.77 µmol/l</w:t>
            </w:r>
          </w:p>
        </w:tc>
        <w:tc>
          <w:tcPr/>
          <w:p>
            <w:pPr>
              <w:pStyle w:val="Compact"/>
              <w:jc w:val="left"/>
            </w:pPr>
            <w:r>
              <w:t xml:space="preserve">Publication-In Vitro-Duan et al 2017</w:t>
            </w:r>
          </w:p>
        </w:tc>
      </w:tr>
      <w:tr>
        <w:tc>
          <w:tcPr/>
          <w:p>
            <w:pPr>
              <w:pStyle w:val="Compact"/>
              <w:jc w:val="left"/>
            </w:pPr>
            <w:r>
              <w:t xml:space="preserve">kcat</w:t>
            </w:r>
          </w:p>
        </w:tc>
        <w:tc>
          <w:tcPr/>
          <w:p>
            <w:pPr>
              <w:pStyle w:val="Compact"/>
              <w:jc w:val="left"/>
            </w:pPr>
            <w:r>
              <w:t xml:space="preserve">739.176 1/min</w:t>
            </w:r>
          </w:p>
        </w:tc>
        <w:tc>
          <w:tcPr/>
          <w:p>
            <w:pPr>
              <w:pStyle w:val="Compact"/>
              <w:jc w:val="left"/>
            </w:pPr>
            <w:r>
              <w:t xml:space="preserve">Parameter Identification-Parameter Identification-Value updated from</w:t>
            </w:r>
            <w:r>
              <w:t xml:space="preserve"> </w:t>
            </w:r>
            <w:r>
              <w:t xml:space="preserve">‘</w:t>
            </w:r>
            <w:r>
              <w:t xml:space="preserve">PI-final</w:t>
            </w:r>
            <w:r>
              <w:t xml:space="preserve">’</w:t>
            </w:r>
            <w:r>
              <w:t xml:space="preserve"> </w:t>
            </w:r>
            <w:r>
              <w:t xml:space="preserve">on 2024-03-18 16:36 and correction OSP to Hanke</w:t>
            </w:r>
          </w:p>
        </w:tc>
      </w:tr>
    </w:tbl>
    <w:bookmarkEnd w:id="35"/>
    <w:bookmarkEnd w:id="36"/>
    <w:bookmarkStart w:id="38" w:name="Xfbb585bd3ea04ad12af4aaaab2c22095455c854"/>
    <w:p>
      <w:pPr>
        <w:pStyle w:val="Heading5"/>
      </w:pPr>
      <w:r>
        <w:t xml:space="preserve">Systemic Process: Glomerular Filtration-GFR</w:t>
      </w:r>
    </w:p>
    <w:p>
      <w:pPr>
        <w:pStyle w:val="FirstParagraph"/>
      </w:pPr>
      <w:r>
        <w:t xml:space="preserve">Species: Human</w:t>
      </w:r>
    </w:p>
    <w:bookmarkStart w:id="37" w:name="parameters-3"/>
    <w:p>
      <w:pPr>
        <w:pStyle w:val="Heading6"/>
      </w:pPr>
      <w:r>
        <w:t xml:space="preserve">Parameters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Name</w:t>
            </w:r>
          </w:p>
        </w:tc>
        <w:tc>
          <w:tcPr/>
          <w:p>
            <w:pPr>
              <w:pStyle w:val="Compact"/>
              <w:jc w:val="right"/>
            </w:pPr>
            <w:r>
              <w:t xml:space="preserve">Value</w:t>
            </w:r>
          </w:p>
        </w:tc>
        <w:tc>
          <w:tcPr/>
          <w:p>
            <w:pPr>
              <w:pStyle w:val="Compact"/>
              <w:jc w:val="left"/>
            </w:pPr>
            <w:r>
              <w:t xml:space="preserve">Value Origin</w:t>
            </w:r>
          </w:p>
        </w:tc>
      </w:tr>
      <w:tr>
        <w:tc>
          <w:tcPr/>
          <w:p>
            <w:pPr>
              <w:pStyle w:val="Compact"/>
              <w:jc w:val="left"/>
            </w:pPr>
            <w:r>
              <w:t xml:space="preserve">GFR fraction</w:t>
            </w:r>
          </w:p>
        </w:tc>
        <w:tc>
          <w:tcPr/>
          <w:p>
            <w:pPr>
              <w:pStyle w:val="Compact"/>
              <w:jc w:val="right"/>
            </w:pPr>
            <w:r>
              <w:t xml:space="preserve">0</w:t>
            </w:r>
          </w:p>
        </w:tc>
        <w:tc>
          <w:tcPr/>
          <w:p>
            <w:pPr>
              <w:pStyle w:val="Compact"/>
              <w:jc w:val="left"/>
            </w:pPr>
            <w:r>
              <w:t xml:space="preserve">Other-Assumption</w:t>
            </w:r>
          </w:p>
        </w:tc>
      </w:tr>
    </w:tbl>
    <w:bookmarkEnd w:id="37"/>
    <w:bookmarkEnd w:id="38"/>
    <w:bookmarkStart w:id="40" w:name="metabolizing-enzyme-ugt-fit"/>
    <w:p>
      <w:pPr>
        <w:pStyle w:val="Heading5"/>
      </w:pPr>
      <w:r>
        <w:t xml:space="preserve">Metabolizing Enzyme: UGT-fit</w:t>
      </w:r>
    </w:p>
    <w:p>
      <w:pPr>
        <w:pStyle w:val="FirstParagraph"/>
      </w:pPr>
      <w:r>
        <w:t xml:space="preserve">Molecule: UGT</w:t>
      </w:r>
    </w:p>
    <w:bookmarkStart w:id="39" w:name="parameters-4"/>
    <w:p>
      <w:pPr>
        <w:pStyle w:val="Heading6"/>
      </w:pPr>
      <w:r>
        <w:t xml:space="preserve">Parameters</w:t>
      </w:r>
    </w:p>
    <w:tbl>
      <w:tblPr>
        <w:tblStyle w:val="Table"/>
        <w:tblW w:type="pct" w:w="5000"/>
        <w:tblLook w:firstRow="1" w:lastRow="0" w:firstColumn="0" w:lastColumn="0" w:noHBand="0" w:noVBand="0" w:val="0020"/>
        <w:jc w:val="start"/>
      </w:tblPr>
      <w:tblGrid>
        <w:gridCol w:w="1542"/>
        <w:gridCol w:w="1285"/>
        <w:gridCol w:w="5091"/>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CL/recombinant enzyme</w:t>
            </w:r>
          </w:p>
        </w:tc>
        <w:tc>
          <w:tcPr/>
          <w:p>
            <w:pPr>
              <w:pStyle w:val="Compact"/>
              <w:jc w:val="left"/>
            </w:pPr>
            <w:r>
              <w:t xml:space="preserve">0 µl/min/pmol rec. enzyme</w:t>
            </w:r>
          </w:p>
        </w:tc>
        <w:tc>
          <w:tcPr/>
          <w:p>
            <w:pPr>
              <w:pStyle w:val="Compact"/>
            </w:pPr>
          </w:p>
        </w:tc>
      </w:tr>
      <w:tr>
        <w:tc>
          <w:tcPr/>
          <w:p>
            <w:pPr>
              <w:pStyle w:val="Compact"/>
              <w:jc w:val="left"/>
            </w:pPr>
            <w:r>
              <w:t xml:space="preserve">CLspec/[Enzyme]</w:t>
            </w:r>
          </w:p>
        </w:tc>
        <w:tc>
          <w:tcPr/>
          <w:p>
            <w:pPr>
              <w:pStyle w:val="Compact"/>
              <w:jc w:val="left"/>
            </w:pPr>
            <w:r>
              <w:t xml:space="preserve">0.0220585031 l/µmol/min</w:t>
            </w:r>
          </w:p>
        </w:tc>
        <w:tc>
          <w:tcPr/>
          <w:p>
            <w:pPr>
              <w:pStyle w:val="Compact"/>
              <w:jc w:val="left"/>
            </w:pPr>
            <w:r>
              <w:t xml:space="preserve">Parameter Identification-Parameter Identification-Value updated from</w:t>
            </w:r>
            <w:r>
              <w:t xml:space="preserve"> </w:t>
            </w:r>
            <w:r>
              <w:t xml:space="preserve">‘</w:t>
            </w:r>
            <w:r>
              <w:t xml:space="preserve">PI-final</w:t>
            </w:r>
            <w:r>
              <w:t xml:space="preserve">’</w:t>
            </w:r>
            <w:r>
              <w:t xml:space="preserve"> </w:t>
            </w:r>
            <w:r>
              <w:t xml:space="preserve">on 2024-03-18 16:37</w:t>
            </w:r>
          </w:p>
        </w:tc>
      </w:tr>
    </w:tbl>
    <w:bookmarkEnd w:id="39"/>
    <w:bookmarkEnd w:id="40"/>
    <w:bookmarkStart w:id="42" w:name="Xd296a6a1b598b25e35bfdda3e20255438fbe2ba"/>
    <w:p>
      <w:pPr>
        <w:pStyle w:val="Heading5"/>
      </w:pPr>
      <w:r>
        <w:t xml:space="preserve">Transport Protein: OATP1B1/1B3-genotype SLCO1B1_1b_15</w:t>
      </w:r>
    </w:p>
    <w:p>
      <w:pPr>
        <w:pStyle w:val="FirstParagraph"/>
      </w:pPr>
      <w:r>
        <w:t xml:space="preserve">Molecule: OATP1B1/1B3</w:t>
      </w:r>
    </w:p>
    <w:bookmarkStart w:id="41" w:name="parameters-5"/>
    <w:p>
      <w:pPr>
        <w:pStyle w:val="Heading6"/>
      </w:pPr>
      <w:r>
        <w:t xml:space="preserve">Parameters</w:t>
      </w:r>
    </w:p>
    <w:tbl>
      <w:tblPr>
        <w:tblStyle w:val="Table"/>
        <w:tblW w:type="pct" w:w="5000"/>
        <w:tblLook w:firstRow="1" w:lastRow="0" w:firstColumn="0" w:lastColumn="0" w:noHBand="0" w:noVBand="0" w:val="0020"/>
        <w:jc w:val="start"/>
      </w:tblPr>
      <w:tblGrid>
        <w:gridCol w:w="1980"/>
        <w:gridCol w:w="1029"/>
        <w:gridCol w:w="4910"/>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Transporter concentration</w:t>
            </w:r>
          </w:p>
        </w:tc>
        <w:tc>
          <w:tcPr/>
          <w:p>
            <w:pPr>
              <w:pStyle w:val="Compact"/>
              <w:jc w:val="left"/>
            </w:pPr>
            <w:r>
              <w:t xml:space="preserve">1 µmol/l</w:t>
            </w:r>
          </w:p>
        </w:tc>
        <w:tc>
          <w:tcPr/>
          <w:p>
            <w:pPr>
              <w:pStyle w:val="Compact"/>
            </w:pPr>
          </w:p>
        </w:tc>
      </w:tr>
      <w:tr>
        <w:tc>
          <w:tcPr/>
          <w:p>
            <w:pPr>
              <w:pStyle w:val="Compact"/>
              <w:jc w:val="left"/>
            </w:pPr>
            <w:r>
              <w:t xml:space="preserve">Vmax</w:t>
            </w:r>
          </w:p>
        </w:tc>
        <w:tc>
          <w:tcPr/>
          <w:p>
            <w:pPr>
              <w:pStyle w:val="Compact"/>
              <w:jc w:val="left"/>
            </w:pPr>
            <w:r>
              <w:t xml:space="preserve">0 µmol/l/min</w:t>
            </w:r>
          </w:p>
        </w:tc>
        <w:tc>
          <w:tcPr/>
          <w:p>
            <w:pPr>
              <w:pStyle w:val="Compact"/>
            </w:pPr>
          </w:p>
        </w:tc>
      </w:tr>
      <w:tr>
        <w:tc>
          <w:tcPr/>
          <w:p>
            <w:pPr>
              <w:pStyle w:val="Compact"/>
              <w:jc w:val="left"/>
            </w:pPr>
            <w:r>
              <w:t xml:space="preserve">Km</w:t>
            </w:r>
          </w:p>
        </w:tc>
        <w:tc>
          <w:tcPr/>
          <w:p>
            <w:pPr>
              <w:pStyle w:val="Compact"/>
              <w:jc w:val="left"/>
            </w:pPr>
            <w:r>
              <w:t xml:space="preserve">0.77 µmol/l</w:t>
            </w:r>
          </w:p>
        </w:tc>
        <w:tc>
          <w:tcPr/>
          <w:p>
            <w:pPr>
              <w:pStyle w:val="Compact"/>
              <w:jc w:val="left"/>
            </w:pPr>
            <w:r>
              <w:t xml:space="preserve">Publication-In Vitro-Duan et al 2017</w:t>
            </w:r>
          </w:p>
        </w:tc>
      </w:tr>
      <w:tr>
        <w:tc>
          <w:tcPr/>
          <w:p>
            <w:pPr>
              <w:pStyle w:val="Compact"/>
              <w:jc w:val="left"/>
            </w:pPr>
            <w:r>
              <w:t xml:space="preserve">kcat</w:t>
            </w:r>
          </w:p>
        </w:tc>
        <w:tc>
          <w:tcPr/>
          <w:p>
            <w:pPr>
              <w:pStyle w:val="Compact"/>
              <w:jc w:val="left"/>
            </w:pPr>
            <w:r>
              <w:t xml:space="preserve">369.588 1/min</w:t>
            </w:r>
          </w:p>
        </w:tc>
        <w:tc>
          <w:tcPr/>
          <w:p>
            <w:pPr>
              <w:pStyle w:val="Compact"/>
              <w:jc w:val="left"/>
            </w:pPr>
            <w:r>
              <w:t xml:space="preserve">Parameter Identification-Assumption-half if PI fitted activity</w:t>
            </w:r>
          </w:p>
        </w:tc>
      </w:tr>
    </w:tbl>
    <w:bookmarkEnd w:id="41"/>
    <w:bookmarkEnd w:id="42"/>
    <w:bookmarkStart w:id="44" w:name="Xa9f388226799d376201a6464b2fa77abc5a6fdb"/>
    <w:p>
      <w:pPr>
        <w:pStyle w:val="Heading5"/>
      </w:pPr>
      <w:r>
        <w:t xml:space="preserve">Transport Protein: OATP1B1/1B3-genotype SLCO1B1_15_15</w:t>
      </w:r>
    </w:p>
    <w:p>
      <w:pPr>
        <w:pStyle w:val="FirstParagraph"/>
      </w:pPr>
      <w:r>
        <w:t xml:space="preserve">Molecule: OATP1B1/1B3</w:t>
      </w:r>
    </w:p>
    <w:bookmarkStart w:id="43" w:name="parameters-6"/>
    <w:p>
      <w:pPr>
        <w:pStyle w:val="Heading6"/>
      </w:pPr>
      <w:r>
        <w:t xml:space="preserve">Parameters</w:t>
      </w:r>
    </w:p>
    <w:tbl>
      <w:tblPr>
        <w:tblStyle w:val="Table"/>
        <w:tblW w:type="pct" w:w="5000"/>
        <w:tblLook w:firstRow="1" w:lastRow="0" w:firstColumn="0" w:lastColumn="0" w:noHBand="0" w:noVBand="0" w:val="0020"/>
        <w:jc w:val="start"/>
      </w:tblPr>
      <w:tblGrid>
        <w:gridCol w:w="2106"/>
        <w:gridCol w:w="1095"/>
        <w:gridCol w:w="4718"/>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Transporter concentration</w:t>
            </w:r>
          </w:p>
        </w:tc>
        <w:tc>
          <w:tcPr/>
          <w:p>
            <w:pPr>
              <w:pStyle w:val="Compact"/>
              <w:jc w:val="left"/>
            </w:pPr>
            <w:r>
              <w:t xml:space="preserve">1 µmol/l</w:t>
            </w:r>
          </w:p>
        </w:tc>
        <w:tc>
          <w:tcPr/>
          <w:p>
            <w:pPr>
              <w:pStyle w:val="Compact"/>
            </w:pPr>
          </w:p>
        </w:tc>
      </w:tr>
      <w:tr>
        <w:tc>
          <w:tcPr/>
          <w:p>
            <w:pPr>
              <w:pStyle w:val="Compact"/>
              <w:jc w:val="left"/>
            </w:pPr>
            <w:r>
              <w:t xml:space="preserve">Vmax</w:t>
            </w:r>
          </w:p>
        </w:tc>
        <w:tc>
          <w:tcPr/>
          <w:p>
            <w:pPr>
              <w:pStyle w:val="Compact"/>
              <w:jc w:val="left"/>
            </w:pPr>
            <w:r>
              <w:t xml:space="preserve">0 µmol/l/min</w:t>
            </w:r>
          </w:p>
        </w:tc>
        <w:tc>
          <w:tcPr/>
          <w:p>
            <w:pPr>
              <w:pStyle w:val="Compact"/>
            </w:pPr>
          </w:p>
        </w:tc>
      </w:tr>
      <w:tr>
        <w:tc>
          <w:tcPr/>
          <w:p>
            <w:pPr>
              <w:pStyle w:val="Compact"/>
              <w:jc w:val="left"/>
            </w:pPr>
            <w:r>
              <w:t xml:space="preserve">Km</w:t>
            </w:r>
          </w:p>
        </w:tc>
        <w:tc>
          <w:tcPr/>
          <w:p>
            <w:pPr>
              <w:pStyle w:val="Compact"/>
              <w:jc w:val="left"/>
            </w:pPr>
            <w:r>
              <w:t xml:space="preserve">0.77 µmol/l</w:t>
            </w:r>
          </w:p>
        </w:tc>
        <w:tc>
          <w:tcPr/>
          <w:p>
            <w:pPr>
              <w:pStyle w:val="Compact"/>
              <w:jc w:val="left"/>
            </w:pPr>
            <w:r>
              <w:t xml:space="preserve">Publication-In Vitro-Duan et al 2017</w:t>
            </w:r>
          </w:p>
        </w:tc>
      </w:tr>
      <w:tr>
        <w:tc>
          <w:tcPr/>
          <w:p>
            <w:pPr>
              <w:pStyle w:val="Compact"/>
              <w:jc w:val="left"/>
            </w:pPr>
            <w:r>
              <w:t xml:space="preserve">kcat</w:t>
            </w:r>
          </w:p>
        </w:tc>
        <w:tc>
          <w:tcPr/>
          <w:p>
            <w:pPr>
              <w:pStyle w:val="Compact"/>
              <w:jc w:val="left"/>
            </w:pPr>
            <w:r>
              <w:t xml:space="preserve">184.794 1/min</w:t>
            </w:r>
          </w:p>
        </w:tc>
        <w:tc>
          <w:tcPr/>
          <w:p>
            <w:pPr>
              <w:pStyle w:val="Compact"/>
              <w:jc w:val="left"/>
            </w:pPr>
            <w:r>
              <w:t xml:space="preserve">Parameter Identification-Assumption-1/4 of PI actitivity</w:t>
            </w:r>
          </w:p>
        </w:tc>
      </w:tr>
    </w:tbl>
    <w:bookmarkEnd w:id="43"/>
    <w:bookmarkEnd w:id="44"/>
    <w:bookmarkEnd w:id="45"/>
    <w:bookmarkEnd w:id="46"/>
    <w:bookmarkEnd w:id="47"/>
    <w:bookmarkStart w:id="54" w:name="pitavastatin-diagnostics-plots"/>
    <w:p>
      <w:pPr>
        <w:pStyle w:val="Heading2"/>
      </w:pPr>
      <w:r>
        <w:t xml:space="preserve">Pitavastatin Diagnostics Plots</w:t>
      </w:r>
      <w:bookmarkStart w:id="32" w:name="32"/>
      <w:bookmarkEnd w:id="32"/>
    </w:p>
    <w:p>
      <w:pPr>
        <w:pStyle w:val="FirstParagraph"/>
      </w:pPr>
      <w:r>
        <w:t xml:space="preserve">Below you find the goodness-of-fit visual diagnostic plots for the PBPK model performance of all data used presented in</w:t>
      </w:r>
      <w:r>
        <w:t xml:space="preserve"> </w:t>
      </w:r>
      <w:hyperlink w:anchor="X7ecbd1fd734a207de60ff9705c88346a68b0398">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Cs/>
          <w:b/>
        </w:rPr>
        <w:t xml:space="preserve">Table 3-1: GMFE for Goodness of fit plot for concentration in plasma.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Pitavastatin iv (model building)</w:t>
            </w:r>
          </w:p>
        </w:tc>
        <w:tc>
          <w:tcPr/>
          <w:p>
            <w:pPr>
              <w:pStyle w:val="Compact"/>
              <w:jc w:val="left"/>
            </w:pPr>
            <w:r>
              <w:t xml:space="preserve">1.31</w:t>
            </w:r>
          </w:p>
        </w:tc>
      </w:tr>
      <w:tr>
        <w:tc>
          <w:tcPr/>
          <w:p>
            <w:pPr>
              <w:pStyle w:val="Compact"/>
              <w:jc w:val="left"/>
            </w:pPr>
            <w:r>
              <w:t xml:space="preserve">Pitavastatin oral administration (model building)</w:t>
            </w:r>
          </w:p>
        </w:tc>
        <w:tc>
          <w:tcPr/>
          <w:p>
            <w:pPr>
              <w:pStyle w:val="Compact"/>
              <w:jc w:val="left"/>
            </w:pPr>
            <w:r>
              <w:t xml:space="preserve">2.04</w:t>
            </w:r>
          </w:p>
        </w:tc>
      </w:tr>
      <w:tr>
        <w:tc>
          <w:tcPr/>
          <w:p>
            <w:pPr>
              <w:pStyle w:val="Compact"/>
              <w:jc w:val="left"/>
            </w:pPr>
            <w:r>
              <w:t xml:space="preserve">Pitavastatin oral administration (model verification)</w:t>
            </w:r>
          </w:p>
        </w:tc>
        <w:tc>
          <w:tcPr/>
          <w:p>
            <w:pPr>
              <w:pStyle w:val="Compact"/>
              <w:jc w:val="left"/>
            </w:pPr>
            <w:r>
              <w:t xml:space="preserve">1.42</w:t>
            </w:r>
          </w:p>
        </w:tc>
      </w:tr>
      <w:tr>
        <w:tc>
          <w:tcPr/>
          <w:p>
            <w:pPr>
              <w:pStyle w:val="Compact"/>
              <w:jc w:val="left"/>
            </w:pPr>
            <w:r>
              <w:t xml:space="preserve">All</w:t>
            </w:r>
          </w:p>
        </w:tc>
        <w:tc>
          <w:tcPr/>
          <w:p>
            <w:pPr>
              <w:pStyle w:val="Compact"/>
              <w:jc w:val="left"/>
            </w:pPr>
            <w:r>
              <w:t xml:space="preserve">1.76</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6960295"/>
            <wp:effectExtent b="0" l="0" r="0" t="0"/>
            <wp:docPr descr="" title="" id="49" name="Picture"/>
            <a:graphic>
              <a:graphicData uri="http://schemas.openxmlformats.org/drawingml/2006/picture">
                <pic:pic>
                  <pic:nvPicPr>
                    <pic:cNvPr descr="images/006_section_3/008_section_32/2_gof_plot_predictedVsObserved.png" id="50" name="Picture"/>
                    <pic:cNvPicPr>
                      <a:picLocks noChangeArrowheads="1" noChangeAspect="1"/>
                    </pic:cNvPicPr>
                  </pic:nvPicPr>
                  <pic:blipFill>
                    <a:blip r:embed="rId48"/>
                    <a:stretch>
                      <a:fillRect/>
                    </a:stretch>
                  </pic:blipFill>
                  <pic:spPr bwMode="auto">
                    <a:xfrm>
                      <a:off x="0" y="0"/>
                      <a:ext cx="5969000" cy="6960295"/>
                    </a:xfrm>
                    <a:prstGeom prst="rect">
                      <a:avLst/>
                    </a:prstGeom>
                    <a:noFill/>
                    <a:ln w="9525">
                      <a:noFill/>
                      <a:headEnd/>
                      <a:tailEnd/>
                    </a:ln>
                  </pic:spPr>
                </pic:pic>
              </a:graphicData>
            </a:graphic>
          </wp:inline>
        </w:drawing>
      </w:r>
    </w:p>
    <w:p>
      <w:pPr>
        <w:pStyle w:val="BodyText"/>
      </w:pPr>
      <w:r>
        <w:rPr>
          <w:bCs/>
          <w:b/>
        </w:rPr>
        <w:t xml:space="preserve">Figure 3-1: Goodness of fit plot for concentration in plasma.</w:t>
      </w:r>
    </w:p>
    <w:p>
      <w:pPr>
        <w:pStyle w:val="BodyText"/>
      </w:pPr>
      <w:r>
        <w:t xml:space="preserve"> </w:t>
      </w:r>
    </w:p>
    <w:br w:type="page"/>
    <w:p>
      <w:pPr>
        <w:pStyle w:val="BodyText"/>
      </w:pPr>
      <w:bookmarkStart w:id="figure-3-2" w:name="figure-3-2"/>
      <w:bookmarkEnd w:id="figure-3-2"/>
    </w:p>
    <w:p>
      <w:pPr>
        <w:pStyle w:val="BodyText"/>
      </w:pPr>
      <w:r>
        <w:drawing>
          <wp:inline>
            <wp:extent cx="5969000" cy="4710257"/>
            <wp:effectExtent b="0" l="0" r="0" t="0"/>
            <wp:docPr descr="" title="" id="52" name="Picture"/>
            <a:graphic>
              <a:graphicData uri="http://schemas.openxmlformats.org/drawingml/2006/picture">
                <pic:pic>
                  <pic:nvPicPr>
                    <pic:cNvPr descr="images/006_section_3/008_section_32/3_gof_plot_residualsOverTime.png" id="53" name="Picture"/>
                    <pic:cNvPicPr>
                      <a:picLocks noChangeArrowheads="1" noChangeAspect="1"/>
                    </pic:cNvPicPr>
                  </pic:nvPicPr>
                  <pic:blipFill>
                    <a:blip r:embed="rId51"/>
                    <a:stretch>
                      <a:fillRect/>
                    </a:stretch>
                  </pic:blipFill>
                  <pic:spPr bwMode="auto">
                    <a:xfrm>
                      <a:off x="0" y="0"/>
                      <a:ext cx="5969000" cy="4710257"/>
                    </a:xfrm>
                    <a:prstGeom prst="rect">
                      <a:avLst/>
                    </a:prstGeom>
                    <a:noFill/>
                    <a:ln w="9525">
                      <a:noFill/>
                      <a:headEnd/>
                      <a:tailEnd/>
                    </a:ln>
                  </pic:spPr>
                </pic:pic>
              </a:graphicData>
            </a:graphic>
          </wp:inline>
        </w:drawing>
      </w:r>
    </w:p>
    <w:p>
      <w:pPr>
        <w:pStyle w:val="BodyText"/>
      </w:pPr>
      <w:r>
        <w:rPr>
          <w:bCs/>
          <w:b/>
        </w:rPr>
        <w:t xml:space="preserve">Figure 3-2: Goodness of fit plot for concentration in plasma.</w:t>
      </w:r>
    </w:p>
    <w:p>
      <w:pPr>
        <w:pStyle w:val="BodyText"/>
      </w:pPr>
      <w:r>
        <w:t xml:space="preserve"> </w:t>
      </w:r>
    </w:p>
    <w:bookmarkEnd w:id="54"/>
    <w:bookmarkStart w:id="90" w:name="concentration-time-profiles"/>
    <w:p>
      <w:pPr>
        <w:pStyle w:val="Heading2"/>
      </w:pPr>
      <w:r>
        <w:t xml:space="preserve">Concentration-Time Profiles</w:t>
      </w:r>
      <w:bookmarkStart w:id="33" w:name="33"/>
      <w:bookmarkEnd w:id="33"/>
    </w:p>
    <w:p>
      <w:pPr>
        <w:pStyle w:val="FirstParagraph"/>
      </w:pPr>
      <w:r>
        <w:t xml:space="preserve">Simulated versus observed concentration-time profiles of all data listed in</w:t>
      </w:r>
      <w:r>
        <w:t xml:space="preserve"> </w:t>
      </w:r>
      <w:hyperlink w:anchor="X7ecbd1fd734a207de60ff9705c88346a68b0398">
        <w:r>
          <w:rPr>
            <w:rStyle w:val="Hyperlink"/>
          </w:rPr>
          <w:t xml:space="preserve">Section 2.2.2</w:t>
        </w:r>
      </w:hyperlink>
      <w:r>
        <w:t xml:space="preserve"> </w:t>
      </w:r>
      <w:r>
        <w:t xml:space="preserve">are presented below.</w:t>
      </w:r>
    </w:p>
    <w:bookmarkStart w:id="79" w:name="model-building"/>
    <w:p>
      <w:pPr>
        <w:pStyle w:val="Heading3"/>
      </w:pPr>
      <w:r>
        <w:t xml:space="preserve">Model Building</w:t>
      </w:r>
      <w:bookmarkStart w:id="331" w:name="331"/>
      <w:bookmarkEnd w:id="331"/>
    </w:p>
    <w:br w:type="page"/>
    <w:p>
      <w:pPr>
        <w:pStyle w:val="FirstParagraph"/>
      </w:pPr>
      <w:bookmarkStart w:id="figure-3-3" w:name="figure-3-3"/>
      <w:bookmarkEnd w:id="figure-3-3"/>
    </w:p>
    <w:p>
      <w:pPr>
        <w:pStyle w:val="BodyText"/>
      </w:pPr>
      <w:r>
        <w:drawing>
          <wp:inline>
            <wp:extent cx="5969000" cy="4242287"/>
            <wp:effectExtent b="0" l="0" r="0" t="0"/>
            <wp:docPr descr="" title="" id="56" name="Picture"/>
            <a:graphic>
              <a:graphicData uri="http://schemas.openxmlformats.org/drawingml/2006/picture">
                <pic:pic>
                  <pic:nvPicPr>
                    <pic:cNvPr descr="images/006_section_3/009_section_33/010_section_331/1_time_profile_plot_Pitavastatin_Chen_2013_4mg_po.png" id="57" name="Picture"/>
                    <pic:cNvPicPr>
                      <a:picLocks noChangeArrowheads="1" noChangeAspect="1"/>
                    </pic:cNvPicPr>
                  </pic:nvPicPr>
                  <pic:blipFill>
                    <a:blip r:embed="rId55"/>
                    <a:stretch>
                      <a:fillRect/>
                    </a:stretch>
                  </pic:blipFill>
                  <pic:spPr bwMode="auto">
                    <a:xfrm>
                      <a:off x="0" y="0"/>
                      <a:ext cx="5969000" cy="4242287"/>
                    </a:xfrm>
                    <a:prstGeom prst="rect">
                      <a:avLst/>
                    </a:prstGeom>
                    <a:noFill/>
                    <a:ln w="9525">
                      <a:noFill/>
                      <a:headEnd/>
                      <a:tailEnd/>
                    </a:ln>
                  </pic:spPr>
                </pic:pic>
              </a:graphicData>
            </a:graphic>
          </wp:inline>
        </w:drawing>
      </w:r>
    </w:p>
    <w:p>
      <w:pPr>
        <w:pStyle w:val="BodyText"/>
      </w:pPr>
      <w:r>
        <w:rPr>
          <w:bCs/>
          <w:b/>
        </w:rPr>
        <w:t xml:space="preserve">Figure 3-3: Chen et al. 2013 po 4 mg</w:t>
      </w:r>
    </w:p>
    <w:p>
      <w:pPr>
        <w:pStyle w:val="BodyText"/>
      </w:pPr>
      <w:r>
        <w:t xml:space="preserve"> </w:t>
      </w:r>
    </w:p>
    <w:br w:type="page"/>
    <w:p>
      <w:pPr>
        <w:pStyle w:val="BodyText"/>
      </w:pPr>
      <w:bookmarkStart w:id="figure-3-4" w:name="figure-3-4"/>
      <w:bookmarkEnd w:id="figure-3-4"/>
    </w:p>
    <w:p>
      <w:pPr>
        <w:pStyle w:val="BodyText"/>
      </w:pPr>
      <w:r>
        <w:drawing>
          <wp:inline>
            <wp:extent cx="5969000" cy="4242287"/>
            <wp:effectExtent b="0" l="0" r="0" t="0"/>
            <wp:docPr descr="" title="" id="59" name="Picture"/>
            <a:graphic>
              <a:graphicData uri="http://schemas.openxmlformats.org/drawingml/2006/picture">
                <pic:pic>
                  <pic:nvPicPr>
                    <pic:cNvPr descr="images/006_section_3/009_section_33/010_section_331/2_time_profile_plot_Pitavastatin_Kimoto_2022_2mg_i_v_.png" id="60" name="Picture"/>
                    <pic:cNvPicPr>
                      <a:picLocks noChangeArrowheads="1" noChangeAspect="1"/>
                    </pic:cNvPicPr>
                  </pic:nvPicPr>
                  <pic:blipFill>
                    <a:blip r:embed="rId58"/>
                    <a:stretch>
                      <a:fillRect/>
                    </a:stretch>
                  </pic:blipFill>
                  <pic:spPr bwMode="auto">
                    <a:xfrm>
                      <a:off x="0" y="0"/>
                      <a:ext cx="5969000" cy="4242287"/>
                    </a:xfrm>
                    <a:prstGeom prst="rect">
                      <a:avLst/>
                    </a:prstGeom>
                    <a:noFill/>
                    <a:ln w="9525">
                      <a:noFill/>
                      <a:headEnd/>
                      <a:tailEnd/>
                    </a:ln>
                  </pic:spPr>
                </pic:pic>
              </a:graphicData>
            </a:graphic>
          </wp:inline>
        </w:drawing>
      </w:r>
    </w:p>
    <w:p>
      <w:pPr>
        <w:pStyle w:val="BodyText"/>
      </w:pPr>
      <w:r>
        <w:rPr>
          <w:bCs/>
          <w:b/>
        </w:rPr>
        <w:t xml:space="preserve">Figure 3-4: Kimoto et al 2022 - Pitavastatin 2 mg iv infusion</w:t>
      </w:r>
    </w:p>
    <w:p>
      <w:pPr>
        <w:pStyle w:val="BodyText"/>
      </w:pPr>
      <w:r>
        <w:t xml:space="preserve"> </w:t>
      </w:r>
    </w:p>
    <w:br w:type="page"/>
    <w:p>
      <w:pPr>
        <w:pStyle w:val="BodyText"/>
      </w:pPr>
      <w:bookmarkStart w:id="figure-3-5" w:name="figure-3-5"/>
      <w:bookmarkEnd w:id="figure-3-5"/>
    </w:p>
    <w:p>
      <w:pPr>
        <w:pStyle w:val="BodyText"/>
      </w:pPr>
      <w:r>
        <w:drawing>
          <wp:inline>
            <wp:extent cx="5969000" cy="4242287"/>
            <wp:effectExtent b="0" l="0" r="0" t="0"/>
            <wp:docPr descr="" title="" id="62" name="Picture"/>
            <a:graphic>
              <a:graphicData uri="http://schemas.openxmlformats.org/drawingml/2006/picture">
                <pic:pic>
                  <pic:nvPicPr>
                    <pic:cNvPr descr="images/006_section_3/009_section_33/010_section_331/3_time_profile_plot_Pitavastatin_Kimoto_2022_2mg_po.png" id="63" name="Picture"/>
                    <pic:cNvPicPr>
                      <a:picLocks noChangeArrowheads="1" noChangeAspect="1"/>
                    </pic:cNvPicPr>
                  </pic:nvPicPr>
                  <pic:blipFill>
                    <a:blip r:embed="rId61"/>
                    <a:stretch>
                      <a:fillRect/>
                    </a:stretch>
                  </pic:blipFill>
                  <pic:spPr bwMode="auto">
                    <a:xfrm>
                      <a:off x="0" y="0"/>
                      <a:ext cx="5969000" cy="4242287"/>
                    </a:xfrm>
                    <a:prstGeom prst="rect">
                      <a:avLst/>
                    </a:prstGeom>
                    <a:noFill/>
                    <a:ln w="9525">
                      <a:noFill/>
                      <a:headEnd/>
                      <a:tailEnd/>
                    </a:ln>
                  </pic:spPr>
                </pic:pic>
              </a:graphicData>
            </a:graphic>
          </wp:inline>
        </w:drawing>
      </w:r>
    </w:p>
    <w:p>
      <w:pPr>
        <w:pStyle w:val="BodyText"/>
      </w:pPr>
      <w:r>
        <w:rPr>
          <w:bCs/>
          <w:b/>
        </w:rPr>
        <w:t xml:space="preserve">Figure 3-5: Kimoto et al 2022 - Pitavastatin po 2mg</w:t>
      </w:r>
    </w:p>
    <w:p>
      <w:pPr>
        <w:pStyle w:val="BodyText"/>
      </w:pPr>
      <w:r>
        <w:t xml:space="preserve"> </w:t>
      </w:r>
    </w:p>
    <w:br w:type="page"/>
    <w:p>
      <w:pPr>
        <w:pStyle w:val="BodyText"/>
      </w:pPr>
      <w:bookmarkStart w:id="figure-3-6" w:name="figure-3-6"/>
      <w:bookmarkEnd w:id="figure-3-6"/>
    </w:p>
    <w:p>
      <w:pPr>
        <w:pStyle w:val="BodyText"/>
      </w:pPr>
      <w:r>
        <w:drawing>
          <wp:inline>
            <wp:extent cx="5969000" cy="4242287"/>
            <wp:effectExtent b="0" l="0" r="0" t="0"/>
            <wp:docPr descr="" title="" id="65" name="Picture"/>
            <a:graphic>
              <a:graphicData uri="http://schemas.openxmlformats.org/drawingml/2006/picture">
                <pic:pic>
                  <pic:nvPicPr>
                    <pic:cNvPr descr="images/006_section_3/009_section_33/010_section_331/4_time_profile_plot_Pitavastatin_Kimoto_2022_4_mg_po.png" id="66" name="Picture"/>
                    <pic:cNvPicPr>
                      <a:picLocks noChangeArrowheads="1" noChangeAspect="1"/>
                    </pic:cNvPicPr>
                  </pic:nvPicPr>
                  <pic:blipFill>
                    <a:blip r:embed="rId64"/>
                    <a:stretch>
                      <a:fillRect/>
                    </a:stretch>
                  </pic:blipFill>
                  <pic:spPr bwMode="auto">
                    <a:xfrm>
                      <a:off x="0" y="0"/>
                      <a:ext cx="5969000" cy="4242287"/>
                    </a:xfrm>
                    <a:prstGeom prst="rect">
                      <a:avLst/>
                    </a:prstGeom>
                    <a:noFill/>
                    <a:ln w="9525">
                      <a:noFill/>
                      <a:headEnd/>
                      <a:tailEnd/>
                    </a:ln>
                  </pic:spPr>
                </pic:pic>
              </a:graphicData>
            </a:graphic>
          </wp:inline>
        </w:drawing>
      </w:r>
    </w:p>
    <w:p>
      <w:pPr>
        <w:pStyle w:val="BodyText"/>
      </w:pPr>
      <w:r>
        <w:rPr>
          <w:bCs/>
          <w:b/>
        </w:rPr>
        <w:t xml:space="preserve">Figure 3-6: Kimoto et al 2022 - Pitavastatin po 4mg</w:t>
      </w:r>
    </w:p>
    <w:p>
      <w:pPr>
        <w:pStyle w:val="BodyText"/>
      </w:pPr>
      <w:r>
        <w:t xml:space="preserve"> </w:t>
      </w:r>
    </w:p>
    <w:br w:type="page"/>
    <w:p>
      <w:pPr>
        <w:pStyle w:val="BodyText"/>
      </w:pPr>
      <w:bookmarkStart w:id="figure-3-7" w:name="figure-3-7"/>
      <w:bookmarkEnd w:id="figure-3-7"/>
    </w:p>
    <w:p>
      <w:pPr>
        <w:pStyle w:val="BodyText"/>
      </w:pPr>
      <w:r>
        <w:drawing>
          <wp:inline>
            <wp:extent cx="5969000" cy="4242287"/>
            <wp:effectExtent b="0" l="0" r="0" t="0"/>
            <wp:docPr descr="" title="" id="68" name="Picture"/>
            <a:graphic>
              <a:graphicData uri="http://schemas.openxmlformats.org/drawingml/2006/picture">
                <pic:pic>
                  <pic:nvPicPr>
                    <pic:cNvPr descr="images/006_section_3/009_section_33/010_section_331/5_time_profile_plot_Pitavastatin_Lou_2015_1mg_po.png" id="69" name="Picture"/>
                    <pic:cNvPicPr>
                      <a:picLocks noChangeArrowheads="1" noChangeAspect="1"/>
                    </pic:cNvPicPr>
                  </pic:nvPicPr>
                  <pic:blipFill>
                    <a:blip r:embed="rId67"/>
                    <a:stretch>
                      <a:fillRect/>
                    </a:stretch>
                  </pic:blipFill>
                  <pic:spPr bwMode="auto">
                    <a:xfrm>
                      <a:off x="0" y="0"/>
                      <a:ext cx="5969000" cy="4242287"/>
                    </a:xfrm>
                    <a:prstGeom prst="rect">
                      <a:avLst/>
                    </a:prstGeom>
                    <a:noFill/>
                    <a:ln w="9525">
                      <a:noFill/>
                      <a:headEnd/>
                      <a:tailEnd/>
                    </a:ln>
                  </pic:spPr>
                </pic:pic>
              </a:graphicData>
            </a:graphic>
          </wp:inline>
        </w:drawing>
      </w:r>
    </w:p>
    <w:p>
      <w:pPr>
        <w:pStyle w:val="BodyText"/>
      </w:pPr>
      <w:r>
        <w:rPr>
          <w:bCs/>
          <w:b/>
        </w:rPr>
        <w:t xml:space="preserve">Figure 3-7: Lou et al. 2015 - Pitavastatin po 1 mg</w:t>
      </w:r>
    </w:p>
    <w:p>
      <w:pPr>
        <w:pStyle w:val="BodyText"/>
      </w:pPr>
      <w:r>
        <w:t xml:space="preserve"> </w:t>
      </w:r>
    </w:p>
    <w:br w:type="page"/>
    <w:p>
      <w:pPr>
        <w:pStyle w:val="BodyText"/>
      </w:pPr>
      <w:bookmarkStart w:id="figure-3-8" w:name="figure-3-8"/>
      <w:bookmarkEnd w:id="figure-3-8"/>
    </w:p>
    <w:p>
      <w:pPr>
        <w:pStyle w:val="BodyText"/>
      </w:pPr>
      <w:r>
        <w:drawing>
          <wp:inline>
            <wp:extent cx="5969000" cy="4242287"/>
            <wp:effectExtent b="0" l="0" r="0" t="0"/>
            <wp:docPr descr="" title="" id="71" name="Picture"/>
            <a:graphic>
              <a:graphicData uri="http://schemas.openxmlformats.org/drawingml/2006/picture">
                <pic:pic>
                  <pic:nvPicPr>
                    <pic:cNvPr descr="images/006_section_3/009_section_33/010_section_331/6_time_profile_plot_Pitavastatin_Mori_2020_0_2mg_po.png" id="72" name="Picture"/>
                    <pic:cNvPicPr>
                      <a:picLocks noChangeArrowheads="1" noChangeAspect="1"/>
                    </pic:cNvPicPr>
                  </pic:nvPicPr>
                  <pic:blipFill>
                    <a:blip r:embed="rId70"/>
                    <a:stretch>
                      <a:fillRect/>
                    </a:stretch>
                  </pic:blipFill>
                  <pic:spPr bwMode="auto">
                    <a:xfrm>
                      <a:off x="0" y="0"/>
                      <a:ext cx="5969000" cy="4242287"/>
                    </a:xfrm>
                    <a:prstGeom prst="rect">
                      <a:avLst/>
                    </a:prstGeom>
                    <a:noFill/>
                    <a:ln w="9525">
                      <a:noFill/>
                      <a:headEnd/>
                      <a:tailEnd/>
                    </a:ln>
                  </pic:spPr>
                </pic:pic>
              </a:graphicData>
            </a:graphic>
          </wp:inline>
        </w:drawing>
      </w:r>
    </w:p>
    <w:p>
      <w:pPr>
        <w:pStyle w:val="BodyText"/>
      </w:pPr>
      <w:r>
        <w:rPr>
          <w:bCs/>
          <w:b/>
        </w:rPr>
        <w:t xml:space="preserve">Figure 3-8: Mori et al 2020 - Pitavastatin po 0.2 mg</w:t>
      </w:r>
    </w:p>
    <w:p>
      <w:pPr>
        <w:pStyle w:val="BodyText"/>
      </w:pPr>
      <w:r>
        <w:t xml:space="preserve"> </w:t>
      </w:r>
    </w:p>
    <w:br w:type="page"/>
    <w:p>
      <w:pPr>
        <w:pStyle w:val="BodyText"/>
      </w:pPr>
      <w:bookmarkStart w:id="figure-3-9" w:name="figure-3-9"/>
      <w:bookmarkEnd w:id="figure-3-9"/>
    </w:p>
    <w:p>
      <w:pPr>
        <w:pStyle w:val="BodyText"/>
      </w:pPr>
      <w:r>
        <w:drawing>
          <wp:inline>
            <wp:extent cx="5969000" cy="4242287"/>
            <wp:effectExtent b="0" l="0" r="0" t="0"/>
            <wp:docPr descr="" title="" id="74" name="Picture"/>
            <a:graphic>
              <a:graphicData uri="http://schemas.openxmlformats.org/drawingml/2006/picture">
                <pic:pic>
                  <pic:nvPicPr>
                    <pic:cNvPr descr="images/006_section_3/009_section_33/010_section_331/7_time_profile_plot_Pitavastatin_Prueksaritanont_2014_1mg_po.png" id="75" name="Picture"/>
                    <pic:cNvPicPr>
                      <a:picLocks noChangeArrowheads="1" noChangeAspect="1"/>
                    </pic:cNvPicPr>
                  </pic:nvPicPr>
                  <pic:blipFill>
                    <a:blip r:embed="rId73"/>
                    <a:stretch>
                      <a:fillRect/>
                    </a:stretch>
                  </pic:blipFill>
                  <pic:spPr bwMode="auto">
                    <a:xfrm>
                      <a:off x="0" y="0"/>
                      <a:ext cx="5969000" cy="4242287"/>
                    </a:xfrm>
                    <a:prstGeom prst="rect">
                      <a:avLst/>
                    </a:prstGeom>
                    <a:noFill/>
                    <a:ln w="9525">
                      <a:noFill/>
                      <a:headEnd/>
                      <a:tailEnd/>
                    </a:ln>
                  </pic:spPr>
                </pic:pic>
              </a:graphicData>
            </a:graphic>
          </wp:inline>
        </w:drawing>
      </w:r>
    </w:p>
    <w:p>
      <w:pPr>
        <w:pStyle w:val="BodyText"/>
      </w:pPr>
      <w:r>
        <w:rPr>
          <w:bCs/>
          <w:b/>
        </w:rPr>
        <w:t xml:space="preserve">Figure 3-9: Prueksaritanont et al. 2014 - Pitavastatin po 1 mg</w:t>
      </w:r>
    </w:p>
    <w:p>
      <w:pPr>
        <w:pStyle w:val="BodyText"/>
      </w:pPr>
      <w:r>
        <w:t xml:space="preserve"> </w:t>
      </w:r>
    </w:p>
    <w:br w:type="page"/>
    <w:p>
      <w:pPr>
        <w:pStyle w:val="BodyText"/>
      </w:pPr>
      <w:bookmarkStart w:id="figure-3-10" w:name="figure-3-10"/>
      <w:bookmarkEnd w:id="figure-3-10"/>
    </w:p>
    <w:p>
      <w:pPr>
        <w:pStyle w:val="BodyText"/>
      </w:pPr>
      <w:r>
        <w:drawing>
          <wp:inline>
            <wp:extent cx="5969000" cy="4242287"/>
            <wp:effectExtent b="0" l="0" r="0" t="0"/>
            <wp:docPr descr="" title="" id="77" name="Picture"/>
            <a:graphic>
              <a:graphicData uri="http://schemas.openxmlformats.org/drawingml/2006/picture">
                <pic:pic>
                  <pic:nvPicPr>
                    <pic:cNvPr descr="images/006_section_3/009_section_33/010_section_331/8_time_profile_plot_Pitavastatin_Takehara_2018_0_2mg_po.png" id="78" name="Picture"/>
                    <pic:cNvPicPr>
                      <a:picLocks noChangeArrowheads="1" noChangeAspect="1"/>
                    </pic:cNvPicPr>
                  </pic:nvPicPr>
                  <pic:blipFill>
                    <a:blip r:embed="rId76"/>
                    <a:stretch>
                      <a:fillRect/>
                    </a:stretch>
                  </pic:blipFill>
                  <pic:spPr bwMode="auto">
                    <a:xfrm>
                      <a:off x="0" y="0"/>
                      <a:ext cx="5969000" cy="4242287"/>
                    </a:xfrm>
                    <a:prstGeom prst="rect">
                      <a:avLst/>
                    </a:prstGeom>
                    <a:noFill/>
                    <a:ln w="9525">
                      <a:noFill/>
                      <a:headEnd/>
                      <a:tailEnd/>
                    </a:ln>
                  </pic:spPr>
                </pic:pic>
              </a:graphicData>
            </a:graphic>
          </wp:inline>
        </w:drawing>
      </w:r>
    </w:p>
    <w:p>
      <w:pPr>
        <w:pStyle w:val="BodyText"/>
      </w:pPr>
      <w:r>
        <w:rPr>
          <w:bCs/>
          <w:b/>
        </w:rPr>
        <w:t xml:space="preserve">Figure 3-10: Takehara et al. 2018 - Pitavastatin po 0.2 mg</w:t>
      </w:r>
    </w:p>
    <w:p>
      <w:pPr>
        <w:pStyle w:val="BodyText"/>
      </w:pPr>
      <w:r>
        <w:t xml:space="preserve"> </w:t>
      </w:r>
    </w:p>
    <w:bookmarkEnd w:id="79"/>
    <w:bookmarkStart w:id="89" w:name="model-verification"/>
    <w:p>
      <w:pPr>
        <w:pStyle w:val="Heading3"/>
      </w:pPr>
      <w:r>
        <w:t xml:space="preserve">Model Verification</w:t>
      </w:r>
      <w:bookmarkStart w:id="332" w:name="332"/>
      <w:bookmarkEnd w:id="332"/>
    </w:p>
    <w:br w:type="page"/>
    <w:p>
      <w:pPr>
        <w:pStyle w:val="FirstParagraph"/>
      </w:pPr>
      <w:bookmarkStart w:id="figure-3-11" w:name="figure-3-11"/>
      <w:bookmarkEnd w:id="figure-3-11"/>
    </w:p>
    <w:p>
      <w:pPr>
        <w:pStyle w:val="BodyText"/>
      </w:pPr>
      <w:r>
        <w:drawing>
          <wp:inline>
            <wp:extent cx="5969000" cy="4517339"/>
            <wp:effectExtent b="0" l="0" r="0" t="0"/>
            <wp:docPr descr="" title="" id="81" name="Picture"/>
            <a:graphic>
              <a:graphicData uri="http://schemas.openxmlformats.org/drawingml/2006/picture">
                <pic:pic>
                  <pic:nvPicPr>
                    <pic:cNvPr descr="images/006_section_3/009_section_33/011_section_332/9_time_profile_plot_Pitavastatin_Ieiri_2017_2mg_po_SLCO1B1_15_15.png" id="82" name="Picture"/>
                    <pic:cNvPicPr>
                      <a:picLocks noChangeArrowheads="1" noChangeAspect="1"/>
                    </pic:cNvPicPr>
                  </pic:nvPicPr>
                  <pic:blipFill>
                    <a:blip r:embed="rId80"/>
                    <a:stretch>
                      <a:fillRect/>
                    </a:stretch>
                  </pic:blipFill>
                  <pic:spPr bwMode="auto">
                    <a:xfrm>
                      <a:off x="0" y="0"/>
                      <a:ext cx="5969000" cy="4517339"/>
                    </a:xfrm>
                    <a:prstGeom prst="rect">
                      <a:avLst/>
                    </a:prstGeom>
                    <a:noFill/>
                    <a:ln w="9525">
                      <a:noFill/>
                      <a:headEnd/>
                      <a:tailEnd/>
                    </a:ln>
                  </pic:spPr>
                </pic:pic>
              </a:graphicData>
            </a:graphic>
          </wp:inline>
        </w:drawing>
      </w:r>
    </w:p>
    <w:p>
      <w:pPr>
        <w:pStyle w:val="BodyText"/>
      </w:pPr>
      <w:r>
        <w:rPr>
          <w:bCs/>
          <w:b/>
        </w:rPr>
        <w:t xml:space="preserve">Figure 3-11: Ieiri et al. 2007 - Pitavastatin 2mg in SLCO1B1</w:t>
      </w:r>
      <w:r>
        <w:rPr>
          <w:iCs/>
          <w:i/>
          <w:bCs/>
          <w:b/>
        </w:rPr>
        <w:t xml:space="preserve">15</w:t>
      </w:r>
      <w:r>
        <w:rPr>
          <w:bCs/>
          <w:b/>
        </w:rPr>
        <w:t xml:space="preserve">15 subjects</w:t>
      </w:r>
    </w:p>
    <w:p>
      <w:pPr>
        <w:pStyle w:val="BodyText"/>
      </w:pPr>
      <w:r>
        <w:t xml:space="preserve"> </w:t>
      </w:r>
    </w:p>
    <w:br w:type="page"/>
    <w:p>
      <w:pPr>
        <w:pStyle w:val="BodyText"/>
      </w:pPr>
      <w:bookmarkStart w:id="figure-3-12" w:name="figure-3-12"/>
      <w:bookmarkEnd w:id="figure-3-12"/>
    </w:p>
    <w:p>
      <w:pPr>
        <w:pStyle w:val="BodyText"/>
      </w:pPr>
      <w:r>
        <w:drawing>
          <wp:inline>
            <wp:extent cx="5969000" cy="4517339"/>
            <wp:effectExtent b="0" l="0" r="0" t="0"/>
            <wp:docPr descr="" title="" id="84" name="Picture"/>
            <a:graphic>
              <a:graphicData uri="http://schemas.openxmlformats.org/drawingml/2006/picture">
                <pic:pic>
                  <pic:nvPicPr>
                    <pic:cNvPr descr="images/006_section_3/009_section_33/011_section_332/10_time_profile_plot_Pitavastatin_Ieiri_2017_2mg_po_SLCO1B1_1b_15.png" id="85" name="Picture"/>
                    <pic:cNvPicPr>
                      <a:picLocks noChangeArrowheads="1" noChangeAspect="1"/>
                    </pic:cNvPicPr>
                  </pic:nvPicPr>
                  <pic:blipFill>
                    <a:blip r:embed="rId83"/>
                    <a:stretch>
                      <a:fillRect/>
                    </a:stretch>
                  </pic:blipFill>
                  <pic:spPr bwMode="auto">
                    <a:xfrm>
                      <a:off x="0" y="0"/>
                      <a:ext cx="5969000" cy="4517339"/>
                    </a:xfrm>
                    <a:prstGeom prst="rect">
                      <a:avLst/>
                    </a:prstGeom>
                    <a:noFill/>
                    <a:ln w="9525">
                      <a:noFill/>
                      <a:headEnd/>
                      <a:tailEnd/>
                    </a:ln>
                  </pic:spPr>
                </pic:pic>
              </a:graphicData>
            </a:graphic>
          </wp:inline>
        </w:drawing>
      </w:r>
    </w:p>
    <w:p>
      <w:pPr>
        <w:pStyle w:val="BodyText"/>
      </w:pPr>
      <w:r>
        <w:rPr>
          <w:bCs/>
          <w:b/>
        </w:rPr>
        <w:t xml:space="preserve">Figure 3-12: Ieiri et al. 2007 - Pitavastatin 2mg in SLCO1B1</w:t>
      </w:r>
      <w:r>
        <w:rPr>
          <w:iCs/>
          <w:i/>
          <w:bCs/>
          <w:b/>
        </w:rPr>
        <w:t xml:space="preserve">1b</w:t>
      </w:r>
      <w:r>
        <w:rPr>
          <w:bCs/>
          <w:b/>
        </w:rPr>
        <w:t xml:space="preserve">15 subjects</w:t>
      </w:r>
    </w:p>
    <w:p>
      <w:pPr>
        <w:pStyle w:val="BodyText"/>
      </w:pPr>
      <w:r>
        <w:t xml:space="preserve"> </w:t>
      </w:r>
    </w:p>
    <w:br w:type="page"/>
    <w:p>
      <w:pPr>
        <w:pStyle w:val="BodyText"/>
      </w:pPr>
      <w:bookmarkStart w:id="figure-3-13" w:name="figure-3-13"/>
      <w:bookmarkEnd w:id="figure-3-13"/>
    </w:p>
    <w:p>
      <w:pPr>
        <w:pStyle w:val="BodyText"/>
      </w:pPr>
      <w:r>
        <w:drawing>
          <wp:inline>
            <wp:extent cx="5969000" cy="4517339"/>
            <wp:effectExtent b="0" l="0" r="0" t="0"/>
            <wp:docPr descr="" title="" id="87" name="Picture"/>
            <a:graphic>
              <a:graphicData uri="http://schemas.openxmlformats.org/drawingml/2006/picture">
                <pic:pic>
                  <pic:nvPicPr>
                    <pic:cNvPr descr="images/006_section_3/009_section_33/011_section_332/11_time_profile_plot_Pitavastatin_Ieiri_2017_2mg_po_SLCO1B1_1b_1b.png" id="88" name="Picture"/>
                    <pic:cNvPicPr>
                      <a:picLocks noChangeArrowheads="1" noChangeAspect="1"/>
                    </pic:cNvPicPr>
                  </pic:nvPicPr>
                  <pic:blipFill>
                    <a:blip r:embed="rId86"/>
                    <a:stretch>
                      <a:fillRect/>
                    </a:stretch>
                  </pic:blipFill>
                  <pic:spPr bwMode="auto">
                    <a:xfrm>
                      <a:off x="0" y="0"/>
                      <a:ext cx="5969000" cy="4517339"/>
                    </a:xfrm>
                    <a:prstGeom prst="rect">
                      <a:avLst/>
                    </a:prstGeom>
                    <a:noFill/>
                    <a:ln w="9525">
                      <a:noFill/>
                      <a:headEnd/>
                      <a:tailEnd/>
                    </a:ln>
                  </pic:spPr>
                </pic:pic>
              </a:graphicData>
            </a:graphic>
          </wp:inline>
        </w:drawing>
      </w:r>
    </w:p>
    <w:p>
      <w:pPr>
        <w:pStyle w:val="BodyText"/>
      </w:pPr>
      <w:r>
        <w:rPr>
          <w:bCs/>
          <w:b/>
        </w:rPr>
        <w:t xml:space="preserve">Figure 3-13: Ieiri et al. 2007 - Pitavastatin 2mg in SLCO1B1</w:t>
      </w:r>
      <w:r>
        <w:rPr>
          <w:iCs/>
          <w:i/>
          <w:bCs/>
          <w:b/>
        </w:rPr>
        <w:t xml:space="preserve">1b</w:t>
      </w:r>
      <w:r>
        <w:rPr>
          <w:bCs/>
          <w:b/>
        </w:rPr>
        <w:t xml:space="preserve">1b subjects</w:t>
      </w:r>
    </w:p>
    <w:p>
      <w:pPr>
        <w:pStyle w:val="BodyText"/>
      </w:pPr>
      <w:r>
        <w:t xml:space="preserve"> </w:t>
      </w:r>
    </w:p>
    <w:bookmarkEnd w:id="89"/>
    <w:bookmarkEnd w:id="90"/>
    <w:bookmarkEnd w:id="91"/>
    <w:bookmarkStart w:id="92" w:name="conclusion"/>
    <w:p>
      <w:pPr>
        <w:pStyle w:val="Heading1"/>
      </w:pPr>
      <w:r>
        <w:t xml:space="preserve">Conclusion</w:t>
      </w:r>
      <w:bookmarkStart w:id="4" w:name="4"/>
      <w:bookmarkEnd w:id="4"/>
    </w:p>
    <w:p>
      <w:pPr>
        <w:pStyle w:val="FirstParagraph"/>
      </w:pPr>
      <w:r>
        <w:t xml:space="preserve">The presented PBPK model adequately describes the intravenous and oral pharmacokinetics of pitavastatin in adults.</w:t>
      </w:r>
    </w:p>
    <w:bookmarkEnd w:id="92"/>
    <w:bookmarkStart w:id="93" w:name="references"/>
    <w:p>
      <w:pPr>
        <w:pStyle w:val="Heading1"/>
      </w:pPr>
      <w:r>
        <w:t xml:space="preserve">References</w:t>
      </w:r>
      <w:bookmarkStart w:id="5" w:name="5"/>
      <w:bookmarkEnd w:id="5"/>
    </w:p>
    <w:p>
      <w:pPr>
        <w:pStyle w:val="FirstParagraph"/>
      </w:pPr>
      <w:r>
        <w:rPr>
          <w:bCs/>
          <w:b/>
        </w:rPr>
        <w:t xml:space="preserve">Chen 2013</w:t>
      </w:r>
      <w:r>
        <w:t xml:space="preserve"> </w:t>
      </w:r>
      <w:r>
        <w:t xml:space="preserve">Y Chen, W Zhang, WH Huang, ZR Tan, YC Wang, X Huang, HH Zhou (2013). Effect of a single-dose rifampin on the pharmacokinetics of pitavastatin in healthy volunteers.</w:t>
      </w:r>
      <w:r>
        <w:t xml:space="preserve"> </w:t>
      </w:r>
      <w:r>
        <w:rPr>
          <w:iCs/>
          <w:i/>
        </w:rPr>
        <w:t xml:space="preserve">Eur J Clin Pharmacol.</w:t>
      </w:r>
      <w:r>
        <w:t xml:space="preserve">, Nov;69(11):1933-8.</w:t>
      </w:r>
    </w:p>
    <w:p>
      <w:pPr>
        <w:pStyle w:val="BodyText"/>
      </w:pPr>
      <w:r>
        <w:rPr>
          <w:bCs/>
          <w:b/>
        </w:rPr>
        <w:t xml:space="preserve">Cho 2024</w:t>
      </w:r>
      <w:r>
        <w:t xml:space="preserve"> </w:t>
      </w:r>
      <w:r>
        <w:t xml:space="preserve">CK Cho, JY Mo, E Ko, P Kang, CG Jang, SY Lee, YJ Lee, JW Bae, CI Choi (2024). Physiologically based pharmacokinetic (PBPK) modeling of pitavastatin in relation to SLCO1B1 genetic polymorphism.</w:t>
      </w:r>
      <w:r>
        <w:t xml:space="preserve"> </w:t>
      </w:r>
      <w:r>
        <w:rPr>
          <w:iCs/>
          <w:i/>
        </w:rPr>
        <w:t xml:space="preserve">Arch Pharm Res.</w:t>
      </w:r>
      <w:r>
        <w:t xml:space="preserve">, Feb;47(2):95-110.</w:t>
      </w:r>
    </w:p>
    <w:p>
      <w:pPr>
        <w:pStyle w:val="BodyText"/>
      </w:pPr>
      <w:r>
        <w:rPr>
          <w:bCs/>
          <w:b/>
        </w:rPr>
        <w:t xml:space="preserve">Duan 2017</w:t>
      </w:r>
      <w:r>
        <w:t xml:space="preserve"> </w:t>
      </w:r>
      <w:r>
        <w:t xml:space="preserve">P Duan, P Zhao, L Zhang (2017). Physiologically Based Pharmacokinetic (PBPK) Modeling of Pitavastatin and Atorvastatin to Predict Drug-Drug Interactions (DDIs).</w:t>
      </w:r>
      <w:r>
        <w:t xml:space="preserve"> </w:t>
      </w:r>
      <w:r>
        <w:rPr>
          <w:iCs/>
          <w:i/>
        </w:rPr>
        <w:t xml:space="preserve">Eur J Drug Metab Pharmacokinet.</w:t>
      </w:r>
      <w:r>
        <w:t xml:space="preserve"> </w:t>
      </w:r>
      <w:r>
        <w:t xml:space="preserve">Aug;42(4):689-705.</w:t>
      </w:r>
    </w:p>
    <w:p>
      <w:pPr>
        <w:pStyle w:val="BodyText"/>
      </w:pPr>
      <w:r>
        <w:rPr>
          <w:bCs/>
          <w:b/>
        </w:rPr>
        <w:t xml:space="preserve">Ieiri 2007</w:t>
      </w:r>
      <w:r>
        <w:t xml:space="preserve"> </w:t>
      </w:r>
      <w:r>
        <w:t xml:space="preserve">Ieiri I, Suwannakul S, Maeda K, Uchimaru H, Hashimoto K, Kimura M, Fujino H, Hirano M, Kusuhara H, Irie S, Higuchi S, Sugiyama Y. SLCO1B1 (OATP1B1, an uptake transporter) and ABCG2 (BCRP, an efflux transporter) variant alleles and pharmacokinetics of pitavastatin in healthy volunteers. Clin</w:t>
      </w:r>
      <w:r>
        <w:t xml:space="preserve"> </w:t>
      </w:r>
      <w:r>
        <w:rPr>
          <w:iCs/>
          <w:i/>
        </w:rPr>
        <w:t xml:space="preserve">Pharmacol Ther.</w:t>
      </w:r>
      <w:r>
        <w:t xml:space="preserve"> </w:t>
      </w:r>
      <w:r>
        <w:t xml:space="preserve">2007 Nov;82(5):541-7</w:t>
      </w:r>
    </w:p>
    <w:p>
      <w:pPr>
        <w:pStyle w:val="BodyText"/>
      </w:pPr>
      <w:r>
        <w:rPr>
          <w:bCs/>
          <w:b/>
        </w:rPr>
        <w:t xml:space="preserve">Kimoto 2022</w:t>
      </w:r>
      <w:r>
        <w:t xml:space="preserve"> </w:t>
      </w:r>
      <w:r>
        <w:t xml:space="preserve">E Kimoto, C Costales, MA West, YA Bi, M Vourvahis, A David Rodrigues, MVS Varma (2022). Biomarker-Informed Model-Based Risk Assessment of Organic Anion Transporting Polypeptide 1B Mediated Drug-Drug Interactions.</w:t>
      </w:r>
      <w:r>
        <w:t xml:space="preserve"> </w:t>
      </w:r>
      <w:r>
        <w:rPr>
          <w:iCs/>
          <w:i/>
        </w:rPr>
        <w:t xml:space="preserve">Clin Pharmacol Ther</w:t>
      </w:r>
      <w:r>
        <w:t xml:space="preserve">, Feb;111(2):404-415.</w:t>
      </w:r>
    </w:p>
    <w:p>
      <w:pPr>
        <w:pStyle w:val="BodyText"/>
      </w:pPr>
      <w:r>
        <w:rPr>
          <w:bCs/>
          <w:b/>
        </w:rPr>
        <w:t xml:space="preserve">Lou 2015</w:t>
      </w:r>
      <w:r>
        <w:t xml:space="preserve"> </w:t>
      </w:r>
      <w:r>
        <w:t xml:space="preserve">Z Luo, Y Zhang, J Gu, P Feng, Y Wang (2015). Pharmacokinetic Properties of Single- and Multiple-Dose Pitavastatin Calcium Tablets in Healthy Chinese Volunteers.</w:t>
      </w:r>
      <w:r>
        <w:t xml:space="preserve"> </w:t>
      </w:r>
      <w:r>
        <w:rPr>
          <w:iCs/>
          <w:i/>
        </w:rPr>
        <w:t xml:space="preserve">Curr Ther Res Clin Exp</w:t>
      </w:r>
      <w:r>
        <w:t xml:space="preserve">, Mar 3;77:52-7.</w:t>
      </w:r>
    </w:p>
    <w:p>
      <w:pPr>
        <w:pStyle w:val="BodyText"/>
      </w:pPr>
      <w:r>
        <w:rPr>
          <w:bCs/>
          <w:b/>
        </w:rPr>
        <w:t xml:space="preserve">Meyer 2012</w:t>
      </w:r>
      <w:r>
        <w:t xml:space="preserve"> </w:t>
      </w:r>
      <w:r>
        <w:t xml:space="preserve">Meyer M, Schneckener S, Ludewig B, Kuepfer L, Lippert J. (2012). Using expression data for quantification of active processes in physiologically based pharmacokinetic modeling.</w:t>
      </w:r>
      <w:r>
        <w:t xml:space="preserve"> </w:t>
      </w:r>
      <w:r>
        <w:rPr>
          <w:iCs/>
          <w:i/>
        </w:rPr>
        <w:t xml:space="preserve">Drug Metab Dispos</w:t>
      </w:r>
      <w:r>
        <w:t xml:space="preserve">. May;40(5), 892-901.</w:t>
      </w:r>
    </w:p>
    <w:p>
      <w:pPr>
        <w:pStyle w:val="BodyText"/>
      </w:pPr>
      <w:r>
        <w:rPr>
          <w:bCs/>
          <w:b/>
        </w:rPr>
        <w:t xml:space="preserve">Mochizuki 2022</w:t>
      </w:r>
      <w:r>
        <w:t xml:space="preserve"> </w:t>
      </w:r>
      <w:r>
        <w:t xml:space="preserve">T Mochizuki, Y Aoki, T Yoshikado, K Yoshida, Y Lai, H Hirabayashi, Y Yamaura, K Rockich, K Taskar, T Takashima, X Chu, MJ Zamek-Gliszczynski, J Mao, K Maeda, K Furihata, Y Sugiyama, H Kusuhara (2022). Physiologically-based pharmacokinetic model-based translation of OATP1B-mediated drug-drug interactions from coproporphyrin I to probe drugs.</w:t>
      </w:r>
      <w:r>
        <w:t xml:space="preserve"> </w:t>
      </w:r>
      <w:r>
        <w:rPr>
          <w:iCs/>
          <w:i/>
        </w:rPr>
        <w:t xml:space="preserve">Clin Transl Sci.</w:t>
      </w:r>
      <w:r>
        <w:t xml:space="preserve"> </w:t>
      </w:r>
      <w:r>
        <w:t xml:space="preserve">Jun;15(6):1519-1531.</w:t>
      </w:r>
    </w:p>
    <w:p>
      <w:pPr>
        <w:pStyle w:val="BodyText"/>
      </w:pPr>
      <w:r>
        <w:rPr>
          <w:bCs/>
          <w:b/>
        </w:rPr>
        <w:t xml:space="preserve">Mori 2020</w:t>
      </w:r>
      <w:r>
        <w:t xml:space="preserve"> </w:t>
      </w:r>
      <w:r>
        <w:t xml:space="preserve">D Mori, E Kimoto, B Rago, Y Kondo, A King‐Ahmad, R Ramanathan, LS Wood, JG Johnson, VH Le, M Vourvahis, A David Rodrigues (2020). Dose‐dependent inhibition of OATP1B by rifampicin in healthy volunteers: comprehensive evaluation of candidate biomarkers and OATP1B probe drugs.</w:t>
      </w:r>
      <w:r>
        <w:t xml:space="preserve"> </w:t>
      </w:r>
      <w:r>
        <w:rPr>
          <w:iCs/>
          <w:i/>
        </w:rPr>
        <w:t xml:space="preserve">Clinical Pharmacology &amp; Therapeutics</w:t>
      </w:r>
      <w:r>
        <w:t xml:space="preserve">, Apr;107(4):1004-13.</w:t>
      </w:r>
    </w:p>
    <w:p>
      <w:pPr>
        <w:pStyle w:val="BodyText"/>
      </w:pPr>
      <w:r>
        <w:rPr>
          <w:bCs/>
          <w:b/>
        </w:rPr>
        <w:t xml:space="preserve">Nishimura 2003</w:t>
      </w:r>
      <w:r>
        <w:t xml:space="preserve"> </w:t>
      </w:r>
      <w:r>
        <w:t xml:space="preserve">Nishimura M, Yaguti H, Yoshitsugu H, Naito S, Satoh T. (2003). Tissue distribution of mRNA expression of human cytochrome P450 isoforms assessed by high-sensitivity real-time reverse transcription PCR.</w:t>
      </w:r>
      <w:r>
        <w:t xml:space="preserve"> </w:t>
      </w:r>
      <w:r>
        <w:rPr>
          <w:iCs/>
          <w:i/>
        </w:rPr>
        <w:t xml:space="preserve">Yakugaku Zasshi.</w:t>
      </w:r>
      <w:r>
        <w:t xml:space="preserve"> </w:t>
      </w:r>
      <w:r>
        <w:t xml:space="preserve">May;123(5), 369-75.</w:t>
      </w:r>
    </w:p>
    <w:p>
      <w:pPr>
        <w:pStyle w:val="BodyText"/>
      </w:pPr>
      <w:r>
        <w:rPr>
          <w:bCs/>
          <w:b/>
        </w:rPr>
        <w:t xml:space="preserve">Prasad 2013</w:t>
      </w:r>
      <w:r>
        <w:t xml:space="preserve"> </w:t>
      </w:r>
      <w:r>
        <w:t xml:space="preserve">Prasad B, Lai Y, Lin Y, Unadkat JD (2013) Interindividual variability in the hepatic expression of the human breast cancer resistance protein (BCRP/ABCG2): effect of age, sex, and genotype. Journal of pharmaceutical sciences 102(3):787–93</w:t>
      </w:r>
    </w:p>
    <w:p>
      <w:pPr>
        <w:pStyle w:val="BodyText"/>
      </w:pPr>
      <w:r>
        <w:rPr>
          <w:bCs/>
          <w:b/>
        </w:rPr>
        <w:t xml:space="preserve">Prasad 2014</w:t>
      </w:r>
      <w:r>
        <w:t xml:space="preserve"> </w:t>
      </w:r>
      <w:r>
        <w:t xml:space="preserve">Prasad B, Evers R, Gupta A, Hop CECA, Salphati L, Shukla S, Ambudkar SV, Unadkat JD (2014) Interindividual variability in hepatic organic anion-transporting polypeptides and PGlycoprotein (ABCB1) protein expression: Quantification by liquid chromatography tandem mass spectroscopy and influence of genotype, age, and sex. Drug Metabolism and Disposition 42(1):78–88</w:t>
      </w:r>
    </w:p>
    <w:p>
      <w:pPr>
        <w:pStyle w:val="BodyText"/>
      </w:pPr>
      <w:r>
        <w:rPr>
          <w:bCs/>
          <w:b/>
        </w:rPr>
        <w:t xml:space="preserve">Prueksaritanont 2014</w:t>
      </w:r>
      <w:r>
        <w:t xml:space="preserve">T Prueksaritanont, X Chu, R Evers, SO Klopfer, L Caro, PA Kothare, C Dempsey, S Rasmussen, R Houle, G Chan, X Cai, R Valesky, IP Fraser, SA Stoch (2014). Pitavastatin is a more sensitive and selective organic anion-transporting polypeptide 1B clinical probe than rosuvastatin. Br J Clin Pharmacol., Sep;78(3):587-98.</w:t>
      </w:r>
    </w:p>
    <w:p>
      <w:pPr>
        <w:pStyle w:val="BodyText"/>
      </w:pPr>
      <w:r>
        <w:rPr>
          <w:bCs/>
          <w:b/>
        </w:rPr>
        <w:t xml:space="preserve">Takehara 2018</w:t>
      </w:r>
      <w:r>
        <w:t xml:space="preserve"> </w:t>
      </w:r>
      <w:r>
        <w:t xml:space="preserve">I Takehara, T Yoshikado, K Ishigame, D Mori, KI Furihata, N Watanabe, O Ando, K Maeda, Y Sugiyama, H Kusuhara (2018). Comparative study of the dose-dependence of OATP1B inhibition by rifampicin using probe drugs and endogenous substrates in healthy volunteers.</w:t>
      </w:r>
      <w:r>
        <w:t xml:space="preserve"> </w:t>
      </w:r>
      <w:r>
        <w:rPr>
          <w:iCs/>
          <w:i/>
        </w:rPr>
        <w:t xml:space="preserve">Pharmaceutical research</w:t>
      </w:r>
      <w:r>
        <w:t xml:space="preserve">, Jul;35:1-3.</w:t>
      </w:r>
    </w:p>
    <w:bookmarkEnd w:id="93"/>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Pitavastatin in healthy adults</dc:title>
  <dc:creator/>
  <cp:keywords/>
  <dcterms:created xsi:type="dcterms:W3CDTF">2025-02-20T15:50:55Z</dcterms:created>
  <dcterms:modified xsi:type="dcterms:W3CDTF">2025-02-20T15:50:55Z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Version1.0-OSP12.0based on Model Snapshot and Evaluation Planhttps://github.com/Open-Systems-Pharmacology/Pitavastatin-Model/releases/tag/v1.0OSP Version12.0Qualification Framework Version3.3This evaluation report and the corresponding PK-Sim project file are filed at:https://github.com/Open-Systems-Pharmacology/OSP-PBPK-Model-Library/</vt:lpwstr>
  </property>
  <property fmtid="{D5CDD505-2E9C-101B-9397-08002B2CF9AE}" pid="3" name="subtitle">
    <vt:lpwstr/>
  </property>
</Properties>
</file>