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7.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Pediatric</w:t>
      </w:r>
      <w:r>
        <w:t xml:space="preserve"> </w:t>
      </w:r>
      <w:r>
        <w:t xml:space="preserve">Qualification</w:t>
      </w:r>
      <w:r>
        <w:t xml:space="preserve"> </w:t>
      </w:r>
      <w:r>
        <w:t xml:space="preserve">Package:</w:t>
      </w:r>
      <w:r>
        <w:t xml:space="preserve"> </w:t>
      </w:r>
      <w:r>
        <w:t xml:space="preserve">CYP3A4</w:t>
      </w:r>
      <w:r>
        <w:t xml:space="preserve"> </w:t>
      </w:r>
      <w:r>
        <w:t xml:space="preserve">Ontogeny</w:t>
      </w:r>
    </w:p>
    <w:tbl>
      <w:tblPr>
        <w:tblStyle w:val="Table"/>
        <w:tblW w:type="pct" w:w="5000.0"/>
        <w:tblLook w:firstRow="1"/>
      </w:tblPr>
      <w:tblGrid>
        <w:gridCol w:w="2698"/>
        <w:gridCol w:w="5221"/>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1.4-OSP11.0</w:t>
            </w:r>
          </w:p>
        </w:tc>
      </w:tr>
      <w:tr>
        <w:tc>
          <w:p>
            <w:pPr>
              <w:pStyle w:val="Compact"/>
              <w:jc w:val="left"/>
            </w:pPr>
            <w:r>
              <w:t xml:space="preserve">Qualification</w:t>
            </w:r>
            <w:r>
              <w:t xml:space="preserve"> </w:t>
            </w:r>
            <w:r>
              <w:t xml:space="preserve">Plan</w:t>
            </w:r>
            <w:r>
              <w:t xml:space="preserve"> </w:t>
            </w:r>
            <w:r>
              <w:t xml:space="preserve">Release</w:t>
            </w:r>
          </w:p>
        </w:tc>
        <w:tc>
          <w:p>
            <w:pPr>
              <w:pStyle w:val="Compact"/>
              <w:jc w:val="left"/>
            </w:pPr>
            <w:r>
              <w:t xml:space="preserve">https://github.com/Open-Systems-Pharmacology/Pediatric_Qualification_Package_CYP3A4_Ontogeny/releases/tag/v1.4</w:t>
            </w:r>
          </w:p>
        </w:tc>
      </w:tr>
      <w:tr>
        <w:tc>
          <w:p>
            <w:pPr>
              <w:pStyle w:val="Compact"/>
              <w:jc w:val="left"/>
            </w:pPr>
            <w:r>
              <w:t xml:space="preserve">OSP</w:t>
            </w:r>
            <w:r>
              <w:t xml:space="preserve"> </w:t>
            </w:r>
            <w:r>
              <w:t xml:space="preserve">Version</w:t>
            </w:r>
          </w:p>
        </w:tc>
        <w:tc>
          <w:p>
            <w:pPr>
              <w:pStyle w:val="Compact"/>
              <w:jc w:val="left"/>
            </w:pPr>
            <w:r>
              <w:t xml:space="preserve">11.0</w:t>
            </w:r>
          </w:p>
        </w:tc>
      </w:tr>
      <w:tr>
        <w:tc>
          <w:p>
            <w:pPr>
              <w:pStyle w:val="Compact"/>
              <w:jc w:val="left"/>
            </w:pPr>
            <w:r>
              <w:t xml:space="preserve">Qualification</w:t>
            </w:r>
            <w:r>
              <w:t xml:space="preserve"> </w:t>
            </w:r>
            <w:r>
              <w:t xml:space="preserve">Framework</w:t>
            </w:r>
            <w:r>
              <w:t xml:space="preserve"> </w:t>
            </w:r>
            <w:r>
              <w:t xml:space="preserve">Version</w:t>
            </w:r>
          </w:p>
        </w:tc>
        <w:tc>
          <w:p>
            <w:pPr>
              <w:pStyle w:val="Compact"/>
              <w:jc w:val="left"/>
            </w:pPr>
            <w:r>
              <w:t xml:space="preserve">3.0</w:t>
            </w:r>
          </w:p>
        </w:tc>
      </w:tr>
    </w:tbl>
    <w:p>
      <w:pPr>
        <w:pStyle w:val="Abstract"/>
      </w:pPr>
      <w:r>
        <w:t xml:space="preserve">This</w:t>
      </w:r>
      <w:r>
        <w:t xml:space="preserve"> </w:t>
      </w:r>
      <w:r>
        <w:t xml:space="preserve">qualification</w:t>
      </w:r>
      <w:r>
        <w:t xml:space="preserve"> </w:t>
      </w:r>
      <w:r>
        <w:t xml:space="preserve">report</w:t>
      </w:r>
      <w:r>
        <w:t xml:space="preserve"> </w:t>
      </w:r>
      <w:r>
        <w:t xml:space="preserve">is</w:t>
      </w:r>
      <w:r>
        <w:t xml:space="preserve"> </w:t>
      </w:r>
      <w:r>
        <w:t xml:space="preserve">filed</w:t>
      </w:r>
      <w:r>
        <w:t xml:space="preserve"> </w:t>
      </w:r>
      <w:r>
        <w:t xml:space="preserve">at:</w:t>
      </w:r>
    </w:p>
    <w:p>
      <w:pPr>
        <w:pStyle w:val="Abstract"/>
      </w:pPr>
      <w:r>
        <w:t xml:space="preserve">https://github.com/Open-Systems-Pharmacology/OSP-Qualification-Reports</w:t>
      </w:r>
    </w:p>
    <w:p>
      <w:r>
        <w:br w:type="page"/>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erschrift1"/>
      </w:pPr>
      <w:bookmarkStart w:id="20" w:name="X9d08f9b88197da01ad5308dc0058e274b871ff8"/>
      <w:r>
        <w:t xml:space="preserve">Introduction to Pediatric Translation and CYP3A4 Ontogeny Qualification</w:t>
      </w:r>
      <w:bookmarkEnd w:id="20"/>
    </w:p>
    <w:p>
      <w:pPr>
        <w:pStyle w:val="FirstParagraph"/>
      </w:pPr>
      <w:r>
        <w:t xml:space="preserve">The presented qualification report evaluates the predictive performance of the OSP suite to predict cytochrome P450 3A4 (CYP3A4)-mediated drug clearance in children.</w:t>
      </w:r>
    </w:p>
    <w:p>
      <w:pPr>
        <w:pStyle w:val="Textkrper"/>
      </w:pPr>
      <w:r>
        <w:t xml:space="preserve">Therefore, PBPK models of specific</w:t>
      </w:r>
      <w:r>
        <w:t xml:space="preserve"> </w:t>
      </w:r>
      <w:r>
        <w:rPr>
          <w:i/>
        </w:rPr>
        <w:t xml:space="preserve">in vivo</w:t>
      </w:r>
      <w:r>
        <w:t xml:space="preserve"> </w:t>
      </w:r>
      <w:r>
        <w:t xml:space="preserve">probe substances covering children aged below 6 months up to adolescents were built and evaluated. All models are whole-body PBPK models, allowing for dynamic pediatric translation in organs expressing CYP3A4. The qualification report demonstrates the level of confidence of the OSP suite with regard to reliable PBPK predictions of age-related CYP3A4-mediated drug clearance during model-informed drug development. The presented PBPK models as well as the respective qualification plan and qualification report are provided open-source and transparently documented (https://github.com/Open-Systems-Pharmacology/Pediatric_Qualification_Package_CYP3A4_Ontogeny).</w:t>
      </w:r>
    </w:p>
    <w:p>
      <w:pPr>
        <w:pStyle w:val="berschrift2"/>
      </w:pPr>
      <w:bookmarkStart w:id="21" w:name="translation-of-adult-pbpk-to-children"/>
      <w:r>
        <w:t xml:space="preserve">Translation of Adult PBPK to Children</w:t>
      </w:r>
      <w:bookmarkEnd w:id="21"/>
    </w:p>
    <w:p>
      <w:pPr>
        <w:pStyle w:val="FirstParagraph"/>
      </w:pPr>
      <w:r>
        <w:t xml:space="preserve">Using a developed and validated (adult) PBPK model for an</w:t>
      </w:r>
      <w:r>
        <w:t xml:space="preserve"> </w:t>
      </w:r>
      <w:r>
        <w:rPr>
          <w:i/>
        </w:rPr>
        <w:t xml:space="preserve">in vivo</w:t>
      </w:r>
      <w:r>
        <w:t xml:space="preserve"> </w:t>
      </w:r>
      <w:r>
        <w:t xml:space="preserve">probe substance, a pediatric PBPK model can be established for children by translating physiology, clearance processes (as parameterized in the adult model) and age-dependent protein binding including the variability therein.[</w:t>
      </w:r>
      <w:hyperlink w:anchor="X0d8edef9a422b17afbdda51c54a5683913be2b0">
        <w:r>
          <w:rPr>
            <w:rStyle w:val="Hyperlink"/>
          </w:rPr>
          <w:t xml:space="preserve">Maharaj 2013</w:t>
        </w:r>
      </w:hyperlink>
      <w:r>
        <w:t xml:space="preserve">]</w:t>
      </w:r>
    </w:p>
    <w:p>
      <w:pPr>
        <w:pStyle w:val="Textkrper"/>
      </w:pPr>
      <w:r>
        <w:t xml:space="preserve">The PBPK models are developed with clinical data of healthy adult subjects obtained from the literature, covering available dosing ranges for e.g. intravenous as well as oral administration, to capture both systemic clearance as well gut-wall metabolic clearance processes. For orally administered drugs, the same formulations that are used in children should ideally be included in the model for adults. Plasma concentrations following multiple-dose application, mass balance information and other clinical measurements need to be included for model development, if available. During model translation from adults to children for a specific substance, uncertainties in data-quality caused by impact of disease or the target study population, inaccurate in vitro assay-techniques regarding mass balance, as well as study differences may cause not being able to adequately predict the PK in children for all reported studies.</w:t>
      </w:r>
    </w:p>
    <w:p>
      <w:pPr>
        <w:pStyle w:val="Textkrper"/>
      </w:pPr>
      <w:r>
        <w:t xml:space="preserve">Prediction performance of the PBPK model for these probe substances in children are then shown by means of e.g. predicted versus observed area under the plasma concentration (AUC)-ratio plots, of which the results support an adequate prediction of the ontogeny function for the application of PBPK model translation of adult PBPK to children.</w:t>
      </w:r>
    </w:p>
    <w:p>
      <w:pPr>
        <w:pStyle w:val="Textkrper"/>
      </w:pPr>
      <w:r>
        <w:t xml:space="preserve">For qualification purpose, during the translation of adult PBPK to children the following assumptions and considerations were made:</w:t>
      </w:r>
    </w:p>
    <w:p>
      <w:pPr>
        <w:numPr>
          <w:ilvl w:val="0"/>
          <w:numId w:val="1001"/>
        </w:numPr>
        <w:pStyle w:val="Compact"/>
      </w:pPr>
      <w:r>
        <w:t xml:space="preserve">when translating an adult model to children, it was assumed that the metabolism and excretion pathways are qualitatively the same in children as in adults.</w:t>
      </w:r>
    </w:p>
    <w:p>
      <w:pPr>
        <w:numPr>
          <w:ilvl w:val="0"/>
          <w:numId w:val="1001"/>
        </w:numPr>
        <w:pStyle w:val="Compact"/>
      </w:pPr>
      <w:r>
        <w:t xml:space="preserve">no further changes to input parameters other than those for the physiology and protein binding. All other parameters (e.g. lipophilicity, intestinal permeability, solubility) were kept unchanged.</w:t>
      </w:r>
    </w:p>
    <w:p>
      <w:pPr>
        <w:pStyle w:val="berschrift2"/>
      </w:pPr>
      <w:bookmarkStart w:id="22" w:name="X6e2a9fbfa26cbb9e04718fc2a1880b8e6528029"/>
      <w:r>
        <w:t xml:space="preserve">Anthropometric and Physiological Information</w:t>
      </w:r>
      <w:bookmarkEnd w:id="22"/>
    </w:p>
    <w:p>
      <w:pPr>
        <w:pStyle w:val="FirstParagraph"/>
      </w:pPr>
      <w:r>
        <w:t xml:space="preserve">Regarding the age-dependencies of the relevant anthropometric (height, weight) and physiological parameters (e.g. blood flows, organ volumes, binding protein concentrations, hematocrit, cardiac output) in children was gathered from the literature and has been previously published [</w:t>
      </w:r>
      <w:hyperlink w:anchor="X0d8edef9a422b17afbdda51c54a5683913be2b0">
        <w:r>
          <w:rPr>
            <w:rStyle w:val="Hyperlink"/>
          </w:rPr>
          <w:t xml:space="preserve">Edginton 2006</w:t>
        </w:r>
      </w:hyperlink>
      <w:r>
        <w:t xml:space="preserve">]. The information was incorporated into PK-Sim® and was used as default values for the simulations in children.</w:t>
      </w:r>
    </w:p>
    <w:p>
      <w:pPr>
        <w:pStyle w:val="Textkrper"/>
      </w:pPr>
      <w:r>
        <w:t xml:space="preserve">The applied ontogeny and variability of plasma proteins and active processes that are integrated into PK-Sim® for translation to children are described in the publicly available</w:t>
      </w:r>
      <w:r>
        <w:t xml:space="preserve"> </w:t>
      </w:r>
      <w:r>
        <w:t xml:space="preserve">‘</w:t>
      </w:r>
      <w:r>
        <w:t xml:space="preserve">PK-Sim® Ontogeny Database Version 7.3</w:t>
      </w:r>
      <w:r>
        <w:t xml:space="preserve">’</w:t>
      </w:r>
      <w:r>
        <w:t xml:space="preserve"> </w:t>
      </w:r>
      <w:r>
        <w:t xml:space="preserve">[</w:t>
      </w:r>
      <w:hyperlink w:anchor="X0d8edef9a422b17afbdda51c54a5683913be2b0">
        <w:r>
          <w:rPr>
            <w:rStyle w:val="Hyperlink"/>
          </w:rPr>
          <w:t xml:space="preserve">Ontogeny Database</w:t>
        </w:r>
      </w:hyperlink>
      <w:r>
        <w:t xml:space="preserve">] or otherwise referenced for the specific process.</w:t>
      </w:r>
    </w:p>
    <w:p>
      <w:pPr>
        <w:pStyle w:val="berschrift2"/>
      </w:pPr>
      <w:bookmarkStart w:id="23" w:name="qualification-of-cyp3a4-enzyme-ontogeny"/>
      <w:r>
        <w:t xml:space="preserve">Qualification of</w:t>
      </w:r>
      <w:r>
        <w:t xml:space="preserve"> </w:t>
      </w:r>
      <w:r>
        <w:rPr>
          <w:b/>
        </w:rPr>
        <w:t xml:space="preserve">CYP3A4 enzyme ontogeny</w:t>
      </w:r>
      <w:bookmarkEnd w:id="23"/>
    </w:p>
    <w:p>
      <w:pPr>
        <w:pStyle w:val="FirstParagraph"/>
      </w:pPr>
      <w:r>
        <w:t xml:space="preserve">To qualify the OSP suite for the pediatric translation of the pharmacokinetics of new drugs that are metabolized by CYP3A4, the following set of probe substances was included:</w:t>
      </w:r>
    </w:p>
    <w:p>
      <w:pPr>
        <w:numPr>
          <w:ilvl w:val="0"/>
          <w:numId w:val="1002"/>
        </w:numPr>
      </w:pPr>
      <w:r>
        <w:t xml:space="preserve">Alfentanil [</w:t>
      </w:r>
      <w:hyperlink w:anchor="X0d8edef9a422b17afbdda51c54a5683913be2b0">
        <w:r>
          <w:rPr>
            <w:rStyle w:val="Hyperlink"/>
          </w:rPr>
          <w:t xml:space="preserve">Alfentanil-Model</w:t>
        </w:r>
      </w:hyperlink>
      <w:r>
        <w:t xml:space="preserve">]</w:t>
      </w:r>
    </w:p>
    <w:p>
      <w:pPr>
        <w:numPr>
          <w:ilvl w:val="0"/>
          <w:numId w:val="1002"/>
        </w:numPr>
      </w:pPr>
      <w:r>
        <w:t xml:space="preserve">Sufentanil [</w:t>
      </w:r>
      <w:hyperlink w:anchor="X0d8edef9a422b17afbdda51c54a5683913be2b0">
        <w:r>
          <w:rPr>
            <w:rStyle w:val="Hyperlink"/>
          </w:rPr>
          <w:t xml:space="preserve">Sufentanil-Model</w:t>
        </w:r>
      </w:hyperlink>
      <w:r>
        <w:t xml:space="preserve">]</w:t>
      </w:r>
    </w:p>
    <w:p>
      <w:pPr>
        <w:pStyle w:val="FirstParagraph"/>
      </w:pPr>
      <w:r>
        <w:t xml:space="preserve">The adult PBPK model reports and the corresponding PK-Sim project files are filed at: https://github.com/Open-Systems-Pharmacology/OSP-PBPK-Model-Library/</w:t>
      </w:r>
    </w:p>
    <w:p>
      <w:pPr>
        <w:pStyle w:val="Textkrper"/>
      </w:pPr>
    </w:p>
    <w:p>
      <w:pPr>
        <w:pStyle w:val="berschrift1"/>
      </w:pPr>
      <w:bookmarkStart w:id="24" w:name="X605c33e2539b3925089e3c14a3cf49af6ef115c"/>
      <w:r>
        <w:t xml:space="preserve">Pediatric translation qualification results</w:t>
      </w:r>
      <w:bookmarkEnd w:id="24"/>
    </w:p>
    <w:p>
      <w:pPr>
        <w:pStyle w:val="berschrift2"/>
      </w:pPr>
      <w:bookmarkStart w:id="25" w:name="evaluation-of-pediatric-translation"/>
      <w:r>
        <w:t xml:space="preserve">Evaluation of Pediatric translation</w:t>
      </w:r>
      <w:bookmarkEnd w:id="25"/>
    </w:p>
    <w:p>
      <w:pPr>
        <w:pStyle w:val="FirstParagraph"/>
      </w:pPr>
      <w:r>
        <w:t xml:space="preserve">All pediatric translations are pure retrospective predictions, no pediatric pharmacokinetic studies were used to inform model parameters. All parameters necessary to model the pediatric populations, such as demographics (age, weight, height), as well as dosing formulation information were taken from the respective pediatrics studies from literature in order to evaluate their predictive performance.</w:t>
      </w:r>
    </w:p>
    <w:p>
      <w:pPr>
        <w:pStyle w:val="Textkrper"/>
      </w:pPr>
      <w:r>
        <w:t xml:space="preserve">The models were evaluated by ratio plots of area under the plasma concentration-time curve (AUC), or clearance (CL) values resulting from our predictions to the values observed during clinical studies, and by comparison of concentration-time profiles if available. As a quantitative measure of the descriptive and predictive performance of each model, the geometric mean fold error was calculated according to Eq. 1:</w:t>
      </w:r>
    </w:p>
    <w:p>
      <w:pPr>
        <w:pStyle w:val="Textkrper"/>
      </w:pPr>
      <w:r>
        <w:t xml:space="preserve">Eq. 1: GMFE=10^((S|log10(pred PK parameter/obs PK parameter)|)/n)</w:t>
      </w:r>
    </w:p>
    <w:p>
      <w:pPr>
        <w:pStyle w:val="Textkrper"/>
      </w:pPr>
      <w:r>
        <w:t xml:space="preserve">with GMFE = geometric mean fold error of all AUC or CL predictions of the respective model, pred PK parameter = predicted AUC or CL, obs PK parameter = observed AUC or CL, and n = number of observed values.</w:t>
      </w:r>
    </w:p>
    <w:p>
      <w:pPr>
        <w:pStyle w:val="Textkrper"/>
      </w:pPr>
      <w:r>
        <w:t xml:space="preserve">The ratios of predicted over observed mean AUC or CL values from all compound were also plotted across all age groups in the figure below. As illustrated, most of the prediction were within the 0.5 to 2.0 range (2-fold error).</w:t>
      </w:r>
    </w:p>
    <w:p>
      <w:pPr>
        <w:pStyle w:val="Textkrper"/>
      </w:pPr>
      <w:r>
        <w:t xml:space="preserve">In the next sections the demographics as well as the evaluation results of the predictive performance of the specific compound PBPK models in children can be found.</w:t>
      </w:r>
    </w:p>
    <w:p>
      <w:pPr>
        <w:pStyle w:val="Textkrper"/>
      </w:pPr>
    </w:p>
    <w:p>
      <w:r>
        <w:br w:type="page"/>
      </w:r>
    </w:p>
    <w:p>
      <w:pPr>
        <w:pStyle w:val="CaptionedFigure"/>
      </w:pPr>
      <w:r>
        <w:drawing>
          <wp:inline>
            <wp:extent cx="5969000" cy="4087571"/>
            <wp:effectExtent b="0" l="0" r="0" t="0"/>
            <wp:docPr descr="Figure 2-1: Overall predictivity of the PBPK models. Open circles represent mean ratios of PBPK predicted AUC over observed AUC of all drugs in children 3.6 months to 9 years old. Blue dashed lines and red dotted lines represent the 1.5-fold and 2-fold error, respectively." title="" id="1" name="Picture"/>
            <a:graphic>
              <a:graphicData uri="http://schemas.openxmlformats.org/drawingml/2006/picture">
                <pic:pic>
                  <pic:nvPicPr>
                    <pic:cNvPr descr="images/002_section_3/1_pk_ratio_plot_AUC.png" id="0" name="Picture"/>
                    <pic:cNvPicPr>
                      <a:picLocks noChangeArrowheads="1" noChangeAspect="1"/>
                    </pic:cNvPicPr>
                  </pic:nvPicPr>
                  <pic:blipFill>
                    <a:blip r:embed="rId26"/>
                    <a:stretch>
                      <a:fillRect/>
                    </a:stretch>
                  </pic:blipFill>
                  <pic:spPr bwMode="auto">
                    <a:xfrm>
                      <a:off x="0" y="0"/>
                      <a:ext cx="5969000" cy="4087571"/>
                    </a:xfrm>
                    <a:prstGeom prst="rect">
                      <a:avLst/>
                    </a:prstGeom>
                    <a:noFill/>
                    <a:ln w="9525">
                      <a:noFill/>
                      <a:headEnd/>
                      <a:tailEnd/>
                    </a:ln>
                  </pic:spPr>
                </pic:pic>
              </a:graphicData>
            </a:graphic>
          </wp:inline>
        </w:drawing>
      </w:r>
    </w:p>
    <w:p>
      <w:pPr>
        <w:pStyle w:val="ImageCaption"/>
      </w:pPr>
      <w:r>
        <w:rPr>
          <w:b/>
        </w:rPr>
        <w:t xml:space="preserve">Figure 2-1: Overall predictivity of the PBPK models. Open circles represent mean ratios of PBPK predicted AUC over observed AUC of all drugs in children 3.6 months to 9 years old. Blue dashed lines and red dotted lines represent the 1.5-fold and 2-fold error, respectively.</w:t>
      </w:r>
    </w:p>
    <w:p>
      <w:pPr>
        <w:pStyle w:val="Textkrper"/>
      </w:pPr>
      <w:r>
        <w:t xml:space="preserve"> </w:t>
      </w:r>
    </w:p>
    <w:p>
      <w:pPr>
        <w:pStyle w:val="Textkrper"/>
      </w:pPr>
    </w:p>
    <w:p>
      <w:r>
        <w:br w:type="page"/>
      </w:r>
    </w:p>
    <w:p>
      <w:pPr>
        <w:pStyle w:val="Textkrper"/>
      </w:pPr>
      <w:r>
        <w:rPr>
          <w:b/>
        </w:rPr>
        <w:t xml:space="preserve">Table 2-1: Measure of Overall predictivity of the PBPK models. Open circles represent mean ratios of PBPK predicted AUC over observed AUC of all drugs in children 3.6 months to 9 years old. Blue dashed lines and red dotted lines represent the 1.5-fold and 2-fold error, respectively.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Ratio [%]</w:t>
            </w:r>
          </w:p>
        </w:tc>
      </w:tr>
      <w:tr>
        <w:tc>
          <w:p>
            <w:pPr>
              <w:pStyle w:val="Compact"/>
              <w:jc w:val="left"/>
            </w:pPr>
            <w:r>
              <w:t xml:space="preserve">Points total</w:t>
            </w:r>
          </w:p>
        </w:tc>
        <w:tc>
          <w:p>
            <w:pPr>
              <w:pStyle w:val="Compact"/>
              <w:jc w:val="left"/>
            </w:pPr>
            <w:r>
              <w:t xml:space="preserve">39</w:t>
            </w:r>
          </w:p>
        </w:tc>
        <w:tc>
          <w:p>
            <w:pPr>
              <w:pStyle w:val="Compact"/>
              <w:jc w:val="left"/>
            </w:pPr>
            <w:r>
              <w:t xml:space="preserve">-</w:t>
            </w:r>
          </w:p>
        </w:tc>
      </w:tr>
      <w:tr>
        <w:tc>
          <w:p>
            <w:pPr>
              <w:pStyle w:val="Compact"/>
              <w:jc w:val="left"/>
            </w:pPr>
            <w:r>
              <w:t xml:space="preserve">Points within 1.5 fold</w:t>
            </w:r>
          </w:p>
        </w:tc>
        <w:tc>
          <w:p>
            <w:pPr>
              <w:pStyle w:val="Compact"/>
              <w:jc w:val="left"/>
            </w:pPr>
            <w:r>
              <w:t xml:space="preserve">29</w:t>
            </w:r>
          </w:p>
        </w:tc>
        <w:tc>
          <w:p>
            <w:pPr>
              <w:pStyle w:val="Compact"/>
              <w:jc w:val="left"/>
            </w:pPr>
            <w:r>
              <w:t xml:space="preserve">74.36</w:t>
            </w:r>
          </w:p>
        </w:tc>
      </w:tr>
      <w:tr>
        <w:tc>
          <w:p>
            <w:pPr>
              <w:pStyle w:val="Compact"/>
              <w:jc w:val="left"/>
            </w:pPr>
            <w:r>
              <w:t xml:space="preserve">Points within 2 fold</w:t>
            </w:r>
          </w:p>
        </w:tc>
        <w:tc>
          <w:p>
            <w:pPr>
              <w:pStyle w:val="Compact"/>
              <w:jc w:val="left"/>
            </w:pPr>
            <w:r>
              <w:t xml:space="preserve">38</w:t>
            </w:r>
          </w:p>
        </w:tc>
        <w:tc>
          <w:p>
            <w:pPr>
              <w:pStyle w:val="Compact"/>
              <w:jc w:val="left"/>
            </w:pPr>
            <w:r>
              <w:t xml:space="preserve">97.44</w:t>
            </w:r>
          </w:p>
        </w:tc>
      </w:tr>
    </w:tbl>
    <w:p>
      <w:pPr>
        <w:pStyle w:val="Textkrper"/>
      </w:pPr>
      <w:r>
        <w:t xml:space="preserve"> </w:t>
      </w:r>
    </w:p>
    <w:p>
      <w:pPr>
        <w:pStyle w:val="Textkrper"/>
      </w:pPr>
    </w:p>
    <w:p>
      <w:r>
        <w:br w:type="page"/>
      </w:r>
    </w:p>
    <w:p>
      <w:pPr>
        <w:pStyle w:val="Textkrper"/>
      </w:pPr>
      <w:r>
        <w:rPr>
          <w:b/>
        </w:rPr>
        <w:t xml:space="preserve">Table 2-2: GMFE for Overall predictivity of the PBPK models. Open circles represent mean ratios of PBPK predicted AUC over observed AUC of all drugs in children 3.6 months to 9 years old. Blue dashed lines and red dotted lines represent the 1.5-fold and 2-fold error, respectively.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GMFE</w:t>
            </w:r>
          </w:p>
        </w:tc>
      </w:tr>
      <w:tr>
        <w:tc>
          <w:p>
            <w:pPr>
              <w:pStyle w:val="Compact"/>
              <w:jc w:val="left"/>
            </w:pPr>
            <w:r>
              <w:t xml:space="preserve">AUC</w:t>
            </w:r>
          </w:p>
        </w:tc>
        <w:tc>
          <w:p>
            <w:pPr>
              <w:pStyle w:val="Compact"/>
              <w:jc w:val="left"/>
            </w:pPr>
            <w:r>
              <w:t xml:space="preserve">1.25</w:t>
            </w:r>
          </w:p>
        </w:tc>
      </w:tr>
    </w:tbl>
    <w:p>
      <w:pPr>
        <w:pStyle w:val="Textkrper"/>
      </w:pPr>
      <w:r>
        <w:t xml:space="preserve"> </w:t>
      </w:r>
    </w:p>
    <w:p>
      <w:pPr>
        <w:pStyle w:val="Textkrper"/>
      </w:pPr>
    </w:p>
    <w:p>
      <w:r>
        <w:br w:type="page"/>
      </w:r>
    </w:p>
    <w:p>
      <w:pPr>
        <w:pStyle w:val="Textkrper"/>
      </w:pPr>
      <w:r>
        <w:rPr>
          <w:b/>
        </w:rPr>
        <w:t xml:space="preserve">Table 2-3: Overall predictivity of the PBPK models. Open circles represent mean ratios of PBPK predicted AUC over observed AUC of all drugs in children 3.6 months to 9 years old. Blue dashed lines and red dotted lines represent the 1.5-fold and 2-fold error, respectively.</w:t>
      </w:r>
    </w:p>
    <w:tbl>
      <w:tblPr>
        <w:tblStyle w:val="Table"/>
        <w:tblW w:type="pct" w:w="4999.999999999999"/>
        <w:tblLook w:firstRow="1"/>
      </w:tblPr>
      <w:tblGrid>
        <w:gridCol w:w="1320"/>
        <w:gridCol w:w="972"/>
        <w:gridCol w:w="1181"/>
        <w:gridCol w:w="1597"/>
        <w:gridCol w:w="1528"/>
        <w:gridCol w:w="1320"/>
      </w:tblGrid>
      <w:tr>
        <w:trPr>
          <w:cnfStyle w:firstRow="1"/>
        </w:trPr>
        <w:tc>
          <w:tcPr>
            <w:tcBorders>
              <w:bottom w:val="single"/>
            </w:tcBorders>
            <w:vAlign w:val="bottom"/>
          </w:tcPr>
          <w:p>
            <w:pPr>
              <w:pStyle w:val="Compact"/>
              <w:jc w:val="left"/>
            </w:pPr>
            <w:r>
              <w:t xml:space="preserve">Study ID</w:t>
            </w:r>
          </w:p>
        </w:tc>
        <w:tc>
          <w:tcPr>
            <w:tcBorders>
              <w:bottom w:val="single"/>
            </w:tcBorders>
            <w:vAlign w:val="bottom"/>
          </w:tcPr>
          <w:p>
            <w:pPr>
              <w:pStyle w:val="Compact"/>
              <w:jc w:val="left"/>
            </w:pPr>
            <w:r>
              <w:t xml:space="preserve">Age [year(s)]</w:t>
            </w:r>
          </w:p>
        </w:tc>
        <w:tc>
          <w:tcPr>
            <w:tcBorders>
              <w:bottom w:val="single"/>
            </w:tcBorders>
            <w:vAlign w:val="bottom"/>
          </w:tcPr>
          <w:p>
            <w:pPr>
              <w:pStyle w:val="Compact"/>
              <w:jc w:val="left"/>
            </w:pPr>
            <w:r>
              <w:t xml:space="preserve">Body Weight [kg]</w:t>
            </w:r>
          </w:p>
        </w:tc>
        <w:tc>
          <w:tcPr>
            <w:tcBorders>
              <w:bottom w:val="single"/>
            </w:tcBorders>
            <w:vAlign w:val="bottom"/>
          </w:tcPr>
          <w:p>
            <w:pPr>
              <w:pStyle w:val="Compact"/>
              <w:jc w:val="left"/>
            </w:pPr>
            <w:r>
              <w:t xml:space="preserve">Predicted AUC [µg*h/l]</w:t>
            </w:r>
          </w:p>
        </w:tc>
        <w:tc>
          <w:tcPr>
            <w:tcBorders>
              <w:bottom w:val="single"/>
            </w:tcBorders>
            <w:vAlign w:val="bottom"/>
          </w:tcPr>
          <w:p>
            <w:pPr>
              <w:pStyle w:val="Compact"/>
              <w:jc w:val="left"/>
            </w:pPr>
            <w:r>
              <w:t xml:space="preserve">Observed AUC [µg*h/l]</w:t>
            </w:r>
          </w:p>
        </w:tc>
        <w:tc>
          <w:tcPr>
            <w:tcBorders>
              <w:bottom w:val="single"/>
            </w:tcBorders>
            <w:vAlign w:val="bottom"/>
          </w:tcPr>
          <w:p>
            <w:pPr>
              <w:pStyle w:val="Compact"/>
              <w:jc w:val="left"/>
            </w:pPr>
            <w:r>
              <w:t xml:space="preserve">Pred/Obs AUC Ratio</w:t>
            </w:r>
          </w:p>
        </w:tc>
      </w:tr>
      <w:tr>
        <w:tc>
          <w:p>
            <w:pPr>
              <w:pStyle w:val="Compact"/>
              <w:jc w:val="left"/>
            </w:pPr>
            <w:r>
              <w:t xml:space="preserve">Davis 1987</w:t>
            </w:r>
          </w:p>
        </w:tc>
        <w:tc>
          <w:p>
            <w:pPr>
              <w:pStyle w:val="Compact"/>
              <w:jc w:val="left"/>
            </w:pPr>
            <w:r>
              <w:t xml:space="preserve">1.29</w:t>
            </w:r>
          </w:p>
        </w:tc>
        <w:tc>
          <w:p>
            <w:pPr>
              <w:pStyle w:val="Compact"/>
              <w:jc w:val="left"/>
            </w:pPr>
            <w:r>
              <w:t xml:space="preserve">8.90</w:t>
            </w:r>
          </w:p>
        </w:tc>
        <w:tc>
          <w:p>
            <w:pPr>
              <w:pStyle w:val="Compact"/>
              <w:jc w:val="left"/>
            </w:pPr>
            <w:r>
              <w:t xml:space="preserve">7.47</w:t>
            </w:r>
          </w:p>
        </w:tc>
        <w:tc>
          <w:p>
            <w:pPr>
              <w:pStyle w:val="Compact"/>
              <w:jc w:val="left"/>
            </w:pPr>
            <w:r>
              <w:t xml:space="preserve">13.81</w:t>
            </w:r>
          </w:p>
        </w:tc>
        <w:tc>
          <w:p>
            <w:pPr>
              <w:pStyle w:val="Compact"/>
              <w:jc w:val="left"/>
            </w:pPr>
            <w:r>
              <w:t xml:space="preserve">0.54</w:t>
            </w:r>
          </w:p>
        </w:tc>
      </w:tr>
      <w:tr>
        <w:tc>
          <w:p>
            <w:pPr>
              <w:pStyle w:val="Compact"/>
              <w:jc w:val="left"/>
            </w:pPr>
            <w:r>
              <w:t xml:space="preserve">Davis 1987</w:t>
            </w:r>
          </w:p>
        </w:tc>
        <w:tc>
          <w:p>
            <w:pPr>
              <w:pStyle w:val="Compact"/>
              <w:jc w:val="left"/>
            </w:pPr>
            <w:r>
              <w:t xml:space="preserve">0.43</w:t>
            </w:r>
          </w:p>
        </w:tc>
        <w:tc>
          <w:p>
            <w:pPr>
              <w:pStyle w:val="Compact"/>
              <w:jc w:val="left"/>
            </w:pPr>
            <w:r>
              <w:t xml:space="preserve">5.30</w:t>
            </w:r>
          </w:p>
        </w:tc>
        <w:tc>
          <w:p>
            <w:pPr>
              <w:pStyle w:val="Compact"/>
              <w:jc w:val="left"/>
            </w:pPr>
            <w:r>
              <w:t xml:space="preserve">9.35</w:t>
            </w:r>
          </w:p>
        </w:tc>
        <w:tc>
          <w:p>
            <w:pPr>
              <w:pStyle w:val="Compact"/>
              <w:jc w:val="left"/>
            </w:pPr>
            <w:r>
              <w:t xml:space="preserve">9.09</w:t>
            </w:r>
          </w:p>
        </w:tc>
        <w:tc>
          <w:p>
            <w:pPr>
              <w:pStyle w:val="Compact"/>
              <w:jc w:val="left"/>
            </w:pPr>
            <w:r>
              <w:t xml:space="preserve">1.03</w:t>
            </w:r>
          </w:p>
        </w:tc>
      </w:tr>
      <w:tr>
        <w:tc>
          <w:p>
            <w:pPr>
              <w:pStyle w:val="Compact"/>
              <w:jc w:val="left"/>
            </w:pPr>
            <w:r>
              <w:t xml:space="preserve">Guay 1991</w:t>
            </w:r>
          </w:p>
        </w:tc>
        <w:tc>
          <w:p>
            <w:pPr>
              <w:pStyle w:val="Compact"/>
              <w:jc w:val="left"/>
            </w:pPr>
            <w:r>
              <w:t xml:space="preserve">2.08</w:t>
            </w:r>
          </w:p>
        </w:tc>
        <w:tc>
          <w:p>
            <w:pPr>
              <w:pStyle w:val="Compact"/>
              <w:jc w:val="left"/>
            </w:pPr>
            <w:r>
              <w:t xml:space="preserve">12.10</w:t>
            </w:r>
          </w:p>
        </w:tc>
        <w:tc>
          <w:p>
            <w:pPr>
              <w:pStyle w:val="Compact"/>
              <w:jc w:val="left"/>
            </w:pPr>
            <w:r>
              <w:t xml:space="preserve">1.09</w:t>
            </w:r>
          </w:p>
        </w:tc>
        <w:tc>
          <w:p>
            <w:pPr>
              <w:pStyle w:val="Compact"/>
              <w:jc w:val="left"/>
            </w:pPr>
            <w:r>
              <w:t xml:space="preserve">1.81</w:t>
            </w:r>
          </w:p>
        </w:tc>
        <w:tc>
          <w:p>
            <w:pPr>
              <w:pStyle w:val="Compact"/>
              <w:jc w:val="left"/>
            </w:pPr>
            <w:r>
              <w:t xml:space="preserve">0.60</w:t>
            </w:r>
          </w:p>
        </w:tc>
      </w:tr>
      <w:tr>
        <w:tc>
          <w:p>
            <w:pPr>
              <w:pStyle w:val="Compact"/>
              <w:jc w:val="left"/>
            </w:pPr>
            <w:r>
              <w:t xml:space="preserve">Guay 1991</w:t>
            </w:r>
          </w:p>
        </w:tc>
        <w:tc>
          <w:p>
            <w:pPr>
              <w:pStyle w:val="Compact"/>
              <w:jc w:val="left"/>
            </w:pPr>
            <w:r>
              <w:t xml:space="preserve">2.58</w:t>
            </w:r>
          </w:p>
        </w:tc>
        <w:tc>
          <w:p>
            <w:pPr>
              <w:pStyle w:val="Compact"/>
              <w:jc w:val="left"/>
            </w:pPr>
            <w:r>
              <w:t xml:space="preserve">16.00</w:t>
            </w:r>
          </w:p>
        </w:tc>
        <w:tc>
          <w:p>
            <w:pPr>
              <w:pStyle w:val="Compact"/>
              <w:jc w:val="left"/>
            </w:pPr>
            <w:r>
              <w:t xml:space="preserve">0.66</w:t>
            </w:r>
          </w:p>
        </w:tc>
        <w:tc>
          <w:p>
            <w:pPr>
              <w:pStyle w:val="Compact"/>
              <w:jc w:val="left"/>
            </w:pPr>
            <w:r>
              <w:t xml:space="preserve">0.77</w:t>
            </w:r>
          </w:p>
        </w:tc>
        <w:tc>
          <w:p>
            <w:pPr>
              <w:pStyle w:val="Compact"/>
              <w:jc w:val="left"/>
            </w:pPr>
            <w:r>
              <w:t xml:space="preserve">0.86</w:t>
            </w:r>
          </w:p>
        </w:tc>
      </w:tr>
      <w:tr>
        <w:tc>
          <w:p>
            <w:pPr>
              <w:pStyle w:val="Compact"/>
              <w:jc w:val="left"/>
            </w:pPr>
            <w:r>
              <w:t xml:space="preserve">Guay 1991</w:t>
            </w:r>
          </w:p>
        </w:tc>
        <w:tc>
          <w:p>
            <w:pPr>
              <w:pStyle w:val="Compact"/>
              <w:jc w:val="left"/>
            </w:pPr>
            <w:r>
              <w:t xml:space="preserve">2.67</w:t>
            </w:r>
          </w:p>
        </w:tc>
        <w:tc>
          <w:p>
            <w:pPr>
              <w:pStyle w:val="Compact"/>
              <w:jc w:val="left"/>
            </w:pPr>
            <w:r>
              <w:t xml:space="preserve">11.30</w:t>
            </w:r>
          </w:p>
        </w:tc>
        <w:tc>
          <w:p>
            <w:pPr>
              <w:pStyle w:val="Compact"/>
              <w:jc w:val="left"/>
            </w:pPr>
            <w:r>
              <w:t xml:space="preserve">1.68</w:t>
            </w:r>
          </w:p>
        </w:tc>
        <w:tc>
          <w:p>
            <w:pPr>
              <w:pStyle w:val="Compact"/>
              <w:jc w:val="left"/>
            </w:pPr>
            <w:r>
              <w:t xml:space="preserve">1.49</w:t>
            </w:r>
          </w:p>
        </w:tc>
        <w:tc>
          <w:p>
            <w:pPr>
              <w:pStyle w:val="Compact"/>
              <w:jc w:val="left"/>
            </w:pPr>
            <w:r>
              <w:t xml:space="preserve">1.13</w:t>
            </w:r>
          </w:p>
        </w:tc>
      </w:tr>
      <w:tr>
        <w:tc>
          <w:p>
            <w:pPr>
              <w:pStyle w:val="Compact"/>
              <w:jc w:val="left"/>
            </w:pPr>
            <w:r>
              <w:t xml:space="preserve">Guay 1991</w:t>
            </w:r>
          </w:p>
        </w:tc>
        <w:tc>
          <w:p>
            <w:pPr>
              <w:pStyle w:val="Compact"/>
              <w:jc w:val="left"/>
            </w:pPr>
            <w:r>
              <w:t xml:space="preserve">3.25</w:t>
            </w:r>
          </w:p>
        </w:tc>
        <w:tc>
          <w:p>
            <w:pPr>
              <w:pStyle w:val="Compact"/>
              <w:jc w:val="left"/>
            </w:pPr>
            <w:r>
              <w:t xml:space="preserve">16.00</w:t>
            </w:r>
          </w:p>
        </w:tc>
        <w:tc>
          <w:p>
            <w:pPr>
              <w:pStyle w:val="Compact"/>
              <w:jc w:val="left"/>
            </w:pPr>
            <w:r>
              <w:t xml:space="preserve">1.45</w:t>
            </w:r>
          </w:p>
        </w:tc>
        <w:tc>
          <w:p>
            <w:pPr>
              <w:pStyle w:val="Compact"/>
              <w:jc w:val="left"/>
            </w:pPr>
            <w:r>
              <w:t xml:space="preserve">1.38</w:t>
            </w:r>
          </w:p>
        </w:tc>
        <w:tc>
          <w:p>
            <w:pPr>
              <w:pStyle w:val="Compact"/>
              <w:jc w:val="left"/>
            </w:pPr>
            <w:r>
              <w:t xml:space="preserve">1.05</w:t>
            </w:r>
          </w:p>
        </w:tc>
      </w:tr>
      <w:tr>
        <w:tc>
          <w:p>
            <w:pPr>
              <w:pStyle w:val="Compact"/>
              <w:jc w:val="left"/>
            </w:pPr>
            <w:r>
              <w:t xml:space="preserve">Guay 1991</w:t>
            </w:r>
          </w:p>
        </w:tc>
        <w:tc>
          <w:p>
            <w:pPr>
              <w:pStyle w:val="Compact"/>
              <w:jc w:val="left"/>
            </w:pPr>
            <w:r>
              <w:t xml:space="preserve">3.83</w:t>
            </w:r>
          </w:p>
        </w:tc>
        <w:tc>
          <w:p>
            <w:pPr>
              <w:pStyle w:val="Compact"/>
              <w:jc w:val="left"/>
            </w:pPr>
            <w:r>
              <w:t xml:space="preserve">14.20</w:t>
            </w:r>
          </w:p>
        </w:tc>
        <w:tc>
          <w:p>
            <w:pPr>
              <w:pStyle w:val="Compact"/>
              <w:jc w:val="left"/>
            </w:pPr>
            <w:r>
              <w:t xml:space="preserve">0.93</w:t>
            </w:r>
          </w:p>
        </w:tc>
        <w:tc>
          <w:p>
            <w:pPr>
              <w:pStyle w:val="Compact"/>
              <w:jc w:val="left"/>
            </w:pPr>
            <w:r>
              <w:t xml:space="preserve">1.10</w:t>
            </w:r>
          </w:p>
        </w:tc>
        <w:tc>
          <w:p>
            <w:pPr>
              <w:pStyle w:val="Compact"/>
              <w:jc w:val="left"/>
            </w:pPr>
            <w:r>
              <w:t xml:space="preserve">0.84</w:t>
            </w:r>
          </w:p>
        </w:tc>
      </w:tr>
      <w:tr>
        <w:tc>
          <w:p>
            <w:pPr>
              <w:pStyle w:val="Compact"/>
              <w:jc w:val="left"/>
            </w:pPr>
            <w:r>
              <w:t xml:space="preserve">Guay 1991</w:t>
            </w:r>
          </w:p>
        </w:tc>
        <w:tc>
          <w:p>
            <w:pPr>
              <w:pStyle w:val="Compact"/>
              <w:jc w:val="left"/>
            </w:pPr>
            <w:r>
              <w:t xml:space="preserve">4.58</w:t>
            </w:r>
          </w:p>
        </w:tc>
        <w:tc>
          <w:p>
            <w:pPr>
              <w:pStyle w:val="Compact"/>
              <w:jc w:val="left"/>
            </w:pPr>
            <w:r>
              <w:t xml:space="preserve">15.00</w:t>
            </w:r>
          </w:p>
        </w:tc>
        <w:tc>
          <w:p>
            <w:pPr>
              <w:pStyle w:val="Compact"/>
              <w:jc w:val="left"/>
            </w:pPr>
            <w:r>
              <w:t xml:space="preserve">0.74</w:t>
            </w:r>
          </w:p>
        </w:tc>
        <w:tc>
          <w:p>
            <w:pPr>
              <w:pStyle w:val="Compact"/>
              <w:jc w:val="left"/>
            </w:pPr>
            <w:r>
              <w:t xml:space="preserve">1.12</w:t>
            </w:r>
          </w:p>
        </w:tc>
        <w:tc>
          <w:p>
            <w:pPr>
              <w:pStyle w:val="Compact"/>
              <w:jc w:val="left"/>
            </w:pPr>
            <w:r>
              <w:t xml:space="preserve">0.66</w:t>
            </w:r>
          </w:p>
        </w:tc>
      </w:tr>
      <w:tr>
        <w:tc>
          <w:p>
            <w:pPr>
              <w:pStyle w:val="Compact"/>
              <w:jc w:val="left"/>
            </w:pPr>
            <w:r>
              <w:t xml:space="preserve">Guay 1991</w:t>
            </w:r>
          </w:p>
        </w:tc>
        <w:tc>
          <w:p>
            <w:pPr>
              <w:pStyle w:val="Compact"/>
              <w:jc w:val="left"/>
            </w:pPr>
            <w:r>
              <w:t xml:space="preserve">4.58</w:t>
            </w:r>
          </w:p>
        </w:tc>
        <w:tc>
          <w:p>
            <w:pPr>
              <w:pStyle w:val="Compact"/>
              <w:jc w:val="left"/>
            </w:pPr>
            <w:r>
              <w:t xml:space="preserve">19.00</w:t>
            </w:r>
          </w:p>
        </w:tc>
        <w:tc>
          <w:p>
            <w:pPr>
              <w:pStyle w:val="Compact"/>
              <w:jc w:val="left"/>
            </w:pPr>
            <w:r>
              <w:t xml:space="preserve">1.42</w:t>
            </w:r>
          </w:p>
        </w:tc>
        <w:tc>
          <w:p>
            <w:pPr>
              <w:pStyle w:val="Compact"/>
              <w:jc w:val="left"/>
            </w:pPr>
            <w:r>
              <w:t xml:space="preserve">2.25</w:t>
            </w:r>
          </w:p>
        </w:tc>
        <w:tc>
          <w:p>
            <w:pPr>
              <w:pStyle w:val="Compact"/>
              <w:jc w:val="left"/>
            </w:pPr>
            <w:r>
              <w:t xml:space="preserve">0.63</w:t>
            </w:r>
          </w:p>
        </w:tc>
      </w:tr>
      <w:tr>
        <w:tc>
          <w:p>
            <w:pPr>
              <w:pStyle w:val="Compact"/>
              <w:jc w:val="left"/>
            </w:pPr>
            <w:r>
              <w:t xml:space="preserve">Guay 1991</w:t>
            </w:r>
          </w:p>
        </w:tc>
        <w:tc>
          <w:p>
            <w:pPr>
              <w:pStyle w:val="Compact"/>
              <w:jc w:val="left"/>
            </w:pPr>
            <w:r>
              <w:t xml:space="preserve">4.83</w:t>
            </w:r>
          </w:p>
        </w:tc>
        <w:tc>
          <w:p>
            <w:pPr>
              <w:pStyle w:val="Compact"/>
              <w:jc w:val="left"/>
            </w:pPr>
            <w:r>
              <w:t xml:space="preserve">17.50</w:t>
            </w:r>
          </w:p>
        </w:tc>
        <w:tc>
          <w:p>
            <w:pPr>
              <w:pStyle w:val="Compact"/>
              <w:jc w:val="left"/>
            </w:pPr>
            <w:r>
              <w:t xml:space="preserve">1.46</w:t>
            </w:r>
          </w:p>
        </w:tc>
        <w:tc>
          <w:p>
            <w:pPr>
              <w:pStyle w:val="Compact"/>
              <w:jc w:val="left"/>
            </w:pPr>
            <w:r>
              <w:t xml:space="preserve">1.16</w:t>
            </w:r>
          </w:p>
        </w:tc>
        <w:tc>
          <w:p>
            <w:pPr>
              <w:pStyle w:val="Compact"/>
              <w:jc w:val="left"/>
            </w:pPr>
            <w:r>
              <w:t xml:space="preserve">1.25</w:t>
            </w:r>
          </w:p>
        </w:tc>
      </w:tr>
      <w:tr>
        <w:tc>
          <w:p>
            <w:pPr>
              <w:pStyle w:val="Compact"/>
              <w:jc w:val="left"/>
            </w:pPr>
            <w:r>
              <w:t xml:space="preserve">Guay 1991</w:t>
            </w:r>
          </w:p>
        </w:tc>
        <w:tc>
          <w:p>
            <w:pPr>
              <w:pStyle w:val="Compact"/>
              <w:jc w:val="left"/>
            </w:pPr>
            <w:r>
              <w:t xml:space="preserve">5.25</w:t>
            </w:r>
          </w:p>
        </w:tc>
        <w:tc>
          <w:p>
            <w:pPr>
              <w:pStyle w:val="Compact"/>
              <w:jc w:val="left"/>
            </w:pPr>
            <w:r>
              <w:t xml:space="preserve">18.50</w:t>
            </w:r>
          </w:p>
        </w:tc>
        <w:tc>
          <w:p>
            <w:pPr>
              <w:pStyle w:val="Compact"/>
              <w:jc w:val="left"/>
            </w:pPr>
            <w:r>
              <w:t xml:space="preserve">0.75</w:t>
            </w:r>
          </w:p>
        </w:tc>
        <w:tc>
          <w:p>
            <w:pPr>
              <w:pStyle w:val="Compact"/>
              <w:jc w:val="left"/>
            </w:pPr>
            <w:r>
              <w:t xml:space="preserve">0.73</w:t>
            </w:r>
          </w:p>
        </w:tc>
        <w:tc>
          <w:p>
            <w:pPr>
              <w:pStyle w:val="Compact"/>
              <w:jc w:val="left"/>
            </w:pPr>
            <w:r>
              <w:t xml:space="preserve">1.04</w:t>
            </w:r>
          </w:p>
        </w:tc>
      </w:tr>
      <w:tr>
        <w:tc>
          <w:p>
            <w:pPr>
              <w:pStyle w:val="Compact"/>
              <w:jc w:val="left"/>
            </w:pPr>
            <w:r>
              <w:t xml:space="preserve">Guay 1991</w:t>
            </w:r>
          </w:p>
        </w:tc>
        <w:tc>
          <w:p>
            <w:pPr>
              <w:pStyle w:val="Compact"/>
              <w:jc w:val="left"/>
            </w:pPr>
            <w:r>
              <w:t xml:space="preserve">5.25</w:t>
            </w:r>
          </w:p>
        </w:tc>
        <w:tc>
          <w:p>
            <w:pPr>
              <w:pStyle w:val="Compact"/>
              <w:jc w:val="left"/>
            </w:pPr>
            <w:r>
              <w:t xml:space="preserve">19.65</w:t>
            </w:r>
          </w:p>
        </w:tc>
        <w:tc>
          <w:p>
            <w:pPr>
              <w:pStyle w:val="Compact"/>
              <w:jc w:val="left"/>
            </w:pPr>
            <w:r>
              <w:t xml:space="preserve">1.47</w:t>
            </w:r>
          </w:p>
        </w:tc>
        <w:tc>
          <w:p>
            <w:pPr>
              <w:pStyle w:val="Compact"/>
              <w:jc w:val="left"/>
            </w:pPr>
            <w:r>
              <w:t xml:space="preserve">1.42</w:t>
            </w:r>
          </w:p>
        </w:tc>
        <w:tc>
          <w:p>
            <w:pPr>
              <w:pStyle w:val="Compact"/>
              <w:jc w:val="left"/>
            </w:pPr>
            <w:r>
              <w:t xml:space="preserve">1.04</w:t>
            </w:r>
          </w:p>
        </w:tc>
      </w:tr>
      <w:tr>
        <w:tc>
          <w:p>
            <w:pPr>
              <w:pStyle w:val="Compact"/>
              <w:jc w:val="left"/>
            </w:pPr>
            <w:r>
              <w:t xml:space="preserve">Guay 1991</w:t>
            </w:r>
          </w:p>
        </w:tc>
        <w:tc>
          <w:p>
            <w:pPr>
              <w:pStyle w:val="Compact"/>
              <w:jc w:val="left"/>
            </w:pPr>
            <w:r>
              <w:t xml:space="preserve">5.33</w:t>
            </w:r>
          </w:p>
        </w:tc>
        <w:tc>
          <w:p>
            <w:pPr>
              <w:pStyle w:val="Compact"/>
              <w:jc w:val="left"/>
            </w:pPr>
            <w:r>
              <w:t xml:space="preserve">24.00</w:t>
            </w:r>
          </w:p>
        </w:tc>
        <w:tc>
          <w:p>
            <w:pPr>
              <w:pStyle w:val="Compact"/>
              <w:jc w:val="left"/>
            </w:pPr>
            <w:r>
              <w:t xml:space="preserve">1.89</w:t>
            </w:r>
          </w:p>
        </w:tc>
        <w:tc>
          <w:p>
            <w:pPr>
              <w:pStyle w:val="Compact"/>
              <w:jc w:val="left"/>
            </w:pPr>
            <w:r>
              <w:t xml:space="preserve">2.26</w:t>
            </w:r>
          </w:p>
        </w:tc>
        <w:tc>
          <w:p>
            <w:pPr>
              <w:pStyle w:val="Compact"/>
              <w:jc w:val="left"/>
            </w:pPr>
            <w:r>
              <w:t xml:space="preserve">0.83</w:t>
            </w:r>
          </w:p>
        </w:tc>
      </w:tr>
      <w:tr>
        <w:tc>
          <w:p>
            <w:pPr>
              <w:pStyle w:val="Compact"/>
              <w:jc w:val="left"/>
            </w:pPr>
            <w:r>
              <w:t xml:space="preserve">Guay 1991</w:t>
            </w:r>
          </w:p>
        </w:tc>
        <w:tc>
          <w:p>
            <w:pPr>
              <w:pStyle w:val="Compact"/>
              <w:jc w:val="left"/>
            </w:pPr>
            <w:r>
              <w:t xml:space="preserve">5.33</w:t>
            </w:r>
          </w:p>
        </w:tc>
        <w:tc>
          <w:p>
            <w:pPr>
              <w:pStyle w:val="Compact"/>
              <w:jc w:val="left"/>
            </w:pPr>
            <w:r>
              <w:t xml:space="preserve">24.00</w:t>
            </w:r>
          </w:p>
        </w:tc>
        <w:tc>
          <w:p>
            <w:pPr>
              <w:pStyle w:val="Compact"/>
              <w:jc w:val="left"/>
            </w:pPr>
            <w:r>
              <w:t xml:space="preserve">1.06</w:t>
            </w:r>
          </w:p>
        </w:tc>
        <w:tc>
          <w:p>
            <w:pPr>
              <w:pStyle w:val="Compact"/>
              <w:jc w:val="left"/>
            </w:pPr>
            <w:r>
              <w:t xml:space="preserve">1.26</w:t>
            </w:r>
          </w:p>
        </w:tc>
        <w:tc>
          <w:p>
            <w:pPr>
              <w:pStyle w:val="Compact"/>
              <w:jc w:val="left"/>
            </w:pPr>
            <w:r>
              <w:t xml:space="preserve">0.84</w:t>
            </w:r>
          </w:p>
        </w:tc>
      </w:tr>
      <w:tr>
        <w:tc>
          <w:p>
            <w:pPr>
              <w:pStyle w:val="Compact"/>
              <w:jc w:val="left"/>
            </w:pPr>
            <w:r>
              <w:t xml:space="preserve">Guay 1991</w:t>
            </w:r>
          </w:p>
        </w:tc>
        <w:tc>
          <w:p>
            <w:pPr>
              <w:pStyle w:val="Compact"/>
              <w:jc w:val="left"/>
            </w:pPr>
            <w:r>
              <w:t xml:space="preserve">5.75</w:t>
            </w:r>
          </w:p>
        </w:tc>
        <w:tc>
          <w:p>
            <w:pPr>
              <w:pStyle w:val="Compact"/>
              <w:jc w:val="left"/>
            </w:pPr>
            <w:r>
              <w:t xml:space="preserve">14.50</w:t>
            </w:r>
          </w:p>
        </w:tc>
        <w:tc>
          <w:p>
            <w:pPr>
              <w:pStyle w:val="Compact"/>
              <w:jc w:val="left"/>
            </w:pPr>
            <w:r>
              <w:t xml:space="preserve">1.26</w:t>
            </w:r>
          </w:p>
        </w:tc>
        <w:tc>
          <w:p>
            <w:pPr>
              <w:pStyle w:val="Compact"/>
              <w:jc w:val="left"/>
            </w:pPr>
            <w:r>
              <w:t xml:space="preserve">2.53</w:t>
            </w:r>
          </w:p>
        </w:tc>
        <w:tc>
          <w:p>
            <w:pPr>
              <w:pStyle w:val="Compact"/>
              <w:jc w:val="left"/>
            </w:pPr>
            <w:r>
              <w:t xml:space="preserve">0.50</w:t>
            </w:r>
          </w:p>
        </w:tc>
      </w:tr>
      <w:tr>
        <w:tc>
          <w:p>
            <w:pPr>
              <w:pStyle w:val="Compact"/>
              <w:jc w:val="left"/>
            </w:pPr>
            <w:r>
              <w:t xml:space="preserve">Guay 1991</w:t>
            </w:r>
          </w:p>
        </w:tc>
        <w:tc>
          <w:p>
            <w:pPr>
              <w:pStyle w:val="Compact"/>
              <w:jc w:val="left"/>
            </w:pPr>
            <w:r>
              <w:t xml:space="preserve">5.92</w:t>
            </w:r>
          </w:p>
        </w:tc>
        <w:tc>
          <w:p>
            <w:pPr>
              <w:pStyle w:val="Compact"/>
              <w:jc w:val="left"/>
            </w:pPr>
            <w:r>
              <w:t xml:space="preserve">28.20</w:t>
            </w:r>
          </w:p>
        </w:tc>
        <w:tc>
          <w:p>
            <w:pPr>
              <w:pStyle w:val="Compact"/>
              <w:jc w:val="left"/>
            </w:pPr>
            <w:r>
              <w:t xml:space="preserve">1.55</w:t>
            </w:r>
          </w:p>
        </w:tc>
        <w:tc>
          <w:p>
            <w:pPr>
              <w:pStyle w:val="Compact"/>
              <w:jc w:val="left"/>
            </w:pPr>
            <w:r>
              <w:t xml:space="preserve">2.13</w:t>
            </w:r>
          </w:p>
        </w:tc>
        <w:tc>
          <w:p>
            <w:pPr>
              <w:pStyle w:val="Compact"/>
              <w:jc w:val="left"/>
            </w:pPr>
            <w:r>
              <w:t xml:space="preserve">0.73</w:t>
            </w:r>
          </w:p>
        </w:tc>
      </w:tr>
      <w:tr>
        <w:tc>
          <w:p>
            <w:pPr>
              <w:pStyle w:val="Compact"/>
              <w:jc w:val="left"/>
            </w:pPr>
            <w:r>
              <w:t xml:space="preserve">Guay 1991</w:t>
            </w:r>
          </w:p>
        </w:tc>
        <w:tc>
          <w:p>
            <w:pPr>
              <w:pStyle w:val="Compact"/>
              <w:jc w:val="left"/>
            </w:pPr>
            <w:r>
              <w:t xml:space="preserve">5.92</w:t>
            </w:r>
          </w:p>
        </w:tc>
        <w:tc>
          <w:p>
            <w:pPr>
              <w:pStyle w:val="Compact"/>
              <w:jc w:val="left"/>
            </w:pPr>
            <w:r>
              <w:t xml:space="preserve">25.00</w:t>
            </w:r>
          </w:p>
        </w:tc>
        <w:tc>
          <w:p>
            <w:pPr>
              <w:pStyle w:val="Compact"/>
              <w:jc w:val="left"/>
            </w:pPr>
            <w:r>
              <w:t xml:space="preserve">0.80</w:t>
            </w:r>
          </w:p>
        </w:tc>
        <w:tc>
          <w:p>
            <w:pPr>
              <w:pStyle w:val="Compact"/>
              <w:jc w:val="left"/>
            </w:pPr>
            <w:r>
              <w:t xml:space="preserve">0.95</w:t>
            </w:r>
          </w:p>
        </w:tc>
        <w:tc>
          <w:p>
            <w:pPr>
              <w:pStyle w:val="Compact"/>
              <w:jc w:val="left"/>
            </w:pPr>
            <w:r>
              <w:t xml:space="preserve">0.84</w:t>
            </w:r>
          </w:p>
        </w:tc>
      </w:tr>
      <w:tr>
        <w:tc>
          <w:p>
            <w:pPr>
              <w:pStyle w:val="Compact"/>
              <w:jc w:val="left"/>
            </w:pPr>
            <w:r>
              <w:t xml:space="preserve">Guay 1991</w:t>
            </w:r>
          </w:p>
        </w:tc>
        <w:tc>
          <w:p>
            <w:pPr>
              <w:pStyle w:val="Compact"/>
              <w:jc w:val="left"/>
            </w:pPr>
            <w:r>
              <w:t xml:space="preserve">6.92</w:t>
            </w:r>
          </w:p>
        </w:tc>
        <w:tc>
          <w:p>
            <w:pPr>
              <w:pStyle w:val="Compact"/>
              <w:jc w:val="left"/>
            </w:pPr>
            <w:r>
              <w:t xml:space="preserve">29.60</w:t>
            </w:r>
          </w:p>
        </w:tc>
        <w:tc>
          <w:p>
            <w:pPr>
              <w:pStyle w:val="Compact"/>
              <w:jc w:val="left"/>
            </w:pPr>
            <w:r>
              <w:t xml:space="preserve">1.04</w:t>
            </w:r>
          </w:p>
        </w:tc>
        <w:tc>
          <w:p>
            <w:pPr>
              <w:pStyle w:val="Compact"/>
              <w:jc w:val="left"/>
            </w:pPr>
            <w:r>
              <w:t xml:space="preserve">1.03</w:t>
            </w:r>
          </w:p>
        </w:tc>
        <w:tc>
          <w:p>
            <w:pPr>
              <w:pStyle w:val="Compact"/>
              <w:jc w:val="left"/>
            </w:pPr>
            <w:r>
              <w:t xml:space="preserve">1.01</w:t>
            </w:r>
          </w:p>
        </w:tc>
      </w:tr>
      <w:tr>
        <w:tc>
          <w:p>
            <w:pPr>
              <w:pStyle w:val="Compact"/>
              <w:jc w:val="left"/>
            </w:pPr>
            <w:r>
              <w:t xml:space="preserve">Guay 1991</w:t>
            </w:r>
          </w:p>
        </w:tc>
        <w:tc>
          <w:p>
            <w:pPr>
              <w:pStyle w:val="Compact"/>
              <w:jc w:val="left"/>
            </w:pPr>
            <w:r>
              <w:t xml:space="preserve">7.50</w:t>
            </w:r>
          </w:p>
        </w:tc>
        <w:tc>
          <w:p>
            <w:pPr>
              <w:pStyle w:val="Compact"/>
              <w:jc w:val="left"/>
            </w:pPr>
            <w:r>
              <w:t xml:space="preserve">23.50</w:t>
            </w:r>
          </w:p>
        </w:tc>
        <w:tc>
          <w:p>
            <w:pPr>
              <w:pStyle w:val="Compact"/>
              <w:jc w:val="left"/>
            </w:pPr>
            <w:r>
              <w:t xml:space="preserve">0.45</w:t>
            </w:r>
          </w:p>
        </w:tc>
        <w:tc>
          <w:p>
            <w:pPr>
              <w:pStyle w:val="Compact"/>
              <w:jc w:val="left"/>
            </w:pPr>
            <w:r>
              <w:t xml:space="preserve">0.58</w:t>
            </w:r>
          </w:p>
        </w:tc>
        <w:tc>
          <w:p>
            <w:pPr>
              <w:pStyle w:val="Compact"/>
              <w:jc w:val="left"/>
            </w:pPr>
            <w:r>
              <w:t xml:space="preserve">0.77</w:t>
            </w:r>
          </w:p>
        </w:tc>
      </w:tr>
      <w:tr>
        <w:tc>
          <w:p>
            <w:pPr>
              <w:pStyle w:val="Compact"/>
              <w:jc w:val="left"/>
            </w:pPr>
            <w:r>
              <w:t xml:space="preserve">Guay 1991</w:t>
            </w:r>
          </w:p>
        </w:tc>
        <w:tc>
          <w:p>
            <w:pPr>
              <w:pStyle w:val="Compact"/>
              <w:jc w:val="left"/>
            </w:pPr>
            <w:r>
              <w:t xml:space="preserve">7.50</w:t>
            </w:r>
          </w:p>
        </w:tc>
        <w:tc>
          <w:p>
            <w:pPr>
              <w:pStyle w:val="Compact"/>
              <w:jc w:val="left"/>
            </w:pPr>
            <w:r>
              <w:t xml:space="preserve">15.20</w:t>
            </w:r>
          </w:p>
        </w:tc>
        <w:tc>
          <w:p>
            <w:pPr>
              <w:pStyle w:val="Compact"/>
              <w:jc w:val="left"/>
            </w:pPr>
            <w:r>
              <w:t xml:space="preserve">1.22</w:t>
            </w:r>
          </w:p>
        </w:tc>
        <w:tc>
          <w:p>
            <w:pPr>
              <w:pStyle w:val="Compact"/>
              <w:jc w:val="left"/>
            </w:pPr>
            <w:r>
              <w:t xml:space="preserve">1.23</w:t>
            </w:r>
          </w:p>
        </w:tc>
        <w:tc>
          <w:p>
            <w:pPr>
              <w:pStyle w:val="Compact"/>
              <w:jc w:val="left"/>
            </w:pPr>
            <w:r>
              <w:t xml:space="preserve">0.99</w:t>
            </w:r>
          </w:p>
        </w:tc>
      </w:tr>
      <w:tr>
        <w:tc>
          <w:p>
            <w:pPr>
              <w:pStyle w:val="Compact"/>
              <w:jc w:val="left"/>
            </w:pPr>
            <w:r>
              <w:t xml:space="preserve">Guay 1991</w:t>
            </w:r>
          </w:p>
        </w:tc>
        <w:tc>
          <w:p>
            <w:pPr>
              <w:pStyle w:val="Compact"/>
              <w:jc w:val="left"/>
            </w:pPr>
            <w:r>
              <w:t xml:space="preserve">8.75</w:t>
            </w:r>
          </w:p>
        </w:tc>
        <w:tc>
          <w:p>
            <w:pPr>
              <w:pStyle w:val="Compact"/>
              <w:jc w:val="left"/>
            </w:pPr>
            <w:r>
              <w:t xml:space="preserve">22.60</w:t>
            </w:r>
          </w:p>
        </w:tc>
        <w:tc>
          <w:p>
            <w:pPr>
              <w:pStyle w:val="Compact"/>
              <w:jc w:val="left"/>
            </w:pPr>
            <w:r>
              <w:t xml:space="preserve">0.87</w:t>
            </w:r>
          </w:p>
        </w:tc>
        <w:tc>
          <w:p>
            <w:pPr>
              <w:pStyle w:val="Compact"/>
              <w:jc w:val="left"/>
            </w:pPr>
            <w:r>
              <w:t xml:space="preserve">0.94</w:t>
            </w:r>
          </w:p>
        </w:tc>
        <w:tc>
          <w:p>
            <w:pPr>
              <w:pStyle w:val="Compact"/>
              <w:jc w:val="left"/>
            </w:pPr>
            <w:r>
              <w:t xml:space="preserve">0.93</w:t>
            </w:r>
          </w:p>
        </w:tc>
      </w:tr>
      <w:tr>
        <w:tc>
          <w:p>
            <w:pPr>
              <w:pStyle w:val="Compact"/>
              <w:jc w:val="left"/>
            </w:pPr>
            <w:r>
              <w:t xml:space="preserve">den Hollander 1992</w:t>
            </w:r>
          </w:p>
        </w:tc>
        <w:tc>
          <w:p>
            <w:pPr>
              <w:pStyle w:val="Compact"/>
              <w:jc w:val="left"/>
            </w:pPr>
            <w:r>
              <w:t xml:space="preserve">0.92</w:t>
            </w:r>
          </w:p>
        </w:tc>
        <w:tc>
          <w:p>
            <w:pPr>
              <w:pStyle w:val="Compact"/>
              <w:jc w:val="left"/>
            </w:pPr>
            <w:r>
              <w:t xml:space="preserve">6.50</w:t>
            </w:r>
          </w:p>
        </w:tc>
        <w:tc>
          <w:p>
            <w:pPr>
              <w:pStyle w:val="Compact"/>
              <w:jc w:val="left"/>
            </w:pPr>
            <w:r>
              <w:t xml:space="preserve">347.14</w:t>
            </w:r>
          </w:p>
        </w:tc>
        <w:tc>
          <w:p>
            <w:pPr>
              <w:pStyle w:val="Compact"/>
              <w:jc w:val="left"/>
            </w:pPr>
            <w:r>
              <w:t xml:space="preserve">351.67</w:t>
            </w:r>
          </w:p>
        </w:tc>
        <w:tc>
          <w:p>
            <w:pPr>
              <w:pStyle w:val="Compact"/>
              <w:jc w:val="left"/>
            </w:pPr>
            <w:r>
              <w:t xml:space="preserve">0.99</w:t>
            </w:r>
          </w:p>
        </w:tc>
      </w:tr>
      <w:tr>
        <w:tc>
          <w:p>
            <w:pPr>
              <w:pStyle w:val="Compact"/>
              <w:jc w:val="left"/>
            </w:pPr>
            <w:r>
              <w:t xml:space="preserve">den Hollander 1992</w:t>
            </w:r>
          </w:p>
        </w:tc>
        <w:tc>
          <w:p>
            <w:pPr>
              <w:pStyle w:val="Compact"/>
              <w:jc w:val="left"/>
            </w:pPr>
            <w:r>
              <w:t xml:space="preserve">0.83</w:t>
            </w:r>
          </w:p>
        </w:tc>
        <w:tc>
          <w:p>
            <w:pPr>
              <w:pStyle w:val="Compact"/>
              <w:jc w:val="left"/>
            </w:pPr>
            <w:r>
              <w:t xml:space="preserve">6.40</w:t>
            </w:r>
          </w:p>
        </w:tc>
        <w:tc>
          <w:p>
            <w:pPr>
              <w:pStyle w:val="Compact"/>
              <w:jc w:val="left"/>
            </w:pPr>
            <w:r>
              <w:t xml:space="preserve">352.31</w:t>
            </w:r>
          </w:p>
        </w:tc>
        <w:tc>
          <w:p>
            <w:pPr>
              <w:pStyle w:val="Compact"/>
              <w:jc w:val="left"/>
            </w:pPr>
            <w:r>
              <w:t xml:space="preserve">233.33</w:t>
            </w:r>
          </w:p>
        </w:tc>
        <w:tc>
          <w:p>
            <w:pPr>
              <w:pStyle w:val="Compact"/>
              <w:jc w:val="left"/>
            </w:pPr>
            <w:r>
              <w:t xml:space="preserve">1.51</w:t>
            </w:r>
          </w:p>
        </w:tc>
      </w:tr>
      <w:tr>
        <w:tc>
          <w:p>
            <w:pPr>
              <w:pStyle w:val="Compact"/>
              <w:jc w:val="left"/>
            </w:pPr>
            <w:r>
              <w:t xml:space="preserve">den Hollander 1992</w:t>
            </w:r>
          </w:p>
        </w:tc>
        <w:tc>
          <w:p>
            <w:pPr>
              <w:pStyle w:val="Compact"/>
              <w:jc w:val="left"/>
            </w:pPr>
            <w:r>
              <w:t xml:space="preserve">0.99</w:t>
            </w:r>
          </w:p>
        </w:tc>
        <w:tc>
          <w:p>
            <w:pPr>
              <w:pStyle w:val="Compact"/>
              <w:jc w:val="left"/>
            </w:pPr>
            <w:r>
              <w:t xml:space="preserve">8.50</w:t>
            </w:r>
          </w:p>
        </w:tc>
        <w:tc>
          <w:p>
            <w:pPr>
              <w:pStyle w:val="Compact"/>
              <w:jc w:val="left"/>
            </w:pPr>
            <w:r>
              <w:t xml:space="preserve">376.38</w:t>
            </w:r>
          </w:p>
        </w:tc>
        <w:tc>
          <w:p>
            <w:pPr>
              <w:pStyle w:val="Compact"/>
              <w:jc w:val="left"/>
            </w:pPr>
            <w:r>
              <w:t xml:space="preserve">330.00</w:t>
            </w:r>
          </w:p>
        </w:tc>
        <w:tc>
          <w:p>
            <w:pPr>
              <w:pStyle w:val="Compact"/>
              <w:jc w:val="left"/>
            </w:pPr>
            <w:r>
              <w:t xml:space="preserve">1.14</w:t>
            </w:r>
          </w:p>
        </w:tc>
      </w:tr>
      <w:tr>
        <w:tc>
          <w:p>
            <w:pPr>
              <w:pStyle w:val="Compact"/>
              <w:jc w:val="left"/>
            </w:pPr>
            <w:r>
              <w:t xml:space="preserve">den Hollander 1992</w:t>
            </w:r>
          </w:p>
        </w:tc>
        <w:tc>
          <w:p>
            <w:pPr>
              <w:pStyle w:val="Compact"/>
              <w:jc w:val="left"/>
            </w:pPr>
            <w:r>
              <w:t xml:space="preserve">0.30</w:t>
            </w:r>
          </w:p>
        </w:tc>
        <w:tc>
          <w:p>
            <w:pPr>
              <w:pStyle w:val="Compact"/>
              <w:jc w:val="left"/>
            </w:pPr>
            <w:r>
              <w:t xml:space="preserve">5.10</w:t>
            </w:r>
          </w:p>
        </w:tc>
        <w:tc>
          <w:p>
            <w:pPr>
              <w:pStyle w:val="Compact"/>
              <w:jc w:val="left"/>
            </w:pPr>
            <w:r>
              <w:t xml:space="preserve">469.36</w:t>
            </w:r>
          </w:p>
        </w:tc>
        <w:tc>
          <w:p>
            <w:pPr>
              <w:pStyle w:val="Compact"/>
              <w:jc w:val="left"/>
            </w:pPr>
            <w:r>
              <w:t xml:space="preserve">308.33</w:t>
            </w:r>
          </w:p>
        </w:tc>
        <w:tc>
          <w:p>
            <w:pPr>
              <w:pStyle w:val="Compact"/>
              <w:jc w:val="left"/>
            </w:pPr>
            <w:r>
              <w:t xml:space="preserve">1.52</w:t>
            </w:r>
          </w:p>
        </w:tc>
      </w:tr>
      <w:tr>
        <w:tc>
          <w:p>
            <w:pPr>
              <w:pStyle w:val="Compact"/>
              <w:jc w:val="left"/>
            </w:pPr>
            <w:r>
              <w:t xml:space="preserve">den Hollander 1992</w:t>
            </w:r>
          </w:p>
        </w:tc>
        <w:tc>
          <w:p>
            <w:pPr>
              <w:pStyle w:val="Compact"/>
              <w:jc w:val="left"/>
            </w:pPr>
            <w:r>
              <w:t xml:space="preserve">0.92</w:t>
            </w:r>
          </w:p>
        </w:tc>
        <w:tc>
          <w:p>
            <w:pPr>
              <w:pStyle w:val="Compact"/>
              <w:jc w:val="left"/>
            </w:pPr>
            <w:r>
              <w:t xml:space="preserve">6.15</w:t>
            </w:r>
          </w:p>
        </w:tc>
        <w:tc>
          <w:p>
            <w:pPr>
              <w:pStyle w:val="Compact"/>
              <w:jc w:val="left"/>
            </w:pPr>
            <w:r>
              <w:t xml:space="preserve">296.56</w:t>
            </w:r>
          </w:p>
        </w:tc>
        <w:tc>
          <w:p>
            <w:pPr>
              <w:pStyle w:val="Compact"/>
              <w:jc w:val="left"/>
            </w:pPr>
            <w:r>
              <w:t xml:space="preserve">265.00</w:t>
            </w:r>
          </w:p>
        </w:tc>
        <w:tc>
          <w:p>
            <w:pPr>
              <w:pStyle w:val="Compact"/>
              <w:jc w:val="left"/>
            </w:pPr>
            <w:r>
              <w:t xml:space="preserve">1.12</w:t>
            </w:r>
          </w:p>
        </w:tc>
      </w:tr>
      <w:tr>
        <w:tc>
          <w:p>
            <w:pPr>
              <w:pStyle w:val="Compact"/>
              <w:jc w:val="left"/>
            </w:pPr>
            <w:r>
              <w:t xml:space="preserve">den Hollander 1992</w:t>
            </w:r>
          </w:p>
        </w:tc>
        <w:tc>
          <w:p>
            <w:pPr>
              <w:pStyle w:val="Compact"/>
              <w:jc w:val="left"/>
            </w:pPr>
            <w:r>
              <w:t xml:space="preserve">1.30</w:t>
            </w:r>
          </w:p>
        </w:tc>
        <w:tc>
          <w:p>
            <w:pPr>
              <w:pStyle w:val="Compact"/>
              <w:jc w:val="left"/>
            </w:pPr>
            <w:r>
              <w:t xml:space="preserve">10.40</w:t>
            </w:r>
          </w:p>
        </w:tc>
        <w:tc>
          <w:p>
            <w:pPr>
              <w:pStyle w:val="Compact"/>
              <w:jc w:val="left"/>
            </w:pPr>
            <w:r>
              <w:t xml:space="preserve">353.86</w:t>
            </w:r>
          </w:p>
        </w:tc>
        <w:tc>
          <w:p>
            <w:pPr>
              <w:pStyle w:val="Compact"/>
              <w:jc w:val="left"/>
            </w:pPr>
            <w:r>
              <w:t xml:space="preserve">405.00</w:t>
            </w:r>
          </w:p>
        </w:tc>
        <w:tc>
          <w:p>
            <w:pPr>
              <w:pStyle w:val="Compact"/>
              <w:jc w:val="left"/>
            </w:pPr>
            <w:r>
              <w:t xml:space="preserve">0.87</w:t>
            </w:r>
          </w:p>
        </w:tc>
      </w:tr>
      <w:tr>
        <w:tc>
          <w:p>
            <w:pPr>
              <w:pStyle w:val="Compact"/>
              <w:jc w:val="left"/>
            </w:pPr>
            <w:r>
              <w:t xml:space="preserve">den Hollander 1992</w:t>
            </w:r>
          </w:p>
        </w:tc>
        <w:tc>
          <w:p>
            <w:pPr>
              <w:pStyle w:val="Compact"/>
              <w:jc w:val="left"/>
            </w:pPr>
            <w:r>
              <w:t xml:space="preserve">9.00</w:t>
            </w:r>
          </w:p>
        </w:tc>
        <w:tc>
          <w:p>
            <w:pPr>
              <w:pStyle w:val="Compact"/>
              <w:jc w:val="left"/>
            </w:pPr>
            <w:r>
              <w:t xml:space="preserve">25.60</w:t>
            </w:r>
          </w:p>
        </w:tc>
        <w:tc>
          <w:p>
            <w:pPr>
              <w:pStyle w:val="Compact"/>
              <w:jc w:val="left"/>
            </w:pPr>
            <w:r>
              <w:t xml:space="preserve">323.36</w:t>
            </w:r>
          </w:p>
        </w:tc>
        <w:tc>
          <w:p>
            <w:pPr>
              <w:pStyle w:val="Compact"/>
              <w:jc w:val="left"/>
            </w:pPr>
            <w:r>
              <w:t xml:space="preserve">188.33</w:t>
            </w:r>
          </w:p>
        </w:tc>
        <w:tc>
          <w:p>
            <w:pPr>
              <w:pStyle w:val="Compact"/>
              <w:jc w:val="left"/>
            </w:pPr>
            <w:r>
              <w:t xml:space="preserve">1.72</w:t>
            </w:r>
          </w:p>
        </w:tc>
      </w:tr>
      <w:tr>
        <w:tc>
          <w:p>
            <w:pPr>
              <w:pStyle w:val="Compact"/>
              <w:jc w:val="left"/>
            </w:pPr>
            <w:r>
              <w:t xml:space="preserve">den Hollander 1992</w:t>
            </w:r>
          </w:p>
        </w:tc>
        <w:tc>
          <w:p>
            <w:pPr>
              <w:pStyle w:val="Compact"/>
              <w:jc w:val="left"/>
            </w:pPr>
            <w:r>
              <w:t xml:space="preserve">3.50</w:t>
            </w:r>
          </w:p>
        </w:tc>
        <w:tc>
          <w:p>
            <w:pPr>
              <w:pStyle w:val="Compact"/>
              <w:jc w:val="left"/>
            </w:pPr>
            <w:r>
              <w:t xml:space="preserve">14.40</w:t>
            </w:r>
          </w:p>
        </w:tc>
        <w:tc>
          <w:p>
            <w:pPr>
              <w:pStyle w:val="Compact"/>
              <w:jc w:val="left"/>
            </w:pPr>
            <w:r>
              <w:t xml:space="preserve">314.59</w:t>
            </w:r>
          </w:p>
        </w:tc>
        <w:tc>
          <w:p>
            <w:pPr>
              <w:pStyle w:val="Compact"/>
              <w:jc w:val="left"/>
            </w:pPr>
            <w:r>
              <w:t xml:space="preserve">310.00</w:t>
            </w:r>
          </w:p>
        </w:tc>
        <w:tc>
          <w:p>
            <w:pPr>
              <w:pStyle w:val="Compact"/>
              <w:jc w:val="left"/>
            </w:pPr>
            <w:r>
              <w:t xml:space="preserve">1.01</w:t>
            </w:r>
          </w:p>
        </w:tc>
      </w:tr>
      <w:tr>
        <w:tc>
          <w:p>
            <w:pPr>
              <w:pStyle w:val="Compact"/>
              <w:jc w:val="left"/>
            </w:pPr>
            <w:r>
              <w:t xml:space="preserve">den Hollander 1992</w:t>
            </w:r>
          </w:p>
        </w:tc>
        <w:tc>
          <w:p>
            <w:pPr>
              <w:pStyle w:val="Compact"/>
              <w:jc w:val="left"/>
            </w:pPr>
            <w:r>
              <w:t xml:space="preserve">5.50</w:t>
            </w:r>
          </w:p>
        </w:tc>
        <w:tc>
          <w:p>
            <w:pPr>
              <w:pStyle w:val="Compact"/>
              <w:jc w:val="left"/>
            </w:pPr>
            <w:r>
              <w:t xml:space="preserve">19.50</w:t>
            </w:r>
          </w:p>
        </w:tc>
        <w:tc>
          <w:p>
            <w:pPr>
              <w:pStyle w:val="Compact"/>
              <w:jc w:val="left"/>
            </w:pPr>
            <w:r>
              <w:t xml:space="preserve">315.14</w:t>
            </w:r>
          </w:p>
        </w:tc>
        <w:tc>
          <w:p>
            <w:pPr>
              <w:pStyle w:val="Compact"/>
              <w:jc w:val="left"/>
            </w:pPr>
            <w:r>
              <w:t xml:space="preserve">345.00</w:t>
            </w:r>
          </w:p>
        </w:tc>
        <w:tc>
          <w:p>
            <w:pPr>
              <w:pStyle w:val="Compact"/>
              <w:jc w:val="left"/>
            </w:pPr>
            <w:r>
              <w:t xml:space="preserve">0.91</w:t>
            </w:r>
          </w:p>
        </w:tc>
      </w:tr>
      <w:tr>
        <w:tc>
          <w:p>
            <w:pPr>
              <w:pStyle w:val="Compact"/>
              <w:jc w:val="left"/>
            </w:pPr>
            <w:r>
              <w:t xml:space="preserve">den Hollander 1992</w:t>
            </w:r>
          </w:p>
        </w:tc>
        <w:tc>
          <w:p>
            <w:pPr>
              <w:pStyle w:val="Compact"/>
              <w:jc w:val="left"/>
            </w:pPr>
            <w:r>
              <w:t xml:space="preserve">3.50</w:t>
            </w:r>
          </w:p>
        </w:tc>
        <w:tc>
          <w:p>
            <w:pPr>
              <w:pStyle w:val="Compact"/>
              <w:jc w:val="left"/>
            </w:pPr>
            <w:r>
              <w:t xml:space="preserve">18.50</w:t>
            </w:r>
          </w:p>
        </w:tc>
        <w:tc>
          <w:p>
            <w:pPr>
              <w:pStyle w:val="Compact"/>
              <w:jc w:val="left"/>
            </w:pPr>
            <w:r>
              <w:t xml:space="preserve">341.38</w:t>
            </w:r>
          </w:p>
        </w:tc>
        <w:tc>
          <w:p>
            <w:pPr>
              <w:pStyle w:val="Compact"/>
              <w:jc w:val="left"/>
            </w:pPr>
            <w:r>
              <w:t xml:space="preserve">378.33</w:t>
            </w:r>
          </w:p>
        </w:tc>
        <w:tc>
          <w:p>
            <w:pPr>
              <w:pStyle w:val="Compact"/>
              <w:jc w:val="left"/>
            </w:pPr>
            <w:r>
              <w:t xml:space="preserve">0.90</w:t>
            </w:r>
          </w:p>
        </w:tc>
      </w:tr>
      <w:tr>
        <w:tc>
          <w:p>
            <w:pPr>
              <w:pStyle w:val="Compact"/>
              <w:jc w:val="left"/>
            </w:pPr>
            <w:r>
              <w:t xml:space="preserve">Meistelman 1987</w:t>
            </w:r>
          </w:p>
        </w:tc>
        <w:tc>
          <w:p>
            <w:pPr>
              <w:pStyle w:val="Compact"/>
              <w:jc w:val="left"/>
            </w:pPr>
            <w:r>
              <w:t xml:space="preserve">4.70</w:t>
            </w:r>
          </w:p>
        </w:tc>
        <w:tc>
          <w:p>
            <w:pPr>
              <w:pStyle w:val="Compact"/>
              <w:jc w:val="left"/>
            </w:pPr>
            <w:r>
              <w:t xml:space="preserve">20.00</w:t>
            </w:r>
          </w:p>
        </w:tc>
        <w:tc>
          <w:p>
            <w:pPr>
              <w:pStyle w:val="Compact"/>
              <w:jc w:val="left"/>
            </w:pPr>
            <w:r>
              <w:t xml:space="preserve">68.19</w:t>
            </w:r>
          </w:p>
        </w:tc>
        <w:tc>
          <w:p>
            <w:pPr>
              <w:pStyle w:val="Compact"/>
              <w:jc w:val="left"/>
            </w:pPr>
            <w:r>
              <w:t xml:space="preserve">98.04</w:t>
            </w:r>
          </w:p>
        </w:tc>
        <w:tc>
          <w:p>
            <w:pPr>
              <w:pStyle w:val="Compact"/>
              <w:jc w:val="left"/>
            </w:pPr>
            <w:r>
              <w:t xml:space="preserve">0.70</w:t>
            </w:r>
          </w:p>
        </w:tc>
      </w:tr>
      <w:tr>
        <w:tc>
          <w:p>
            <w:pPr>
              <w:pStyle w:val="Compact"/>
              <w:jc w:val="left"/>
            </w:pPr>
            <w:r>
              <w:t xml:space="preserve">Meistelman 1987</w:t>
            </w:r>
          </w:p>
        </w:tc>
        <w:tc>
          <w:p>
            <w:pPr>
              <w:pStyle w:val="Compact"/>
              <w:jc w:val="left"/>
            </w:pPr>
            <w:r>
              <w:t xml:space="preserve">5.50</w:t>
            </w:r>
          </w:p>
        </w:tc>
        <w:tc>
          <w:p>
            <w:pPr>
              <w:pStyle w:val="Compact"/>
              <w:jc w:val="left"/>
            </w:pPr>
            <w:r>
              <w:t xml:space="preserve">20.00</w:t>
            </w:r>
          </w:p>
        </w:tc>
        <w:tc>
          <w:p>
            <w:pPr>
              <w:pStyle w:val="Compact"/>
              <w:jc w:val="left"/>
            </w:pPr>
            <w:r>
              <w:t xml:space="preserve">63.19</w:t>
            </w:r>
          </w:p>
        </w:tc>
        <w:tc>
          <w:p>
            <w:pPr>
              <w:pStyle w:val="Compact"/>
              <w:jc w:val="left"/>
            </w:pPr>
            <w:r>
              <w:t xml:space="preserve">56.50</w:t>
            </w:r>
          </w:p>
        </w:tc>
        <w:tc>
          <w:p>
            <w:pPr>
              <w:pStyle w:val="Compact"/>
              <w:jc w:val="left"/>
            </w:pPr>
            <w:r>
              <w:t xml:space="preserve">1.12</w:t>
            </w:r>
          </w:p>
        </w:tc>
      </w:tr>
      <w:tr>
        <w:tc>
          <w:p>
            <w:pPr>
              <w:pStyle w:val="Compact"/>
              <w:jc w:val="left"/>
            </w:pPr>
            <w:r>
              <w:t xml:space="preserve">Meistelman 1987</w:t>
            </w:r>
          </w:p>
        </w:tc>
        <w:tc>
          <w:p>
            <w:pPr>
              <w:pStyle w:val="Compact"/>
              <w:jc w:val="left"/>
            </w:pPr>
            <w:r>
              <w:t xml:space="preserve">7.70</w:t>
            </w:r>
          </w:p>
        </w:tc>
        <w:tc>
          <w:p>
            <w:pPr>
              <w:pStyle w:val="Compact"/>
              <w:jc w:val="left"/>
            </w:pPr>
            <w:r>
              <w:t xml:space="preserve">23.00</w:t>
            </w:r>
          </w:p>
        </w:tc>
        <w:tc>
          <w:p>
            <w:pPr>
              <w:pStyle w:val="Compact"/>
              <w:jc w:val="left"/>
            </w:pPr>
            <w:r>
              <w:t xml:space="preserve">62.90</w:t>
            </w:r>
          </w:p>
        </w:tc>
        <w:tc>
          <w:p>
            <w:pPr>
              <w:pStyle w:val="Compact"/>
              <w:jc w:val="left"/>
            </w:pPr>
            <w:r>
              <w:t xml:space="preserve">40.16</w:t>
            </w:r>
          </w:p>
        </w:tc>
        <w:tc>
          <w:p>
            <w:pPr>
              <w:pStyle w:val="Compact"/>
              <w:jc w:val="left"/>
            </w:pPr>
            <w:r>
              <w:t xml:space="preserve">1.57</w:t>
            </w:r>
          </w:p>
        </w:tc>
      </w:tr>
      <w:tr>
        <w:tc>
          <w:p>
            <w:pPr>
              <w:pStyle w:val="Compact"/>
              <w:jc w:val="left"/>
            </w:pPr>
            <w:r>
              <w:t xml:space="preserve">Meistelman 1987</w:t>
            </w:r>
          </w:p>
        </w:tc>
        <w:tc>
          <w:p>
            <w:pPr>
              <w:pStyle w:val="Compact"/>
              <w:jc w:val="left"/>
            </w:pPr>
            <w:r>
              <w:t xml:space="preserve">4.50</w:t>
            </w:r>
          </w:p>
        </w:tc>
        <w:tc>
          <w:p>
            <w:pPr>
              <w:pStyle w:val="Compact"/>
              <w:jc w:val="left"/>
            </w:pPr>
            <w:r>
              <w:t xml:space="preserve">14.00</w:t>
            </w:r>
          </w:p>
        </w:tc>
        <w:tc>
          <w:p>
            <w:pPr>
              <w:pStyle w:val="Compact"/>
              <w:jc w:val="left"/>
            </w:pPr>
            <w:r>
              <w:t xml:space="preserve">54.21</w:t>
            </w:r>
          </w:p>
        </w:tc>
        <w:tc>
          <w:p>
            <w:pPr>
              <w:pStyle w:val="Compact"/>
              <w:jc w:val="left"/>
            </w:pPr>
            <w:r>
              <w:t xml:space="preserve">72.46</w:t>
            </w:r>
          </w:p>
        </w:tc>
        <w:tc>
          <w:p>
            <w:pPr>
              <w:pStyle w:val="Compact"/>
              <w:jc w:val="left"/>
            </w:pPr>
            <w:r>
              <w:t xml:space="preserve">0.75</w:t>
            </w:r>
          </w:p>
        </w:tc>
      </w:tr>
      <w:tr>
        <w:tc>
          <w:p>
            <w:pPr>
              <w:pStyle w:val="Compact"/>
              <w:jc w:val="left"/>
            </w:pPr>
            <w:r>
              <w:t xml:space="preserve">Meistelman 1987</w:t>
            </w:r>
          </w:p>
        </w:tc>
        <w:tc>
          <w:p>
            <w:pPr>
              <w:pStyle w:val="Compact"/>
              <w:jc w:val="left"/>
            </w:pPr>
            <w:r>
              <w:t xml:space="preserve">4.80</w:t>
            </w:r>
          </w:p>
        </w:tc>
        <w:tc>
          <w:p>
            <w:pPr>
              <w:pStyle w:val="Compact"/>
              <w:jc w:val="left"/>
            </w:pPr>
            <w:r>
              <w:t xml:space="preserve">24.00</w:t>
            </w:r>
          </w:p>
        </w:tc>
        <w:tc>
          <w:p>
            <w:pPr>
              <w:pStyle w:val="Compact"/>
              <w:jc w:val="left"/>
            </w:pPr>
            <w:r>
              <w:t xml:space="preserve">80.61</w:t>
            </w:r>
          </w:p>
        </w:tc>
        <w:tc>
          <w:p>
            <w:pPr>
              <w:pStyle w:val="Compact"/>
              <w:jc w:val="left"/>
            </w:pPr>
            <w:r>
              <w:t xml:space="preserve">90.09</w:t>
            </w:r>
          </w:p>
        </w:tc>
        <w:tc>
          <w:p>
            <w:pPr>
              <w:pStyle w:val="Compact"/>
              <w:jc w:val="left"/>
            </w:pPr>
            <w:r>
              <w:t xml:space="preserve">0.89</w:t>
            </w:r>
          </w:p>
        </w:tc>
      </w:tr>
      <w:tr>
        <w:tc>
          <w:p>
            <w:pPr>
              <w:pStyle w:val="Compact"/>
              <w:jc w:val="left"/>
            </w:pPr>
            <w:r>
              <w:t xml:space="preserve">Meistelman 1987</w:t>
            </w:r>
          </w:p>
        </w:tc>
        <w:tc>
          <w:p>
            <w:pPr>
              <w:pStyle w:val="Compact"/>
              <w:jc w:val="left"/>
            </w:pPr>
            <w:r>
              <w:t xml:space="preserve">4.50</w:t>
            </w:r>
          </w:p>
        </w:tc>
        <w:tc>
          <w:p>
            <w:pPr>
              <w:pStyle w:val="Compact"/>
              <w:jc w:val="left"/>
            </w:pPr>
            <w:r>
              <w:t xml:space="preserve">20.00</w:t>
            </w:r>
          </w:p>
        </w:tc>
        <w:tc>
          <w:p>
            <w:pPr>
              <w:pStyle w:val="Compact"/>
              <w:jc w:val="left"/>
            </w:pPr>
            <w:r>
              <w:t xml:space="preserve">69.91</w:t>
            </w:r>
          </w:p>
        </w:tc>
        <w:tc>
          <w:p>
            <w:pPr>
              <w:pStyle w:val="Compact"/>
              <w:jc w:val="left"/>
            </w:pPr>
            <w:r>
              <w:t xml:space="preserve">69.44</w:t>
            </w:r>
          </w:p>
        </w:tc>
        <w:tc>
          <w:p>
            <w:pPr>
              <w:pStyle w:val="Compact"/>
              <w:jc w:val="left"/>
            </w:pPr>
            <w:r>
              <w:t xml:space="preserve">1.01</w:t>
            </w:r>
          </w:p>
        </w:tc>
      </w:tr>
      <w:tr>
        <w:tc>
          <w:p>
            <w:pPr>
              <w:pStyle w:val="Compact"/>
              <w:jc w:val="left"/>
            </w:pPr>
            <w:r>
              <w:t xml:space="preserve">Meistelman 1987</w:t>
            </w:r>
          </w:p>
        </w:tc>
        <w:tc>
          <w:p>
            <w:pPr>
              <w:pStyle w:val="Compact"/>
              <w:jc w:val="left"/>
            </w:pPr>
            <w:r>
              <w:t xml:space="preserve">6.20</w:t>
            </w:r>
          </w:p>
        </w:tc>
        <w:tc>
          <w:p>
            <w:pPr>
              <w:pStyle w:val="Compact"/>
              <w:jc w:val="left"/>
            </w:pPr>
            <w:r>
              <w:t xml:space="preserve">23.00</w:t>
            </w:r>
          </w:p>
        </w:tc>
        <w:tc>
          <w:p>
            <w:pPr>
              <w:pStyle w:val="Compact"/>
              <w:jc w:val="left"/>
            </w:pPr>
            <w:r>
              <w:t xml:space="preserve">68.46</w:t>
            </w:r>
          </w:p>
        </w:tc>
        <w:tc>
          <w:p>
            <w:pPr>
              <w:pStyle w:val="Compact"/>
              <w:jc w:val="left"/>
            </w:pPr>
            <w:r>
              <w:t xml:space="preserve">75.76</w:t>
            </w:r>
          </w:p>
        </w:tc>
        <w:tc>
          <w:p>
            <w:pPr>
              <w:pStyle w:val="Compact"/>
              <w:jc w:val="left"/>
            </w:pPr>
            <w:r>
              <w:t xml:space="preserve">0.90</w:t>
            </w:r>
          </w:p>
        </w:tc>
      </w:tr>
      <w:tr>
        <w:tc>
          <w:p>
            <w:pPr>
              <w:pStyle w:val="Compact"/>
              <w:jc w:val="left"/>
            </w:pPr>
            <w:r>
              <w:t xml:space="preserve">Meistelman 1987</w:t>
            </w:r>
          </w:p>
        </w:tc>
        <w:tc>
          <w:p>
            <w:pPr>
              <w:pStyle w:val="Compact"/>
              <w:jc w:val="left"/>
            </w:pPr>
            <w:r>
              <w:t xml:space="preserve">4.90</w:t>
            </w:r>
          </w:p>
        </w:tc>
        <w:tc>
          <w:p>
            <w:pPr>
              <w:pStyle w:val="Compact"/>
              <w:jc w:val="left"/>
            </w:pPr>
            <w:r>
              <w:t xml:space="preserve">22.00</w:t>
            </w:r>
          </w:p>
        </w:tc>
        <w:tc>
          <w:p>
            <w:pPr>
              <w:pStyle w:val="Compact"/>
              <w:jc w:val="left"/>
            </w:pPr>
            <w:r>
              <w:t xml:space="preserve">72.99</w:t>
            </w:r>
          </w:p>
        </w:tc>
        <w:tc>
          <w:p>
            <w:pPr>
              <w:pStyle w:val="Compact"/>
              <w:jc w:val="left"/>
            </w:pPr>
            <w:r>
              <w:t xml:space="preserve">123.46</w:t>
            </w:r>
          </w:p>
        </w:tc>
        <w:tc>
          <w:p>
            <w:pPr>
              <w:pStyle w:val="Compact"/>
              <w:jc w:val="left"/>
            </w:pPr>
            <w:r>
              <w:t xml:space="preserve">0.59</w:t>
            </w:r>
          </w:p>
        </w:tc>
      </w:tr>
    </w:tbl>
    <w:p>
      <w:pPr>
        <w:pStyle w:val="Textkrper"/>
      </w:pPr>
      <w:r>
        <w:t xml:space="preserve"> </w:t>
      </w:r>
    </w:p>
    <w:p>
      <w:pPr>
        <w:pStyle w:val="Textkrper"/>
      </w:pPr>
    </w:p>
    <w:p>
      <w:pPr>
        <w:pStyle w:val="berschrift2"/>
      </w:pPr>
      <w:bookmarkStart w:id="27" w:name="sufentanil-pk-ratio-tables-and-figures"/>
      <w:r>
        <w:t xml:space="preserve">Sufentanil PK Ratio tables and Figures</w:t>
      </w:r>
      <w:bookmarkEnd w:id="27"/>
    </w:p>
    <w:p>
      <w:pPr>
        <w:pStyle w:val="berschrift3"/>
      </w:pPr>
      <w:bookmarkStart w:id="28" w:name="sufentanil-model"/>
      <w:r>
        <w:t xml:space="preserve">Sufentanil model</w:t>
      </w:r>
      <w:bookmarkEnd w:id="28"/>
    </w:p>
    <w:p>
      <w:pPr>
        <w:pStyle w:val="FirstParagraph"/>
      </w:pPr>
      <w:r>
        <w:t xml:space="preserve">Sufentanil PBPK predictions in children were evaluated using pharmacokinetic (PK) data reported in the following studies:</w:t>
      </w:r>
    </w:p>
    <w:p>
      <w:pPr>
        <w:numPr>
          <w:ilvl w:val="0"/>
          <w:numId w:val="1003"/>
        </w:numPr>
        <w:pStyle w:val="Compact"/>
      </w:pPr>
      <w:r>
        <w:t xml:space="preserve">Davis PJ, Cook DR, Stiller RL, Davin-Robinson KA. Pharmacodynamics and pharmacokinetics of high-dose sufentanil in infants and children undergoing cardiac surgery. Anesth Analg. 1987 Mar;66(3):203-8.[</w:t>
      </w:r>
      <w:hyperlink w:anchor="X0d8edef9a422b17afbdda51c54a5683913be2b0">
        <w:r>
          <w:rPr>
            <w:rStyle w:val="Hyperlink"/>
          </w:rPr>
          <w:t xml:space="preserve">Davis 1987</w:t>
        </w:r>
      </w:hyperlink>
      <w:r>
        <w:t xml:space="preserve">]</w:t>
      </w:r>
    </w:p>
    <w:p>
      <w:pPr>
        <w:numPr>
          <w:ilvl w:val="0"/>
          <w:numId w:val="1003"/>
        </w:numPr>
        <w:pStyle w:val="Compact"/>
      </w:pPr>
      <w:r>
        <w:t xml:space="preserve">Guay J, Gaudreault P, Tang A, Goulet B, Varin F. Pharmacokinetics of sufentanil in normal children. Can J Anaesth. 1992 Jan;39(1):14-20.[</w:t>
      </w:r>
      <w:hyperlink w:anchor="X0d8edef9a422b17afbdda51c54a5683913be2b0">
        <w:r>
          <w:rPr>
            <w:rStyle w:val="Hyperlink"/>
          </w:rPr>
          <w:t xml:space="preserve">Guay 1992</w:t>
        </w:r>
      </w:hyperlink>
      <w:r>
        <w:t xml:space="preserve">]</w:t>
      </w:r>
    </w:p>
    <w:p>
      <w:pPr>
        <w:pStyle w:val="FirstParagraph"/>
      </w:pPr>
      <w:r>
        <w:t xml:space="preserve">The pediatric PBPK model predicted the clearance values of sufentanil observed in pediatric studies reasonably across all available age groups, ranging from 5 months to 8.75 years old. The ratios of mean predicted over observed clearance values are illustrated in the table below as well as in the predicted versus observed clearance ratio plot, showing that most predictions in children were within 2-fold error of observed values.</w:t>
      </w:r>
    </w:p>
    <w:p>
      <w:pPr>
        <w:pStyle w:val="Textkrper"/>
      </w:pPr>
    </w:p>
    <w:p>
      <w:r>
        <w:br w:type="page"/>
      </w:r>
    </w:p>
    <w:p>
      <w:pPr>
        <w:pStyle w:val="CaptionedFigure"/>
      </w:pPr>
      <w:r>
        <w:drawing>
          <wp:inline>
            <wp:extent cx="5969000" cy="4087571"/>
            <wp:effectExtent b="0" l="0" r="0" t="0"/>
            <wp:docPr descr="Figure 2-2: Overall predictivity of the sufentanil PBPK model. Open circles represent mean ratios of PBPK predicted AUC over observed AUC of sufentanil in children 5 months to 8.75 years old. Blue dashed lines and red dotted lines represent the 1.5-fold and 2-fold error, respectively." title="" id="1" name="Picture"/>
            <a:graphic>
              <a:graphicData uri="http://schemas.openxmlformats.org/drawingml/2006/picture">
                <pic:pic>
                  <pic:nvPicPr>
                    <pic:cNvPr descr="images/002_section_3/003_section_31/5_pk_ratio_plot_AUC.png" id="0" name="Picture"/>
                    <pic:cNvPicPr>
                      <a:picLocks noChangeArrowheads="1" noChangeAspect="1"/>
                    </pic:cNvPicPr>
                  </pic:nvPicPr>
                  <pic:blipFill>
                    <a:blip r:embed="rId29"/>
                    <a:stretch>
                      <a:fillRect/>
                    </a:stretch>
                  </pic:blipFill>
                  <pic:spPr bwMode="auto">
                    <a:xfrm>
                      <a:off x="0" y="0"/>
                      <a:ext cx="5969000" cy="4087571"/>
                    </a:xfrm>
                    <a:prstGeom prst="rect">
                      <a:avLst/>
                    </a:prstGeom>
                    <a:noFill/>
                    <a:ln w="9525">
                      <a:noFill/>
                      <a:headEnd/>
                      <a:tailEnd/>
                    </a:ln>
                  </pic:spPr>
                </pic:pic>
              </a:graphicData>
            </a:graphic>
          </wp:inline>
        </w:drawing>
      </w:r>
    </w:p>
    <w:p>
      <w:pPr>
        <w:pStyle w:val="ImageCaption"/>
      </w:pPr>
      <w:r>
        <w:rPr>
          <w:b/>
        </w:rPr>
        <w:t xml:space="preserve">Figure 2-2: Overall predictivity of the sufentanil PBPK model. Open circles represent mean ratios of PBPK predicted AUC over observed AUC of sufentanil in children 5 months to 8.75 years old. Blue dashed lines and red dotted lines represent the 1.5-fold and 2-fold error, respectively.</w:t>
      </w:r>
    </w:p>
    <w:p>
      <w:pPr>
        <w:pStyle w:val="Textkrper"/>
      </w:pPr>
      <w:r>
        <w:t xml:space="preserve"> </w:t>
      </w:r>
    </w:p>
    <w:p>
      <w:pPr>
        <w:pStyle w:val="Textkrper"/>
      </w:pPr>
    </w:p>
    <w:p>
      <w:r>
        <w:br w:type="page"/>
      </w:r>
    </w:p>
    <w:p>
      <w:pPr>
        <w:pStyle w:val="Textkrper"/>
      </w:pPr>
      <w:r>
        <w:rPr>
          <w:b/>
        </w:rPr>
        <w:t xml:space="preserve">Table 2-4: Measure of Overall predictivity of the sufentanil PBPK model. Open circles represent mean ratios of PBPK predicted AUC over observed AUC of sufentanil in children 5 months to 8.75 years old. Blue dashed lines and red dotted lines represent the 1.5-fold and 2-fold error, respectively.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Ratio [%]</w:t>
            </w:r>
          </w:p>
        </w:tc>
      </w:tr>
      <w:tr>
        <w:tc>
          <w:p>
            <w:pPr>
              <w:pStyle w:val="Compact"/>
              <w:jc w:val="left"/>
            </w:pPr>
            <w:r>
              <w:t xml:space="preserve">Points total</w:t>
            </w:r>
          </w:p>
        </w:tc>
        <w:tc>
          <w:p>
            <w:pPr>
              <w:pStyle w:val="Compact"/>
              <w:jc w:val="left"/>
            </w:pPr>
            <w:r>
              <w:t xml:space="preserve">21</w:t>
            </w:r>
          </w:p>
        </w:tc>
        <w:tc>
          <w:p>
            <w:pPr>
              <w:pStyle w:val="Compact"/>
              <w:jc w:val="left"/>
            </w:pPr>
            <w:r>
              <w:t xml:space="preserve">-</w:t>
            </w:r>
          </w:p>
        </w:tc>
      </w:tr>
      <w:tr>
        <w:tc>
          <w:p>
            <w:pPr>
              <w:pStyle w:val="Compact"/>
              <w:jc w:val="left"/>
            </w:pPr>
            <w:r>
              <w:t xml:space="preserve">Points within 1.5 fold</w:t>
            </w:r>
          </w:p>
        </w:tc>
        <w:tc>
          <w:p>
            <w:pPr>
              <w:pStyle w:val="Compact"/>
              <w:jc w:val="left"/>
            </w:pPr>
            <w:r>
              <w:t xml:space="preserve">16</w:t>
            </w:r>
          </w:p>
        </w:tc>
        <w:tc>
          <w:p>
            <w:pPr>
              <w:pStyle w:val="Compact"/>
              <w:jc w:val="left"/>
            </w:pPr>
            <w:r>
              <w:t xml:space="preserve">76.19</w:t>
            </w:r>
          </w:p>
        </w:tc>
      </w:tr>
      <w:tr>
        <w:tc>
          <w:p>
            <w:pPr>
              <w:pStyle w:val="Compact"/>
              <w:jc w:val="left"/>
            </w:pPr>
            <w:r>
              <w:t xml:space="preserve">Points within 2 fold</w:t>
            </w:r>
          </w:p>
        </w:tc>
        <w:tc>
          <w:p>
            <w:pPr>
              <w:pStyle w:val="Compact"/>
              <w:jc w:val="left"/>
            </w:pPr>
            <w:r>
              <w:t xml:space="preserve">20</w:t>
            </w:r>
          </w:p>
        </w:tc>
        <w:tc>
          <w:p>
            <w:pPr>
              <w:pStyle w:val="Compact"/>
              <w:jc w:val="left"/>
            </w:pPr>
            <w:r>
              <w:t xml:space="preserve">95.24</w:t>
            </w:r>
          </w:p>
        </w:tc>
      </w:tr>
    </w:tbl>
    <w:p>
      <w:pPr>
        <w:pStyle w:val="Textkrper"/>
      </w:pPr>
      <w:r>
        <w:t xml:space="preserve"> </w:t>
      </w:r>
    </w:p>
    <w:p>
      <w:pPr>
        <w:pStyle w:val="Textkrper"/>
      </w:pPr>
    </w:p>
    <w:p>
      <w:r>
        <w:br w:type="page"/>
      </w:r>
    </w:p>
    <w:p>
      <w:pPr>
        <w:pStyle w:val="Textkrper"/>
      </w:pPr>
      <w:r>
        <w:rPr>
          <w:b/>
        </w:rPr>
        <w:t xml:space="preserve">Table 2-5: GMFE for Overall predictivity of the sufentanil PBPK model. Open circles represent mean ratios of PBPK predicted AUC over observed AUC of sufentanil in children 5 months to 8.75 years old. Blue dashed lines and red dotted lines represent the 1.5-fold and 2-fold error, respectively.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GMFE</w:t>
            </w:r>
          </w:p>
        </w:tc>
      </w:tr>
      <w:tr>
        <w:tc>
          <w:p>
            <w:pPr>
              <w:pStyle w:val="Compact"/>
              <w:jc w:val="left"/>
            </w:pPr>
            <w:r>
              <w:t xml:space="preserve">AUC</w:t>
            </w:r>
          </w:p>
        </w:tc>
        <w:tc>
          <w:p>
            <w:pPr>
              <w:pStyle w:val="Compact"/>
              <w:jc w:val="left"/>
            </w:pPr>
            <w:r>
              <w:t xml:space="preserve">1.25</w:t>
            </w:r>
          </w:p>
        </w:tc>
      </w:tr>
    </w:tbl>
    <w:p>
      <w:pPr>
        <w:pStyle w:val="Textkrper"/>
      </w:pPr>
      <w:r>
        <w:t xml:space="preserve"> </w:t>
      </w:r>
    </w:p>
    <w:p>
      <w:pPr>
        <w:pStyle w:val="Textkrper"/>
      </w:pPr>
    </w:p>
    <w:p>
      <w:r>
        <w:br w:type="page"/>
      </w:r>
    </w:p>
    <w:p>
      <w:pPr>
        <w:pStyle w:val="Textkrper"/>
      </w:pPr>
      <w:r>
        <w:rPr>
          <w:b/>
        </w:rPr>
        <w:t xml:space="preserve">Table 2-6: Overall predictivity of the sufentanil PBPK model. Open circles represent mean ratios of PBPK predicted AUC over observed AUC of sufentanil in children 5 months to 8.75 years old. Blue dashed lines and red dotted lines represent the 1.5-fold and 2-fold error, respectively.</w:t>
      </w:r>
    </w:p>
    <w:tbl>
      <w:tblPr>
        <w:tblStyle w:val="Table"/>
        <w:tblW w:type="pct" w:w="5000.0"/>
        <w:tblLook w:firstRow="1"/>
      </w:tblPr>
      <w:tblGrid>
        <w:gridCol w:w="814"/>
        <w:gridCol w:w="1110"/>
        <w:gridCol w:w="1258"/>
        <w:gridCol w:w="1702"/>
        <w:gridCol w:w="1628"/>
        <w:gridCol w:w="1406"/>
      </w:tblGrid>
      <w:tr>
        <w:trPr>
          <w:cnfStyle w:firstRow="1"/>
        </w:trPr>
        <w:tc>
          <w:tcPr>
            <w:tcBorders>
              <w:bottom w:val="single"/>
            </w:tcBorders>
            <w:vAlign w:val="bottom"/>
          </w:tcPr>
          <w:p>
            <w:pPr>
              <w:pStyle w:val="Compact"/>
              <w:jc w:val="left"/>
            </w:pPr>
            <w:r>
              <w:t xml:space="preserve">Study ID</w:t>
            </w:r>
          </w:p>
        </w:tc>
        <w:tc>
          <w:tcPr>
            <w:tcBorders>
              <w:bottom w:val="single"/>
            </w:tcBorders>
            <w:vAlign w:val="bottom"/>
          </w:tcPr>
          <w:p>
            <w:pPr>
              <w:pStyle w:val="Compact"/>
              <w:jc w:val="left"/>
            </w:pPr>
            <w:r>
              <w:t xml:space="preserve">Age [month(s)]</w:t>
            </w:r>
          </w:p>
        </w:tc>
        <w:tc>
          <w:tcPr>
            <w:tcBorders>
              <w:bottom w:val="single"/>
            </w:tcBorders>
            <w:vAlign w:val="bottom"/>
          </w:tcPr>
          <w:p>
            <w:pPr>
              <w:pStyle w:val="Compact"/>
              <w:jc w:val="left"/>
            </w:pPr>
            <w:r>
              <w:t xml:space="preserve">Body Weight [kg]</w:t>
            </w:r>
          </w:p>
        </w:tc>
        <w:tc>
          <w:tcPr>
            <w:tcBorders>
              <w:bottom w:val="single"/>
            </w:tcBorders>
            <w:vAlign w:val="bottom"/>
          </w:tcPr>
          <w:p>
            <w:pPr>
              <w:pStyle w:val="Compact"/>
              <w:jc w:val="left"/>
            </w:pPr>
            <w:r>
              <w:t xml:space="preserve">Predicted AUC [µg*h/l]</w:t>
            </w:r>
          </w:p>
        </w:tc>
        <w:tc>
          <w:tcPr>
            <w:tcBorders>
              <w:bottom w:val="single"/>
            </w:tcBorders>
            <w:vAlign w:val="bottom"/>
          </w:tcPr>
          <w:p>
            <w:pPr>
              <w:pStyle w:val="Compact"/>
              <w:jc w:val="left"/>
            </w:pPr>
            <w:r>
              <w:t xml:space="preserve">Observed AUC [µg*h/l]</w:t>
            </w:r>
          </w:p>
        </w:tc>
        <w:tc>
          <w:tcPr>
            <w:tcBorders>
              <w:bottom w:val="single"/>
            </w:tcBorders>
            <w:vAlign w:val="bottom"/>
          </w:tcPr>
          <w:p>
            <w:pPr>
              <w:pStyle w:val="Compact"/>
              <w:jc w:val="left"/>
            </w:pPr>
            <w:r>
              <w:t xml:space="preserve">Pred/Obs AUC Ratio</w:t>
            </w:r>
          </w:p>
        </w:tc>
      </w:tr>
      <w:tr>
        <w:tc>
          <w:p>
            <w:pPr>
              <w:pStyle w:val="Compact"/>
              <w:jc w:val="left"/>
            </w:pPr>
            <w:r>
              <w:t xml:space="preserve">Davis 1987</w:t>
            </w:r>
          </w:p>
        </w:tc>
        <w:tc>
          <w:p>
            <w:pPr>
              <w:pStyle w:val="Compact"/>
              <w:jc w:val="left"/>
            </w:pPr>
            <w:r>
              <w:t xml:space="preserve">1.29</w:t>
            </w:r>
          </w:p>
        </w:tc>
        <w:tc>
          <w:p>
            <w:pPr>
              <w:pStyle w:val="Compact"/>
              <w:jc w:val="left"/>
            </w:pPr>
            <w:r>
              <w:t xml:space="preserve">8.90</w:t>
            </w:r>
          </w:p>
        </w:tc>
        <w:tc>
          <w:p>
            <w:pPr>
              <w:pStyle w:val="Compact"/>
              <w:jc w:val="left"/>
            </w:pPr>
            <w:r>
              <w:t xml:space="preserve">7.47</w:t>
            </w:r>
          </w:p>
        </w:tc>
        <w:tc>
          <w:p>
            <w:pPr>
              <w:pStyle w:val="Compact"/>
              <w:jc w:val="left"/>
            </w:pPr>
            <w:r>
              <w:t xml:space="preserve">13.81</w:t>
            </w:r>
          </w:p>
        </w:tc>
        <w:tc>
          <w:p>
            <w:pPr>
              <w:pStyle w:val="Compact"/>
              <w:jc w:val="left"/>
            </w:pPr>
            <w:r>
              <w:t xml:space="preserve">0.54</w:t>
            </w:r>
          </w:p>
        </w:tc>
      </w:tr>
      <w:tr>
        <w:tc>
          <w:p>
            <w:pPr>
              <w:pStyle w:val="Compact"/>
              <w:jc w:val="left"/>
            </w:pPr>
            <w:r>
              <w:t xml:space="preserve">Davis 1987</w:t>
            </w:r>
          </w:p>
        </w:tc>
        <w:tc>
          <w:p>
            <w:pPr>
              <w:pStyle w:val="Compact"/>
              <w:jc w:val="left"/>
            </w:pPr>
            <w:r>
              <w:t xml:space="preserve">0.43</w:t>
            </w:r>
          </w:p>
        </w:tc>
        <w:tc>
          <w:p>
            <w:pPr>
              <w:pStyle w:val="Compact"/>
              <w:jc w:val="left"/>
            </w:pPr>
            <w:r>
              <w:t xml:space="preserve">5.30</w:t>
            </w:r>
          </w:p>
        </w:tc>
        <w:tc>
          <w:p>
            <w:pPr>
              <w:pStyle w:val="Compact"/>
              <w:jc w:val="left"/>
            </w:pPr>
            <w:r>
              <w:t xml:space="preserve">9.35</w:t>
            </w:r>
          </w:p>
        </w:tc>
        <w:tc>
          <w:p>
            <w:pPr>
              <w:pStyle w:val="Compact"/>
              <w:jc w:val="left"/>
            </w:pPr>
            <w:r>
              <w:t xml:space="preserve">9.09</w:t>
            </w:r>
          </w:p>
        </w:tc>
        <w:tc>
          <w:p>
            <w:pPr>
              <w:pStyle w:val="Compact"/>
              <w:jc w:val="left"/>
            </w:pPr>
            <w:r>
              <w:t xml:space="preserve">1.03</w:t>
            </w:r>
          </w:p>
        </w:tc>
      </w:tr>
      <w:tr>
        <w:tc>
          <w:p>
            <w:pPr>
              <w:pStyle w:val="Compact"/>
              <w:jc w:val="left"/>
            </w:pPr>
            <w:r>
              <w:t xml:space="preserve">Guay 1991</w:t>
            </w:r>
          </w:p>
        </w:tc>
        <w:tc>
          <w:p>
            <w:pPr>
              <w:pStyle w:val="Compact"/>
              <w:jc w:val="left"/>
            </w:pPr>
            <w:r>
              <w:t xml:space="preserve">2.08</w:t>
            </w:r>
          </w:p>
        </w:tc>
        <w:tc>
          <w:p>
            <w:pPr>
              <w:pStyle w:val="Compact"/>
              <w:jc w:val="left"/>
            </w:pPr>
            <w:r>
              <w:t xml:space="preserve">12.10</w:t>
            </w:r>
          </w:p>
        </w:tc>
        <w:tc>
          <w:p>
            <w:pPr>
              <w:pStyle w:val="Compact"/>
              <w:jc w:val="left"/>
            </w:pPr>
            <w:r>
              <w:t xml:space="preserve">1.09</w:t>
            </w:r>
          </w:p>
        </w:tc>
        <w:tc>
          <w:p>
            <w:pPr>
              <w:pStyle w:val="Compact"/>
              <w:jc w:val="left"/>
            </w:pPr>
            <w:r>
              <w:t xml:space="preserve">1.81</w:t>
            </w:r>
          </w:p>
        </w:tc>
        <w:tc>
          <w:p>
            <w:pPr>
              <w:pStyle w:val="Compact"/>
              <w:jc w:val="left"/>
            </w:pPr>
            <w:r>
              <w:t xml:space="preserve">0.60</w:t>
            </w:r>
          </w:p>
        </w:tc>
      </w:tr>
      <w:tr>
        <w:tc>
          <w:p>
            <w:pPr>
              <w:pStyle w:val="Compact"/>
              <w:jc w:val="left"/>
            </w:pPr>
            <w:r>
              <w:t xml:space="preserve">Guay 1991</w:t>
            </w:r>
          </w:p>
        </w:tc>
        <w:tc>
          <w:p>
            <w:pPr>
              <w:pStyle w:val="Compact"/>
              <w:jc w:val="left"/>
            </w:pPr>
            <w:r>
              <w:t xml:space="preserve">2.58</w:t>
            </w:r>
          </w:p>
        </w:tc>
        <w:tc>
          <w:p>
            <w:pPr>
              <w:pStyle w:val="Compact"/>
              <w:jc w:val="left"/>
            </w:pPr>
            <w:r>
              <w:t xml:space="preserve">16.00</w:t>
            </w:r>
          </w:p>
        </w:tc>
        <w:tc>
          <w:p>
            <w:pPr>
              <w:pStyle w:val="Compact"/>
              <w:jc w:val="left"/>
            </w:pPr>
            <w:r>
              <w:t xml:space="preserve">0.66</w:t>
            </w:r>
          </w:p>
        </w:tc>
        <w:tc>
          <w:p>
            <w:pPr>
              <w:pStyle w:val="Compact"/>
              <w:jc w:val="left"/>
            </w:pPr>
            <w:r>
              <w:t xml:space="preserve">0.77</w:t>
            </w:r>
          </w:p>
        </w:tc>
        <w:tc>
          <w:p>
            <w:pPr>
              <w:pStyle w:val="Compact"/>
              <w:jc w:val="left"/>
            </w:pPr>
            <w:r>
              <w:t xml:space="preserve">0.86</w:t>
            </w:r>
          </w:p>
        </w:tc>
      </w:tr>
      <w:tr>
        <w:tc>
          <w:p>
            <w:pPr>
              <w:pStyle w:val="Compact"/>
              <w:jc w:val="left"/>
            </w:pPr>
            <w:r>
              <w:t xml:space="preserve">Guay 1991</w:t>
            </w:r>
          </w:p>
        </w:tc>
        <w:tc>
          <w:p>
            <w:pPr>
              <w:pStyle w:val="Compact"/>
              <w:jc w:val="left"/>
            </w:pPr>
            <w:r>
              <w:t xml:space="preserve">2.67</w:t>
            </w:r>
          </w:p>
        </w:tc>
        <w:tc>
          <w:p>
            <w:pPr>
              <w:pStyle w:val="Compact"/>
              <w:jc w:val="left"/>
            </w:pPr>
            <w:r>
              <w:t xml:space="preserve">11.30</w:t>
            </w:r>
          </w:p>
        </w:tc>
        <w:tc>
          <w:p>
            <w:pPr>
              <w:pStyle w:val="Compact"/>
              <w:jc w:val="left"/>
            </w:pPr>
            <w:r>
              <w:t xml:space="preserve">1.68</w:t>
            </w:r>
          </w:p>
        </w:tc>
        <w:tc>
          <w:p>
            <w:pPr>
              <w:pStyle w:val="Compact"/>
              <w:jc w:val="left"/>
            </w:pPr>
            <w:r>
              <w:t xml:space="preserve">1.49</w:t>
            </w:r>
          </w:p>
        </w:tc>
        <w:tc>
          <w:p>
            <w:pPr>
              <w:pStyle w:val="Compact"/>
              <w:jc w:val="left"/>
            </w:pPr>
            <w:r>
              <w:t xml:space="preserve">1.13</w:t>
            </w:r>
          </w:p>
        </w:tc>
      </w:tr>
      <w:tr>
        <w:tc>
          <w:p>
            <w:pPr>
              <w:pStyle w:val="Compact"/>
              <w:jc w:val="left"/>
            </w:pPr>
            <w:r>
              <w:t xml:space="preserve">Guay 1991</w:t>
            </w:r>
          </w:p>
        </w:tc>
        <w:tc>
          <w:p>
            <w:pPr>
              <w:pStyle w:val="Compact"/>
              <w:jc w:val="left"/>
            </w:pPr>
            <w:r>
              <w:t xml:space="preserve">3.25</w:t>
            </w:r>
          </w:p>
        </w:tc>
        <w:tc>
          <w:p>
            <w:pPr>
              <w:pStyle w:val="Compact"/>
              <w:jc w:val="left"/>
            </w:pPr>
            <w:r>
              <w:t xml:space="preserve">16.00</w:t>
            </w:r>
          </w:p>
        </w:tc>
        <w:tc>
          <w:p>
            <w:pPr>
              <w:pStyle w:val="Compact"/>
              <w:jc w:val="left"/>
            </w:pPr>
            <w:r>
              <w:t xml:space="preserve">1.45</w:t>
            </w:r>
          </w:p>
        </w:tc>
        <w:tc>
          <w:p>
            <w:pPr>
              <w:pStyle w:val="Compact"/>
              <w:jc w:val="left"/>
            </w:pPr>
            <w:r>
              <w:t xml:space="preserve">1.38</w:t>
            </w:r>
          </w:p>
        </w:tc>
        <w:tc>
          <w:p>
            <w:pPr>
              <w:pStyle w:val="Compact"/>
              <w:jc w:val="left"/>
            </w:pPr>
            <w:r>
              <w:t xml:space="preserve">1.05</w:t>
            </w:r>
          </w:p>
        </w:tc>
      </w:tr>
      <w:tr>
        <w:tc>
          <w:p>
            <w:pPr>
              <w:pStyle w:val="Compact"/>
              <w:jc w:val="left"/>
            </w:pPr>
            <w:r>
              <w:t xml:space="preserve">Guay 1991</w:t>
            </w:r>
          </w:p>
        </w:tc>
        <w:tc>
          <w:p>
            <w:pPr>
              <w:pStyle w:val="Compact"/>
              <w:jc w:val="left"/>
            </w:pPr>
            <w:r>
              <w:t xml:space="preserve">3.83</w:t>
            </w:r>
          </w:p>
        </w:tc>
        <w:tc>
          <w:p>
            <w:pPr>
              <w:pStyle w:val="Compact"/>
              <w:jc w:val="left"/>
            </w:pPr>
            <w:r>
              <w:t xml:space="preserve">14.20</w:t>
            </w:r>
          </w:p>
        </w:tc>
        <w:tc>
          <w:p>
            <w:pPr>
              <w:pStyle w:val="Compact"/>
              <w:jc w:val="left"/>
            </w:pPr>
            <w:r>
              <w:t xml:space="preserve">0.93</w:t>
            </w:r>
          </w:p>
        </w:tc>
        <w:tc>
          <w:p>
            <w:pPr>
              <w:pStyle w:val="Compact"/>
              <w:jc w:val="left"/>
            </w:pPr>
            <w:r>
              <w:t xml:space="preserve">1.10</w:t>
            </w:r>
          </w:p>
        </w:tc>
        <w:tc>
          <w:p>
            <w:pPr>
              <w:pStyle w:val="Compact"/>
              <w:jc w:val="left"/>
            </w:pPr>
            <w:r>
              <w:t xml:space="preserve">0.84</w:t>
            </w:r>
          </w:p>
        </w:tc>
      </w:tr>
      <w:tr>
        <w:tc>
          <w:p>
            <w:pPr>
              <w:pStyle w:val="Compact"/>
              <w:jc w:val="left"/>
            </w:pPr>
            <w:r>
              <w:t xml:space="preserve">Guay 1991</w:t>
            </w:r>
          </w:p>
        </w:tc>
        <w:tc>
          <w:p>
            <w:pPr>
              <w:pStyle w:val="Compact"/>
              <w:jc w:val="left"/>
            </w:pPr>
            <w:r>
              <w:t xml:space="preserve">4.58</w:t>
            </w:r>
          </w:p>
        </w:tc>
        <w:tc>
          <w:p>
            <w:pPr>
              <w:pStyle w:val="Compact"/>
              <w:jc w:val="left"/>
            </w:pPr>
            <w:r>
              <w:t xml:space="preserve">15.00</w:t>
            </w:r>
          </w:p>
        </w:tc>
        <w:tc>
          <w:p>
            <w:pPr>
              <w:pStyle w:val="Compact"/>
              <w:jc w:val="left"/>
            </w:pPr>
            <w:r>
              <w:t xml:space="preserve">0.74</w:t>
            </w:r>
          </w:p>
        </w:tc>
        <w:tc>
          <w:p>
            <w:pPr>
              <w:pStyle w:val="Compact"/>
              <w:jc w:val="left"/>
            </w:pPr>
            <w:r>
              <w:t xml:space="preserve">1.12</w:t>
            </w:r>
          </w:p>
        </w:tc>
        <w:tc>
          <w:p>
            <w:pPr>
              <w:pStyle w:val="Compact"/>
              <w:jc w:val="left"/>
            </w:pPr>
            <w:r>
              <w:t xml:space="preserve">0.66</w:t>
            </w:r>
          </w:p>
        </w:tc>
      </w:tr>
      <w:tr>
        <w:tc>
          <w:p>
            <w:pPr>
              <w:pStyle w:val="Compact"/>
              <w:jc w:val="left"/>
            </w:pPr>
            <w:r>
              <w:t xml:space="preserve">Guay 1991</w:t>
            </w:r>
          </w:p>
        </w:tc>
        <w:tc>
          <w:p>
            <w:pPr>
              <w:pStyle w:val="Compact"/>
              <w:jc w:val="left"/>
            </w:pPr>
            <w:r>
              <w:t xml:space="preserve">4.58</w:t>
            </w:r>
          </w:p>
        </w:tc>
        <w:tc>
          <w:p>
            <w:pPr>
              <w:pStyle w:val="Compact"/>
              <w:jc w:val="left"/>
            </w:pPr>
            <w:r>
              <w:t xml:space="preserve">19.00</w:t>
            </w:r>
          </w:p>
        </w:tc>
        <w:tc>
          <w:p>
            <w:pPr>
              <w:pStyle w:val="Compact"/>
              <w:jc w:val="left"/>
            </w:pPr>
            <w:r>
              <w:t xml:space="preserve">1.42</w:t>
            </w:r>
          </w:p>
        </w:tc>
        <w:tc>
          <w:p>
            <w:pPr>
              <w:pStyle w:val="Compact"/>
              <w:jc w:val="left"/>
            </w:pPr>
            <w:r>
              <w:t xml:space="preserve">2.25</w:t>
            </w:r>
          </w:p>
        </w:tc>
        <w:tc>
          <w:p>
            <w:pPr>
              <w:pStyle w:val="Compact"/>
              <w:jc w:val="left"/>
            </w:pPr>
            <w:r>
              <w:t xml:space="preserve">0.63</w:t>
            </w:r>
          </w:p>
        </w:tc>
      </w:tr>
      <w:tr>
        <w:tc>
          <w:p>
            <w:pPr>
              <w:pStyle w:val="Compact"/>
              <w:jc w:val="left"/>
            </w:pPr>
            <w:r>
              <w:t xml:space="preserve">Guay 1991</w:t>
            </w:r>
          </w:p>
        </w:tc>
        <w:tc>
          <w:p>
            <w:pPr>
              <w:pStyle w:val="Compact"/>
              <w:jc w:val="left"/>
            </w:pPr>
            <w:r>
              <w:t xml:space="preserve">4.83</w:t>
            </w:r>
          </w:p>
        </w:tc>
        <w:tc>
          <w:p>
            <w:pPr>
              <w:pStyle w:val="Compact"/>
              <w:jc w:val="left"/>
            </w:pPr>
            <w:r>
              <w:t xml:space="preserve">17.50</w:t>
            </w:r>
          </w:p>
        </w:tc>
        <w:tc>
          <w:p>
            <w:pPr>
              <w:pStyle w:val="Compact"/>
              <w:jc w:val="left"/>
            </w:pPr>
            <w:r>
              <w:t xml:space="preserve">1.46</w:t>
            </w:r>
          </w:p>
        </w:tc>
        <w:tc>
          <w:p>
            <w:pPr>
              <w:pStyle w:val="Compact"/>
              <w:jc w:val="left"/>
            </w:pPr>
            <w:r>
              <w:t xml:space="preserve">1.16</w:t>
            </w:r>
          </w:p>
        </w:tc>
        <w:tc>
          <w:p>
            <w:pPr>
              <w:pStyle w:val="Compact"/>
              <w:jc w:val="left"/>
            </w:pPr>
            <w:r>
              <w:t xml:space="preserve">1.25</w:t>
            </w:r>
          </w:p>
        </w:tc>
      </w:tr>
      <w:tr>
        <w:tc>
          <w:p>
            <w:pPr>
              <w:pStyle w:val="Compact"/>
              <w:jc w:val="left"/>
            </w:pPr>
            <w:r>
              <w:t xml:space="preserve">Guay 1991</w:t>
            </w:r>
          </w:p>
        </w:tc>
        <w:tc>
          <w:p>
            <w:pPr>
              <w:pStyle w:val="Compact"/>
              <w:jc w:val="left"/>
            </w:pPr>
            <w:r>
              <w:t xml:space="preserve">5.25</w:t>
            </w:r>
          </w:p>
        </w:tc>
        <w:tc>
          <w:p>
            <w:pPr>
              <w:pStyle w:val="Compact"/>
              <w:jc w:val="left"/>
            </w:pPr>
            <w:r>
              <w:t xml:space="preserve">18.50</w:t>
            </w:r>
          </w:p>
        </w:tc>
        <w:tc>
          <w:p>
            <w:pPr>
              <w:pStyle w:val="Compact"/>
              <w:jc w:val="left"/>
            </w:pPr>
            <w:r>
              <w:t xml:space="preserve">0.75</w:t>
            </w:r>
          </w:p>
        </w:tc>
        <w:tc>
          <w:p>
            <w:pPr>
              <w:pStyle w:val="Compact"/>
              <w:jc w:val="left"/>
            </w:pPr>
            <w:r>
              <w:t xml:space="preserve">0.73</w:t>
            </w:r>
          </w:p>
        </w:tc>
        <w:tc>
          <w:p>
            <w:pPr>
              <w:pStyle w:val="Compact"/>
              <w:jc w:val="left"/>
            </w:pPr>
            <w:r>
              <w:t xml:space="preserve">1.04</w:t>
            </w:r>
          </w:p>
        </w:tc>
      </w:tr>
      <w:tr>
        <w:tc>
          <w:p>
            <w:pPr>
              <w:pStyle w:val="Compact"/>
              <w:jc w:val="left"/>
            </w:pPr>
            <w:r>
              <w:t xml:space="preserve">Guay 1991</w:t>
            </w:r>
          </w:p>
        </w:tc>
        <w:tc>
          <w:p>
            <w:pPr>
              <w:pStyle w:val="Compact"/>
              <w:jc w:val="left"/>
            </w:pPr>
            <w:r>
              <w:t xml:space="preserve">5.25</w:t>
            </w:r>
          </w:p>
        </w:tc>
        <w:tc>
          <w:p>
            <w:pPr>
              <w:pStyle w:val="Compact"/>
              <w:jc w:val="left"/>
            </w:pPr>
            <w:r>
              <w:t xml:space="preserve">19.65</w:t>
            </w:r>
          </w:p>
        </w:tc>
        <w:tc>
          <w:p>
            <w:pPr>
              <w:pStyle w:val="Compact"/>
              <w:jc w:val="left"/>
            </w:pPr>
            <w:r>
              <w:t xml:space="preserve">1.47</w:t>
            </w:r>
          </w:p>
        </w:tc>
        <w:tc>
          <w:p>
            <w:pPr>
              <w:pStyle w:val="Compact"/>
              <w:jc w:val="left"/>
            </w:pPr>
            <w:r>
              <w:t xml:space="preserve">1.42</w:t>
            </w:r>
          </w:p>
        </w:tc>
        <w:tc>
          <w:p>
            <w:pPr>
              <w:pStyle w:val="Compact"/>
              <w:jc w:val="left"/>
            </w:pPr>
            <w:r>
              <w:t xml:space="preserve">1.04</w:t>
            </w:r>
          </w:p>
        </w:tc>
      </w:tr>
      <w:tr>
        <w:tc>
          <w:p>
            <w:pPr>
              <w:pStyle w:val="Compact"/>
              <w:jc w:val="left"/>
            </w:pPr>
            <w:r>
              <w:t xml:space="preserve">Guay 1991</w:t>
            </w:r>
          </w:p>
        </w:tc>
        <w:tc>
          <w:p>
            <w:pPr>
              <w:pStyle w:val="Compact"/>
              <w:jc w:val="left"/>
            </w:pPr>
            <w:r>
              <w:t xml:space="preserve">5.33</w:t>
            </w:r>
          </w:p>
        </w:tc>
        <w:tc>
          <w:p>
            <w:pPr>
              <w:pStyle w:val="Compact"/>
              <w:jc w:val="left"/>
            </w:pPr>
            <w:r>
              <w:t xml:space="preserve">24.00</w:t>
            </w:r>
          </w:p>
        </w:tc>
        <w:tc>
          <w:p>
            <w:pPr>
              <w:pStyle w:val="Compact"/>
              <w:jc w:val="left"/>
            </w:pPr>
            <w:r>
              <w:t xml:space="preserve">1.89</w:t>
            </w:r>
          </w:p>
        </w:tc>
        <w:tc>
          <w:p>
            <w:pPr>
              <w:pStyle w:val="Compact"/>
              <w:jc w:val="left"/>
            </w:pPr>
            <w:r>
              <w:t xml:space="preserve">2.26</w:t>
            </w:r>
          </w:p>
        </w:tc>
        <w:tc>
          <w:p>
            <w:pPr>
              <w:pStyle w:val="Compact"/>
              <w:jc w:val="left"/>
            </w:pPr>
            <w:r>
              <w:t xml:space="preserve">0.83</w:t>
            </w:r>
          </w:p>
        </w:tc>
      </w:tr>
      <w:tr>
        <w:tc>
          <w:p>
            <w:pPr>
              <w:pStyle w:val="Compact"/>
              <w:jc w:val="left"/>
            </w:pPr>
            <w:r>
              <w:t xml:space="preserve">Guay 1991</w:t>
            </w:r>
          </w:p>
        </w:tc>
        <w:tc>
          <w:p>
            <w:pPr>
              <w:pStyle w:val="Compact"/>
              <w:jc w:val="left"/>
            </w:pPr>
            <w:r>
              <w:t xml:space="preserve">5.33</w:t>
            </w:r>
          </w:p>
        </w:tc>
        <w:tc>
          <w:p>
            <w:pPr>
              <w:pStyle w:val="Compact"/>
              <w:jc w:val="left"/>
            </w:pPr>
            <w:r>
              <w:t xml:space="preserve">24.00</w:t>
            </w:r>
          </w:p>
        </w:tc>
        <w:tc>
          <w:p>
            <w:pPr>
              <w:pStyle w:val="Compact"/>
              <w:jc w:val="left"/>
            </w:pPr>
            <w:r>
              <w:t xml:space="preserve">1.06</w:t>
            </w:r>
          </w:p>
        </w:tc>
        <w:tc>
          <w:p>
            <w:pPr>
              <w:pStyle w:val="Compact"/>
              <w:jc w:val="left"/>
            </w:pPr>
            <w:r>
              <w:t xml:space="preserve">1.26</w:t>
            </w:r>
          </w:p>
        </w:tc>
        <w:tc>
          <w:p>
            <w:pPr>
              <w:pStyle w:val="Compact"/>
              <w:jc w:val="left"/>
            </w:pPr>
            <w:r>
              <w:t xml:space="preserve">0.84</w:t>
            </w:r>
          </w:p>
        </w:tc>
      </w:tr>
      <w:tr>
        <w:tc>
          <w:p>
            <w:pPr>
              <w:pStyle w:val="Compact"/>
              <w:jc w:val="left"/>
            </w:pPr>
            <w:r>
              <w:t xml:space="preserve">Guay 1991</w:t>
            </w:r>
          </w:p>
        </w:tc>
        <w:tc>
          <w:p>
            <w:pPr>
              <w:pStyle w:val="Compact"/>
              <w:jc w:val="left"/>
            </w:pPr>
            <w:r>
              <w:t xml:space="preserve">5.75</w:t>
            </w:r>
          </w:p>
        </w:tc>
        <w:tc>
          <w:p>
            <w:pPr>
              <w:pStyle w:val="Compact"/>
              <w:jc w:val="left"/>
            </w:pPr>
            <w:r>
              <w:t xml:space="preserve">14.50</w:t>
            </w:r>
          </w:p>
        </w:tc>
        <w:tc>
          <w:p>
            <w:pPr>
              <w:pStyle w:val="Compact"/>
              <w:jc w:val="left"/>
            </w:pPr>
            <w:r>
              <w:t xml:space="preserve">1.26</w:t>
            </w:r>
          </w:p>
        </w:tc>
        <w:tc>
          <w:p>
            <w:pPr>
              <w:pStyle w:val="Compact"/>
              <w:jc w:val="left"/>
            </w:pPr>
            <w:r>
              <w:t xml:space="preserve">2.53</w:t>
            </w:r>
          </w:p>
        </w:tc>
        <w:tc>
          <w:p>
            <w:pPr>
              <w:pStyle w:val="Compact"/>
              <w:jc w:val="left"/>
            </w:pPr>
            <w:r>
              <w:t xml:space="preserve">0.50</w:t>
            </w:r>
          </w:p>
        </w:tc>
      </w:tr>
      <w:tr>
        <w:tc>
          <w:p>
            <w:pPr>
              <w:pStyle w:val="Compact"/>
              <w:jc w:val="left"/>
            </w:pPr>
            <w:r>
              <w:t xml:space="preserve">Guay 1991</w:t>
            </w:r>
          </w:p>
        </w:tc>
        <w:tc>
          <w:p>
            <w:pPr>
              <w:pStyle w:val="Compact"/>
              <w:jc w:val="left"/>
            </w:pPr>
            <w:r>
              <w:t xml:space="preserve">5.92</w:t>
            </w:r>
          </w:p>
        </w:tc>
        <w:tc>
          <w:p>
            <w:pPr>
              <w:pStyle w:val="Compact"/>
              <w:jc w:val="left"/>
            </w:pPr>
            <w:r>
              <w:t xml:space="preserve">28.20</w:t>
            </w:r>
          </w:p>
        </w:tc>
        <w:tc>
          <w:p>
            <w:pPr>
              <w:pStyle w:val="Compact"/>
              <w:jc w:val="left"/>
            </w:pPr>
            <w:r>
              <w:t xml:space="preserve">1.55</w:t>
            </w:r>
          </w:p>
        </w:tc>
        <w:tc>
          <w:p>
            <w:pPr>
              <w:pStyle w:val="Compact"/>
              <w:jc w:val="left"/>
            </w:pPr>
            <w:r>
              <w:t xml:space="preserve">2.13</w:t>
            </w:r>
          </w:p>
        </w:tc>
        <w:tc>
          <w:p>
            <w:pPr>
              <w:pStyle w:val="Compact"/>
              <w:jc w:val="left"/>
            </w:pPr>
            <w:r>
              <w:t xml:space="preserve">0.73</w:t>
            </w:r>
          </w:p>
        </w:tc>
      </w:tr>
      <w:tr>
        <w:tc>
          <w:p>
            <w:pPr>
              <w:pStyle w:val="Compact"/>
              <w:jc w:val="left"/>
            </w:pPr>
            <w:r>
              <w:t xml:space="preserve">Guay 1991</w:t>
            </w:r>
          </w:p>
        </w:tc>
        <w:tc>
          <w:p>
            <w:pPr>
              <w:pStyle w:val="Compact"/>
              <w:jc w:val="left"/>
            </w:pPr>
            <w:r>
              <w:t xml:space="preserve">5.92</w:t>
            </w:r>
          </w:p>
        </w:tc>
        <w:tc>
          <w:p>
            <w:pPr>
              <w:pStyle w:val="Compact"/>
              <w:jc w:val="left"/>
            </w:pPr>
            <w:r>
              <w:t xml:space="preserve">25.00</w:t>
            </w:r>
          </w:p>
        </w:tc>
        <w:tc>
          <w:p>
            <w:pPr>
              <w:pStyle w:val="Compact"/>
              <w:jc w:val="left"/>
            </w:pPr>
            <w:r>
              <w:t xml:space="preserve">0.80</w:t>
            </w:r>
          </w:p>
        </w:tc>
        <w:tc>
          <w:p>
            <w:pPr>
              <w:pStyle w:val="Compact"/>
              <w:jc w:val="left"/>
            </w:pPr>
            <w:r>
              <w:t xml:space="preserve">0.95</w:t>
            </w:r>
          </w:p>
        </w:tc>
        <w:tc>
          <w:p>
            <w:pPr>
              <w:pStyle w:val="Compact"/>
              <w:jc w:val="left"/>
            </w:pPr>
            <w:r>
              <w:t xml:space="preserve">0.84</w:t>
            </w:r>
          </w:p>
        </w:tc>
      </w:tr>
      <w:tr>
        <w:tc>
          <w:p>
            <w:pPr>
              <w:pStyle w:val="Compact"/>
              <w:jc w:val="left"/>
            </w:pPr>
            <w:r>
              <w:t xml:space="preserve">Guay 1991</w:t>
            </w:r>
          </w:p>
        </w:tc>
        <w:tc>
          <w:p>
            <w:pPr>
              <w:pStyle w:val="Compact"/>
              <w:jc w:val="left"/>
            </w:pPr>
            <w:r>
              <w:t xml:space="preserve">6.92</w:t>
            </w:r>
          </w:p>
        </w:tc>
        <w:tc>
          <w:p>
            <w:pPr>
              <w:pStyle w:val="Compact"/>
              <w:jc w:val="left"/>
            </w:pPr>
            <w:r>
              <w:t xml:space="preserve">29.60</w:t>
            </w:r>
          </w:p>
        </w:tc>
        <w:tc>
          <w:p>
            <w:pPr>
              <w:pStyle w:val="Compact"/>
              <w:jc w:val="left"/>
            </w:pPr>
            <w:r>
              <w:t xml:space="preserve">1.04</w:t>
            </w:r>
          </w:p>
        </w:tc>
        <w:tc>
          <w:p>
            <w:pPr>
              <w:pStyle w:val="Compact"/>
              <w:jc w:val="left"/>
            </w:pPr>
            <w:r>
              <w:t xml:space="preserve">1.03</w:t>
            </w:r>
          </w:p>
        </w:tc>
        <w:tc>
          <w:p>
            <w:pPr>
              <w:pStyle w:val="Compact"/>
              <w:jc w:val="left"/>
            </w:pPr>
            <w:r>
              <w:t xml:space="preserve">1.01</w:t>
            </w:r>
          </w:p>
        </w:tc>
      </w:tr>
      <w:tr>
        <w:tc>
          <w:p>
            <w:pPr>
              <w:pStyle w:val="Compact"/>
              <w:jc w:val="left"/>
            </w:pPr>
            <w:r>
              <w:t xml:space="preserve">Guay 1991</w:t>
            </w:r>
          </w:p>
        </w:tc>
        <w:tc>
          <w:p>
            <w:pPr>
              <w:pStyle w:val="Compact"/>
              <w:jc w:val="left"/>
            </w:pPr>
            <w:r>
              <w:t xml:space="preserve">7.50</w:t>
            </w:r>
          </w:p>
        </w:tc>
        <w:tc>
          <w:p>
            <w:pPr>
              <w:pStyle w:val="Compact"/>
              <w:jc w:val="left"/>
            </w:pPr>
            <w:r>
              <w:t xml:space="preserve">23.50</w:t>
            </w:r>
          </w:p>
        </w:tc>
        <w:tc>
          <w:p>
            <w:pPr>
              <w:pStyle w:val="Compact"/>
              <w:jc w:val="left"/>
            </w:pPr>
            <w:r>
              <w:t xml:space="preserve">0.45</w:t>
            </w:r>
          </w:p>
        </w:tc>
        <w:tc>
          <w:p>
            <w:pPr>
              <w:pStyle w:val="Compact"/>
              <w:jc w:val="left"/>
            </w:pPr>
            <w:r>
              <w:t xml:space="preserve">0.58</w:t>
            </w:r>
          </w:p>
        </w:tc>
        <w:tc>
          <w:p>
            <w:pPr>
              <w:pStyle w:val="Compact"/>
              <w:jc w:val="left"/>
            </w:pPr>
            <w:r>
              <w:t xml:space="preserve">0.77</w:t>
            </w:r>
          </w:p>
        </w:tc>
      </w:tr>
      <w:tr>
        <w:tc>
          <w:p>
            <w:pPr>
              <w:pStyle w:val="Compact"/>
              <w:jc w:val="left"/>
            </w:pPr>
            <w:r>
              <w:t xml:space="preserve">Guay 1991</w:t>
            </w:r>
          </w:p>
        </w:tc>
        <w:tc>
          <w:p>
            <w:pPr>
              <w:pStyle w:val="Compact"/>
              <w:jc w:val="left"/>
            </w:pPr>
            <w:r>
              <w:t xml:space="preserve">7.50</w:t>
            </w:r>
          </w:p>
        </w:tc>
        <w:tc>
          <w:p>
            <w:pPr>
              <w:pStyle w:val="Compact"/>
              <w:jc w:val="left"/>
            </w:pPr>
            <w:r>
              <w:t xml:space="preserve">15.20</w:t>
            </w:r>
          </w:p>
        </w:tc>
        <w:tc>
          <w:p>
            <w:pPr>
              <w:pStyle w:val="Compact"/>
              <w:jc w:val="left"/>
            </w:pPr>
            <w:r>
              <w:t xml:space="preserve">1.22</w:t>
            </w:r>
          </w:p>
        </w:tc>
        <w:tc>
          <w:p>
            <w:pPr>
              <w:pStyle w:val="Compact"/>
              <w:jc w:val="left"/>
            </w:pPr>
            <w:r>
              <w:t xml:space="preserve">1.23</w:t>
            </w:r>
          </w:p>
        </w:tc>
        <w:tc>
          <w:p>
            <w:pPr>
              <w:pStyle w:val="Compact"/>
              <w:jc w:val="left"/>
            </w:pPr>
            <w:r>
              <w:t xml:space="preserve">0.99</w:t>
            </w:r>
          </w:p>
        </w:tc>
      </w:tr>
      <w:tr>
        <w:tc>
          <w:p>
            <w:pPr>
              <w:pStyle w:val="Compact"/>
              <w:jc w:val="left"/>
            </w:pPr>
            <w:r>
              <w:t xml:space="preserve">Guay 1991</w:t>
            </w:r>
          </w:p>
        </w:tc>
        <w:tc>
          <w:p>
            <w:pPr>
              <w:pStyle w:val="Compact"/>
              <w:jc w:val="left"/>
            </w:pPr>
            <w:r>
              <w:t xml:space="preserve">8.75</w:t>
            </w:r>
          </w:p>
        </w:tc>
        <w:tc>
          <w:p>
            <w:pPr>
              <w:pStyle w:val="Compact"/>
              <w:jc w:val="left"/>
            </w:pPr>
            <w:r>
              <w:t xml:space="preserve">22.60</w:t>
            </w:r>
          </w:p>
        </w:tc>
        <w:tc>
          <w:p>
            <w:pPr>
              <w:pStyle w:val="Compact"/>
              <w:jc w:val="left"/>
            </w:pPr>
            <w:r>
              <w:t xml:space="preserve">0.87</w:t>
            </w:r>
          </w:p>
        </w:tc>
        <w:tc>
          <w:p>
            <w:pPr>
              <w:pStyle w:val="Compact"/>
              <w:jc w:val="left"/>
            </w:pPr>
            <w:r>
              <w:t xml:space="preserve">0.94</w:t>
            </w:r>
          </w:p>
        </w:tc>
        <w:tc>
          <w:p>
            <w:pPr>
              <w:pStyle w:val="Compact"/>
              <w:jc w:val="left"/>
            </w:pPr>
            <w:r>
              <w:t xml:space="preserve">0.93</w:t>
            </w:r>
          </w:p>
        </w:tc>
      </w:tr>
    </w:tbl>
    <w:p>
      <w:pPr>
        <w:pStyle w:val="Textkrper"/>
      </w:pPr>
      <w:r>
        <w:t xml:space="preserve"> </w:t>
      </w:r>
    </w:p>
    <w:p>
      <w:pPr>
        <w:pStyle w:val="Textkrper"/>
      </w:pPr>
    </w:p>
    <w:p>
      <w:pPr>
        <w:pStyle w:val="berschrift2"/>
      </w:pPr>
      <w:bookmarkStart w:id="30" w:name="X179a8b31447e693a66ea702da10793aae3937c0"/>
      <w:r>
        <w:t xml:space="preserve">Sufentanil Concentration-Time profiles in Children</w:t>
      </w:r>
      <w:bookmarkEnd w:id="30"/>
    </w:p>
    <w:p>
      <w:pPr>
        <w:pStyle w:val="berschrift4"/>
      </w:pPr>
      <w:bookmarkStart w:id="31" w:name="concentration-time-profiles"/>
      <w:r>
        <w:t xml:space="preserve">Concentration-Time Profiles</w:t>
      </w:r>
      <w:bookmarkEnd w:id="31"/>
    </w:p>
    <w:p>
      <w:pPr>
        <w:pStyle w:val="FirstParagraph"/>
      </w:pPr>
      <w:r>
        <w:t xml:space="preserve">Predicted versus observed plasma concentration-time profiles are listed below. Only simulations where observed data was available for comparison are shown. Depending if the observed data were individual data or aggregated data, individual predictions or population predictions including variability are shown, respectively.</w:t>
      </w:r>
    </w:p>
    <w:p>
      <w:pPr>
        <w:pStyle w:val="Textkrper"/>
      </w:pPr>
    </w:p>
    <w:p>
      <w:r>
        <w:br w:type="page"/>
      </w:r>
    </w:p>
    <w:p>
      <w:pPr>
        <w:pStyle w:val="CaptionedFigure"/>
      </w:pPr>
      <w:r>
        <w:drawing>
          <wp:inline>
            <wp:extent cx="5969000" cy="4534529"/>
            <wp:effectExtent b="0" l="0" r="0" t="0"/>
            <wp:docPr descr="Figure 2-3: Time Profile Analysis" title="" id="1" name="Picture"/>
            <a:graphic>
              <a:graphicData uri="http://schemas.openxmlformats.org/drawingml/2006/picture">
                <pic:pic>
                  <pic:nvPicPr>
                    <pic:cNvPr descr="images/002_section_3/004_section_32/5_time_profile_plot_Sufentanil_Pediatrics_Guay_1991_patient_11.png" id="0" name="Picture"/>
                    <pic:cNvPicPr>
                      <a:picLocks noChangeArrowheads="1" noChangeAspect="1"/>
                    </pic:cNvPicPr>
                  </pic:nvPicPr>
                  <pic:blipFill>
                    <a:blip r:embed="rId32"/>
                    <a:stretch>
                      <a:fillRect/>
                    </a:stretch>
                  </pic:blipFill>
                  <pic:spPr bwMode="auto">
                    <a:xfrm>
                      <a:off x="0" y="0"/>
                      <a:ext cx="5969000" cy="4534529"/>
                    </a:xfrm>
                    <a:prstGeom prst="rect">
                      <a:avLst/>
                    </a:prstGeom>
                    <a:noFill/>
                    <a:ln w="9525">
                      <a:noFill/>
                      <a:headEnd/>
                      <a:tailEnd/>
                    </a:ln>
                  </pic:spPr>
                </pic:pic>
              </a:graphicData>
            </a:graphic>
          </wp:inline>
        </w:drawing>
      </w:r>
    </w:p>
    <w:p>
      <w:pPr>
        <w:pStyle w:val="ImageCaption"/>
      </w:pPr>
      <w:r>
        <w:rPr>
          <w:b/>
        </w:rPr>
        <w:t xml:space="preserve">Figure 2-3: Time Profile Analysis</w:t>
      </w:r>
    </w:p>
    <w:p>
      <w:pPr>
        <w:pStyle w:val="Textkrper"/>
      </w:pPr>
      <w:r>
        <w:t xml:space="preserve"> </w:t>
      </w:r>
    </w:p>
    <w:p>
      <w:pPr>
        <w:pStyle w:val="Textkrper"/>
      </w:pPr>
    </w:p>
    <w:p>
      <w:r>
        <w:br w:type="page"/>
      </w:r>
    </w:p>
    <w:p>
      <w:pPr>
        <w:pStyle w:val="CaptionedFigure"/>
      </w:pPr>
      <w:r>
        <w:drawing>
          <wp:inline>
            <wp:extent cx="5969000" cy="4534529"/>
            <wp:effectExtent b="0" l="0" r="0" t="0"/>
            <wp:docPr descr="Figure 2-4: Time Profile Analysis 1" title="" id="1" name="Picture"/>
            <a:graphic>
              <a:graphicData uri="http://schemas.openxmlformats.org/drawingml/2006/picture">
                <pic:pic>
                  <pic:nvPicPr>
                    <pic:cNvPr descr="images/002_section_3/004_section_32/6_time_profile_plot_Sufentanil_Pediatrics_Guay_1991_patient_11.png" id="0" name="Picture"/>
                    <pic:cNvPicPr>
                      <a:picLocks noChangeArrowheads="1" noChangeAspect="1"/>
                    </pic:cNvPicPr>
                  </pic:nvPicPr>
                  <pic:blipFill>
                    <a:blip r:embed="rId33"/>
                    <a:stretch>
                      <a:fillRect/>
                    </a:stretch>
                  </pic:blipFill>
                  <pic:spPr bwMode="auto">
                    <a:xfrm>
                      <a:off x="0" y="0"/>
                      <a:ext cx="5969000" cy="4534529"/>
                    </a:xfrm>
                    <a:prstGeom prst="rect">
                      <a:avLst/>
                    </a:prstGeom>
                    <a:noFill/>
                    <a:ln w="9525">
                      <a:noFill/>
                      <a:headEnd/>
                      <a:tailEnd/>
                    </a:ln>
                  </pic:spPr>
                </pic:pic>
              </a:graphicData>
            </a:graphic>
          </wp:inline>
        </w:drawing>
      </w:r>
    </w:p>
    <w:p>
      <w:pPr>
        <w:pStyle w:val="ImageCaption"/>
      </w:pPr>
      <w:r>
        <w:rPr>
          <w:b/>
        </w:rPr>
        <w:t xml:space="preserve">Figure 2-4: Time Profile Analysis 1</w:t>
      </w:r>
    </w:p>
    <w:p>
      <w:pPr>
        <w:pStyle w:val="Textkrper"/>
      </w:pPr>
      <w:r>
        <w:t xml:space="preserve"> </w:t>
      </w:r>
    </w:p>
    <w:p>
      <w:pPr>
        <w:pStyle w:val="Textkrper"/>
      </w:pPr>
    </w:p>
    <w:p>
      <w:r>
        <w:br w:type="page"/>
      </w:r>
    </w:p>
    <w:p>
      <w:pPr>
        <w:pStyle w:val="CaptionedFigure"/>
      </w:pPr>
      <w:r>
        <w:drawing>
          <wp:inline>
            <wp:extent cx="5969000" cy="6776331"/>
            <wp:effectExtent b="0" l="0" r="0" t="0"/>
            <wp:docPr descr="Figure 2-5: Time Profile Analysis" title="" id="1" name="Picture"/>
            <a:graphic>
              <a:graphicData uri="http://schemas.openxmlformats.org/drawingml/2006/picture">
                <pic:pic>
                  <pic:nvPicPr>
                    <pic:cNvPr descr="images/002_section_3/004_section_32/7_time_profile_plot_Sufentanil_Pediatrics_Guay_1991_patient_3.png" id="0" name="Picture"/>
                    <pic:cNvPicPr>
                      <a:picLocks noChangeArrowheads="1" noChangeAspect="1"/>
                    </pic:cNvPicPr>
                  </pic:nvPicPr>
                  <pic:blipFill>
                    <a:blip r:embed="rId34"/>
                    <a:stretch>
                      <a:fillRect/>
                    </a:stretch>
                  </pic:blipFill>
                  <pic:spPr bwMode="auto">
                    <a:xfrm>
                      <a:off x="0" y="0"/>
                      <a:ext cx="5969000" cy="6776331"/>
                    </a:xfrm>
                    <a:prstGeom prst="rect">
                      <a:avLst/>
                    </a:prstGeom>
                    <a:noFill/>
                    <a:ln w="9525">
                      <a:noFill/>
                      <a:headEnd/>
                      <a:tailEnd/>
                    </a:ln>
                  </pic:spPr>
                </pic:pic>
              </a:graphicData>
            </a:graphic>
          </wp:inline>
        </w:drawing>
      </w:r>
    </w:p>
    <w:p>
      <w:pPr>
        <w:pStyle w:val="ImageCaption"/>
      </w:pPr>
      <w:r>
        <w:rPr>
          <w:b/>
        </w:rPr>
        <w:t xml:space="preserve">Figure 2-5: Time Profile Analysis</w:t>
      </w:r>
    </w:p>
    <w:p>
      <w:pPr>
        <w:pStyle w:val="Textkrper"/>
      </w:pPr>
      <w:r>
        <w:t xml:space="preserve"> </w:t>
      </w:r>
    </w:p>
    <w:p>
      <w:pPr>
        <w:pStyle w:val="Textkrper"/>
      </w:pPr>
    </w:p>
    <w:p>
      <w:r>
        <w:br w:type="page"/>
      </w:r>
    </w:p>
    <w:p>
      <w:pPr>
        <w:pStyle w:val="CaptionedFigure"/>
      </w:pPr>
      <w:r>
        <w:drawing>
          <wp:inline>
            <wp:extent cx="5969000" cy="6776331"/>
            <wp:effectExtent b="0" l="0" r="0" t="0"/>
            <wp:docPr descr="Figure 2-6: Time Profile Analysis 1" title="" id="1" name="Picture"/>
            <a:graphic>
              <a:graphicData uri="http://schemas.openxmlformats.org/drawingml/2006/picture">
                <pic:pic>
                  <pic:nvPicPr>
                    <pic:cNvPr descr="images/002_section_3/004_section_32/8_time_profile_plot_Sufentanil_Pediatrics_Guay_1991_patient_3.png" id="0" name="Picture"/>
                    <pic:cNvPicPr>
                      <a:picLocks noChangeArrowheads="1" noChangeAspect="1"/>
                    </pic:cNvPicPr>
                  </pic:nvPicPr>
                  <pic:blipFill>
                    <a:blip r:embed="rId35"/>
                    <a:stretch>
                      <a:fillRect/>
                    </a:stretch>
                  </pic:blipFill>
                  <pic:spPr bwMode="auto">
                    <a:xfrm>
                      <a:off x="0" y="0"/>
                      <a:ext cx="5969000" cy="6776331"/>
                    </a:xfrm>
                    <a:prstGeom prst="rect">
                      <a:avLst/>
                    </a:prstGeom>
                    <a:noFill/>
                    <a:ln w="9525">
                      <a:noFill/>
                      <a:headEnd/>
                      <a:tailEnd/>
                    </a:ln>
                  </pic:spPr>
                </pic:pic>
              </a:graphicData>
            </a:graphic>
          </wp:inline>
        </w:drawing>
      </w:r>
    </w:p>
    <w:p>
      <w:pPr>
        <w:pStyle w:val="ImageCaption"/>
      </w:pPr>
      <w:r>
        <w:rPr>
          <w:b/>
        </w:rPr>
        <w:t xml:space="preserve">Figure 2-6: Time Profile Analysis 1</w:t>
      </w:r>
    </w:p>
    <w:p>
      <w:pPr>
        <w:pStyle w:val="Textkrper"/>
      </w:pPr>
      <w:r>
        <w:t xml:space="preserve"> </w:t>
      </w:r>
    </w:p>
    <w:p>
      <w:pPr>
        <w:pStyle w:val="Textkrper"/>
      </w:pPr>
    </w:p>
    <w:p>
      <w:r>
        <w:br w:type="page"/>
      </w:r>
    </w:p>
    <w:p>
      <w:pPr>
        <w:pStyle w:val="CaptionedFigure"/>
      </w:pPr>
      <w:r>
        <w:drawing>
          <wp:inline>
            <wp:extent cx="5969000" cy="6776331"/>
            <wp:effectExtent b="0" l="0" r="0" t="0"/>
            <wp:docPr descr="Figure 2-7: Time Profile Analysis" title="" id="1" name="Picture"/>
            <a:graphic>
              <a:graphicData uri="http://schemas.openxmlformats.org/drawingml/2006/picture">
                <pic:pic>
                  <pic:nvPicPr>
                    <pic:cNvPr descr="images/002_section_3/004_section_32/9_time_profile_plot_Sufentanil_Pediatrics_Guay_1991_patient_8.png" id="0" name="Picture"/>
                    <pic:cNvPicPr>
                      <a:picLocks noChangeArrowheads="1" noChangeAspect="1"/>
                    </pic:cNvPicPr>
                  </pic:nvPicPr>
                  <pic:blipFill>
                    <a:blip r:embed="rId36"/>
                    <a:stretch>
                      <a:fillRect/>
                    </a:stretch>
                  </pic:blipFill>
                  <pic:spPr bwMode="auto">
                    <a:xfrm>
                      <a:off x="0" y="0"/>
                      <a:ext cx="5969000" cy="6776331"/>
                    </a:xfrm>
                    <a:prstGeom prst="rect">
                      <a:avLst/>
                    </a:prstGeom>
                    <a:noFill/>
                    <a:ln w="9525">
                      <a:noFill/>
                      <a:headEnd/>
                      <a:tailEnd/>
                    </a:ln>
                  </pic:spPr>
                </pic:pic>
              </a:graphicData>
            </a:graphic>
          </wp:inline>
        </w:drawing>
      </w:r>
    </w:p>
    <w:p>
      <w:pPr>
        <w:pStyle w:val="ImageCaption"/>
      </w:pPr>
      <w:r>
        <w:rPr>
          <w:b/>
        </w:rPr>
        <w:t xml:space="preserve">Figure 2-7: Time Profile Analysis</w:t>
      </w:r>
    </w:p>
    <w:p>
      <w:pPr>
        <w:pStyle w:val="Textkrper"/>
      </w:pPr>
      <w:r>
        <w:t xml:space="preserve"> </w:t>
      </w:r>
    </w:p>
    <w:p>
      <w:pPr>
        <w:pStyle w:val="Textkrper"/>
      </w:pPr>
    </w:p>
    <w:p>
      <w:r>
        <w:br w:type="page"/>
      </w:r>
    </w:p>
    <w:p>
      <w:pPr>
        <w:pStyle w:val="CaptionedFigure"/>
      </w:pPr>
      <w:r>
        <w:drawing>
          <wp:inline>
            <wp:extent cx="5969000" cy="6776331"/>
            <wp:effectExtent b="0" l="0" r="0" t="0"/>
            <wp:docPr descr="Figure 2-8: Time Profile Analysis 1" title="" id="1" name="Picture"/>
            <a:graphic>
              <a:graphicData uri="http://schemas.openxmlformats.org/drawingml/2006/picture">
                <pic:pic>
                  <pic:nvPicPr>
                    <pic:cNvPr descr="images/002_section_3/004_section_32/10_time_profile_plot_Sufentanil_Pediatrics_Guay_1991_patient_8.png" id="0" name="Picture"/>
                    <pic:cNvPicPr>
                      <a:picLocks noChangeArrowheads="1" noChangeAspect="1"/>
                    </pic:cNvPicPr>
                  </pic:nvPicPr>
                  <pic:blipFill>
                    <a:blip r:embed="rId37"/>
                    <a:stretch>
                      <a:fillRect/>
                    </a:stretch>
                  </pic:blipFill>
                  <pic:spPr bwMode="auto">
                    <a:xfrm>
                      <a:off x="0" y="0"/>
                      <a:ext cx="5969000" cy="6776331"/>
                    </a:xfrm>
                    <a:prstGeom prst="rect">
                      <a:avLst/>
                    </a:prstGeom>
                    <a:noFill/>
                    <a:ln w="9525">
                      <a:noFill/>
                      <a:headEnd/>
                      <a:tailEnd/>
                    </a:ln>
                  </pic:spPr>
                </pic:pic>
              </a:graphicData>
            </a:graphic>
          </wp:inline>
        </w:drawing>
      </w:r>
    </w:p>
    <w:p>
      <w:pPr>
        <w:pStyle w:val="ImageCaption"/>
      </w:pPr>
      <w:r>
        <w:rPr>
          <w:b/>
        </w:rPr>
        <w:t xml:space="preserve">Figure 2-8: Time Profile Analysis 1</w:t>
      </w:r>
    </w:p>
    <w:p>
      <w:pPr>
        <w:pStyle w:val="Textkrper"/>
      </w:pPr>
      <w:r>
        <w:t xml:space="preserve"> </w:t>
      </w:r>
    </w:p>
    <w:p>
      <w:pPr>
        <w:pStyle w:val="Textkrper"/>
      </w:pPr>
    </w:p>
    <w:p>
      <w:pPr>
        <w:pStyle w:val="berschrift2"/>
      </w:pPr>
      <w:bookmarkStart w:id="38" w:name="alfentanil-pk-ratio-tables-and-figures"/>
      <w:r>
        <w:t xml:space="preserve">Alfentanil PK Ratio tables and Figures</w:t>
      </w:r>
      <w:bookmarkEnd w:id="38"/>
    </w:p>
    <w:p>
      <w:pPr>
        <w:pStyle w:val="berschrift3"/>
      </w:pPr>
      <w:bookmarkStart w:id="39" w:name="alfentanil-model"/>
      <w:r>
        <w:t xml:space="preserve">Alfentanil model</w:t>
      </w:r>
      <w:bookmarkEnd w:id="39"/>
    </w:p>
    <w:p>
      <w:pPr>
        <w:pStyle w:val="FirstParagraph"/>
      </w:pPr>
      <w:r>
        <w:t xml:space="preserve">Alfentanil PBPK predictions in children were evaluated using pharmacokinetic (PK) data reported in the following studies:</w:t>
      </w:r>
    </w:p>
    <w:p>
      <w:pPr>
        <w:numPr>
          <w:ilvl w:val="0"/>
          <w:numId w:val="1004"/>
        </w:numPr>
        <w:pStyle w:val="Compact"/>
      </w:pPr>
      <w:r>
        <w:t xml:space="preserve">den Hollander JM, Hennis PJ, Burm AG, Vletter AA, Bovill JG. Pharmacokinetics of alfentanil before and after cardiopulmonary bypass in pediatric patients undergoing cardiac surgery: Part I. J Cardiothorac Vasc Anesth. 1992 Jun;6(3):308-12.[</w:t>
      </w:r>
      <w:hyperlink w:anchor="X0d8edef9a422b17afbdda51c54a5683913be2b0">
        <w:r>
          <w:rPr>
            <w:rStyle w:val="Hyperlink"/>
          </w:rPr>
          <w:t xml:space="preserve">Meistelman 1987</w:t>
        </w:r>
      </w:hyperlink>
      <w:r>
        <w:t xml:space="preserve">]</w:t>
      </w:r>
    </w:p>
    <w:p>
      <w:pPr>
        <w:numPr>
          <w:ilvl w:val="0"/>
          <w:numId w:val="1004"/>
        </w:numPr>
        <w:pStyle w:val="Compact"/>
      </w:pPr>
      <w:r>
        <w:t xml:space="preserve">Meistelman C, Saint-Maurice C, Lepaul M, Levron JC, Loose JP, Mac Gee K. A comparison of alfentanil pharmacokinetics in children and adults. Anesthesiology. 1987 Jan;66(1):13-6.[</w:t>
      </w:r>
      <w:hyperlink w:anchor="X0d8edef9a422b17afbdda51c54a5683913be2b0">
        <w:r>
          <w:rPr>
            <w:rStyle w:val="Hyperlink"/>
          </w:rPr>
          <w:t xml:space="preserve">den Hollander 1992</w:t>
        </w:r>
      </w:hyperlink>
      <w:r>
        <w:t xml:space="preserve">]</w:t>
      </w:r>
    </w:p>
    <w:p>
      <w:pPr>
        <w:pStyle w:val="FirstParagraph"/>
      </w:pPr>
      <w:r>
        <w:t xml:space="preserve">The pediatric PBPK model predicted the AUC values of alfentanil observed in pediatric studies reasonably across all available age groups, ranging from 3.6 months to 9 years old. The ratios of mean predicted over observed AUC values are illustrated in the table below as well as in the predicted versus observed AUC ratio plot, showing that most predictions in children were within 2-fold error of observed values. Another reported study on alfentanil pharmacokinetics in children [</w:t>
      </w:r>
      <w:hyperlink w:anchor="X0d8edef9a422b17afbdda51c54a5683913be2b0">
        <w:r>
          <w:rPr>
            <w:rStyle w:val="Hyperlink"/>
          </w:rPr>
          <w:t xml:space="preserve">Goresky 1987</w:t>
        </w:r>
      </w:hyperlink>
      <w:r>
        <w:t xml:space="preserve">] showed systematically higher exposure for most individuals compared to the other herein included studies. This deviation may have been caused by different impact of individual pathophysiology of the target study population, inaccurate in vitro assay-techniques or other study differences.</w:t>
      </w:r>
    </w:p>
    <w:p>
      <w:pPr>
        <w:pStyle w:val="Textkrper"/>
      </w:pPr>
    </w:p>
    <w:p>
      <w:r>
        <w:br w:type="page"/>
      </w:r>
    </w:p>
    <w:p>
      <w:pPr>
        <w:pStyle w:val="CaptionedFigure"/>
      </w:pPr>
      <w:r>
        <w:drawing>
          <wp:inline>
            <wp:extent cx="5969000" cy="4087571"/>
            <wp:effectExtent b="0" l="0" r="0" t="0"/>
            <wp:docPr descr="Figure 2-9: Overall predictivity of the alfentanil PBPK model. Open circles represent mean ratios of PBPK predicted AUC over observed AUC of alfentanil in children 3.6 months to 9 years old. Blue dashed lines and red dotted lines represent the 1.5-fold and 2-fold error, respectively." title="" id="1" name="Picture"/>
            <a:graphic>
              <a:graphicData uri="http://schemas.openxmlformats.org/drawingml/2006/picture">
                <pic:pic>
                  <pic:nvPicPr>
                    <pic:cNvPr descr="images/002_section_3/005_section_33/9_pk_ratio_plot_AUC.png" id="0" name="Picture"/>
                    <pic:cNvPicPr>
                      <a:picLocks noChangeArrowheads="1" noChangeAspect="1"/>
                    </pic:cNvPicPr>
                  </pic:nvPicPr>
                  <pic:blipFill>
                    <a:blip r:embed="rId40"/>
                    <a:stretch>
                      <a:fillRect/>
                    </a:stretch>
                  </pic:blipFill>
                  <pic:spPr bwMode="auto">
                    <a:xfrm>
                      <a:off x="0" y="0"/>
                      <a:ext cx="5969000" cy="4087571"/>
                    </a:xfrm>
                    <a:prstGeom prst="rect">
                      <a:avLst/>
                    </a:prstGeom>
                    <a:noFill/>
                    <a:ln w="9525">
                      <a:noFill/>
                      <a:headEnd/>
                      <a:tailEnd/>
                    </a:ln>
                  </pic:spPr>
                </pic:pic>
              </a:graphicData>
            </a:graphic>
          </wp:inline>
        </w:drawing>
      </w:r>
    </w:p>
    <w:p>
      <w:pPr>
        <w:pStyle w:val="ImageCaption"/>
      </w:pPr>
      <w:r>
        <w:rPr>
          <w:b/>
        </w:rPr>
        <w:t xml:space="preserve">Figure 2-9: Overall predictivity of the alfentanil PBPK model. Open circles represent mean ratios of PBPK predicted AUC over observed AUC of alfentanil in children 3.6 months to 9 years old. Blue dashed lines and red dotted lines represent the 1.5-fold and 2-fold error, respectively.</w:t>
      </w:r>
    </w:p>
    <w:p>
      <w:pPr>
        <w:pStyle w:val="Textkrper"/>
      </w:pPr>
      <w:r>
        <w:t xml:space="preserve"> </w:t>
      </w:r>
    </w:p>
    <w:p>
      <w:pPr>
        <w:pStyle w:val="Textkrper"/>
      </w:pPr>
    </w:p>
    <w:p>
      <w:r>
        <w:br w:type="page"/>
      </w:r>
    </w:p>
    <w:p>
      <w:pPr>
        <w:pStyle w:val="Textkrper"/>
      </w:pPr>
      <w:r>
        <w:rPr>
          <w:b/>
        </w:rPr>
        <w:t xml:space="preserve">Table 2-7: Measure of Overall predictivity of the alfentanil PBPK model. Open circles represent mean ratios of PBPK predicted AUC over observed AUC of alfentanil in children 3.6 months to 9 years old. Blue dashed lines and red dotted lines represent the 1.5-fold and 2-fold error, respectively.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Ratio [%]</w:t>
            </w:r>
          </w:p>
        </w:tc>
      </w:tr>
      <w:tr>
        <w:tc>
          <w:p>
            <w:pPr>
              <w:pStyle w:val="Compact"/>
              <w:jc w:val="left"/>
            </w:pPr>
            <w:r>
              <w:t xml:space="preserve">Points total</w:t>
            </w:r>
          </w:p>
        </w:tc>
        <w:tc>
          <w:p>
            <w:pPr>
              <w:pStyle w:val="Compact"/>
              <w:jc w:val="left"/>
            </w:pPr>
            <w:r>
              <w:t xml:space="preserve">18</w:t>
            </w:r>
          </w:p>
        </w:tc>
        <w:tc>
          <w:p>
            <w:pPr>
              <w:pStyle w:val="Compact"/>
              <w:jc w:val="left"/>
            </w:pPr>
            <w:r>
              <w:t xml:space="preserve">-</w:t>
            </w:r>
          </w:p>
        </w:tc>
      </w:tr>
      <w:tr>
        <w:tc>
          <w:p>
            <w:pPr>
              <w:pStyle w:val="Compact"/>
              <w:jc w:val="left"/>
            </w:pPr>
            <w:r>
              <w:t xml:space="preserve">Points within 1.5 fold</w:t>
            </w:r>
          </w:p>
        </w:tc>
        <w:tc>
          <w:p>
            <w:pPr>
              <w:pStyle w:val="Compact"/>
              <w:jc w:val="left"/>
            </w:pPr>
            <w:r>
              <w:t xml:space="preserve">13</w:t>
            </w:r>
          </w:p>
        </w:tc>
        <w:tc>
          <w:p>
            <w:pPr>
              <w:pStyle w:val="Compact"/>
              <w:jc w:val="left"/>
            </w:pPr>
            <w:r>
              <w:t xml:space="preserve">72.22</w:t>
            </w:r>
          </w:p>
        </w:tc>
      </w:tr>
      <w:tr>
        <w:tc>
          <w:p>
            <w:pPr>
              <w:pStyle w:val="Compact"/>
              <w:jc w:val="left"/>
            </w:pPr>
            <w:r>
              <w:t xml:space="preserve">Points within 2 fold</w:t>
            </w:r>
          </w:p>
        </w:tc>
        <w:tc>
          <w:p>
            <w:pPr>
              <w:pStyle w:val="Compact"/>
              <w:jc w:val="left"/>
            </w:pPr>
            <w:r>
              <w:t xml:space="preserve">18</w:t>
            </w:r>
          </w:p>
        </w:tc>
        <w:tc>
          <w:p>
            <w:pPr>
              <w:pStyle w:val="Compact"/>
              <w:jc w:val="left"/>
            </w:pPr>
            <w:r>
              <w:t xml:space="preserve">100.00</w:t>
            </w:r>
          </w:p>
        </w:tc>
      </w:tr>
    </w:tbl>
    <w:p>
      <w:pPr>
        <w:pStyle w:val="Textkrper"/>
      </w:pPr>
      <w:r>
        <w:t xml:space="preserve"> </w:t>
      </w:r>
    </w:p>
    <w:p>
      <w:pPr>
        <w:pStyle w:val="Textkrper"/>
      </w:pPr>
    </w:p>
    <w:p>
      <w:r>
        <w:br w:type="page"/>
      </w:r>
    </w:p>
    <w:p>
      <w:pPr>
        <w:pStyle w:val="Textkrper"/>
      </w:pPr>
      <w:r>
        <w:rPr>
          <w:b/>
        </w:rPr>
        <w:t xml:space="preserve">Table 2-8: GMFE for Overall predictivity of the alfentanil PBPK model. Open circles represent mean ratios of PBPK predicted AUC over observed AUC of alfentanil in children 3.6 months to 9 years old. Blue dashed lines and red dotted lines represent the 1.5-fold and 2-fold error, respectively.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GMFE</w:t>
            </w:r>
          </w:p>
        </w:tc>
      </w:tr>
      <w:tr>
        <w:tc>
          <w:p>
            <w:pPr>
              <w:pStyle w:val="Compact"/>
              <w:jc w:val="left"/>
            </w:pPr>
            <w:r>
              <w:t xml:space="preserve">AUC</w:t>
            </w:r>
          </w:p>
        </w:tc>
        <w:tc>
          <w:p>
            <w:pPr>
              <w:pStyle w:val="Compact"/>
              <w:jc w:val="left"/>
            </w:pPr>
            <w:r>
              <w:t xml:space="preserve">1.24</w:t>
            </w:r>
          </w:p>
        </w:tc>
      </w:tr>
    </w:tbl>
    <w:p>
      <w:pPr>
        <w:pStyle w:val="Textkrper"/>
      </w:pPr>
      <w:r>
        <w:t xml:space="preserve"> </w:t>
      </w:r>
    </w:p>
    <w:p>
      <w:pPr>
        <w:pStyle w:val="Textkrper"/>
      </w:pPr>
    </w:p>
    <w:p>
      <w:r>
        <w:br w:type="page"/>
      </w:r>
    </w:p>
    <w:p>
      <w:pPr>
        <w:pStyle w:val="Textkrper"/>
      </w:pPr>
      <w:r>
        <w:rPr>
          <w:b/>
        </w:rPr>
        <w:t xml:space="preserve">Table 2-9: Overall predictivity of the alfentanil PBPK model. Open circles represent mean ratios of PBPK predicted AUC over observed AUC of alfentanil in children 3.6 months to 9 years old. Blue dashed lines and red dotted lines represent the 1.5-fold and 2-fold error, respectively.</w:t>
      </w:r>
    </w:p>
    <w:tbl>
      <w:tblPr>
        <w:tblStyle w:val="Table"/>
        <w:tblW w:type="pct" w:w="4999.999999999999"/>
        <w:tblLook w:firstRow="1"/>
      </w:tblPr>
      <w:tblGrid>
        <w:gridCol w:w="1320"/>
        <w:gridCol w:w="972"/>
        <w:gridCol w:w="1181"/>
        <w:gridCol w:w="1597"/>
        <w:gridCol w:w="1528"/>
        <w:gridCol w:w="1320"/>
      </w:tblGrid>
      <w:tr>
        <w:trPr>
          <w:cnfStyle w:firstRow="1"/>
        </w:trPr>
        <w:tc>
          <w:tcPr>
            <w:tcBorders>
              <w:bottom w:val="single"/>
            </w:tcBorders>
            <w:vAlign w:val="bottom"/>
          </w:tcPr>
          <w:p>
            <w:pPr>
              <w:pStyle w:val="Compact"/>
              <w:jc w:val="left"/>
            </w:pPr>
            <w:r>
              <w:t xml:space="preserve">Study ID</w:t>
            </w:r>
          </w:p>
        </w:tc>
        <w:tc>
          <w:tcPr>
            <w:tcBorders>
              <w:bottom w:val="single"/>
            </w:tcBorders>
            <w:vAlign w:val="bottom"/>
          </w:tcPr>
          <w:p>
            <w:pPr>
              <w:pStyle w:val="Compact"/>
              <w:jc w:val="left"/>
            </w:pPr>
            <w:r>
              <w:t xml:space="preserve">Age [year(s)]</w:t>
            </w:r>
          </w:p>
        </w:tc>
        <w:tc>
          <w:tcPr>
            <w:tcBorders>
              <w:bottom w:val="single"/>
            </w:tcBorders>
            <w:vAlign w:val="bottom"/>
          </w:tcPr>
          <w:p>
            <w:pPr>
              <w:pStyle w:val="Compact"/>
              <w:jc w:val="left"/>
            </w:pPr>
            <w:r>
              <w:t xml:space="preserve">Body Weight [kg]</w:t>
            </w:r>
          </w:p>
        </w:tc>
        <w:tc>
          <w:tcPr>
            <w:tcBorders>
              <w:bottom w:val="single"/>
            </w:tcBorders>
            <w:vAlign w:val="bottom"/>
          </w:tcPr>
          <w:p>
            <w:pPr>
              <w:pStyle w:val="Compact"/>
              <w:jc w:val="left"/>
            </w:pPr>
            <w:r>
              <w:t xml:space="preserve">Predicted AUC [µg*h/l]</w:t>
            </w:r>
          </w:p>
        </w:tc>
        <w:tc>
          <w:tcPr>
            <w:tcBorders>
              <w:bottom w:val="single"/>
            </w:tcBorders>
            <w:vAlign w:val="bottom"/>
          </w:tcPr>
          <w:p>
            <w:pPr>
              <w:pStyle w:val="Compact"/>
              <w:jc w:val="left"/>
            </w:pPr>
            <w:r>
              <w:t xml:space="preserve">Observed AUC [µg*h/l]</w:t>
            </w:r>
          </w:p>
        </w:tc>
        <w:tc>
          <w:tcPr>
            <w:tcBorders>
              <w:bottom w:val="single"/>
            </w:tcBorders>
            <w:vAlign w:val="bottom"/>
          </w:tcPr>
          <w:p>
            <w:pPr>
              <w:pStyle w:val="Compact"/>
              <w:jc w:val="left"/>
            </w:pPr>
            <w:r>
              <w:t xml:space="preserve">Pred/Obs AUC Ratio</w:t>
            </w:r>
          </w:p>
        </w:tc>
      </w:tr>
      <w:tr>
        <w:tc>
          <w:p>
            <w:pPr>
              <w:pStyle w:val="Compact"/>
              <w:jc w:val="left"/>
            </w:pPr>
            <w:r>
              <w:t xml:space="preserve">den Hollander 1992</w:t>
            </w:r>
          </w:p>
        </w:tc>
        <w:tc>
          <w:p>
            <w:pPr>
              <w:pStyle w:val="Compact"/>
              <w:jc w:val="left"/>
            </w:pPr>
            <w:r>
              <w:t xml:space="preserve">0.92</w:t>
            </w:r>
          </w:p>
        </w:tc>
        <w:tc>
          <w:p>
            <w:pPr>
              <w:pStyle w:val="Compact"/>
              <w:jc w:val="left"/>
            </w:pPr>
            <w:r>
              <w:t xml:space="preserve">6.50</w:t>
            </w:r>
          </w:p>
        </w:tc>
        <w:tc>
          <w:p>
            <w:pPr>
              <w:pStyle w:val="Compact"/>
              <w:jc w:val="left"/>
            </w:pPr>
            <w:r>
              <w:t xml:space="preserve">347.14</w:t>
            </w:r>
          </w:p>
        </w:tc>
        <w:tc>
          <w:p>
            <w:pPr>
              <w:pStyle w:val="Compact"/>
              <w:jc w:val="left"/>
            </w:pPr>
            <w:r>
              <w:t xml:space="preserve">351.67</w:t>
            </w:r>
          </w:p>
        </w:tc>
        <w:tc>
          <w:p>
            <w:pPr>
              <w:pStyle w:val="Compact"/>
              <w:jc w:val="left"/>
            </w:pPr>
            <w:r>
              <w:t xml:space="preserve">0.99</w:t>
            </w:r>
          </w:p>
        </w:tc>
      </w:tr>
      <w:tr>
        <w:tc>
          <w:p>
            <w:pPr>
              <w:pStyle w:val="Compact"/>
              <w:jc w:val="left"/>
            </w:pPr>
            <w:r>
              <w:t xml:space="preserve">den Hollander 1992</w:t>
            </w:r>
          </w:p>
        </w:tc>
        <w:tc>
          <w:p>
            <w:pPr>
              <w:pStyle w:val="Compact"/>
              <w:jc w:val="left"/>
            </w:pPr>
            <w:r>
              <w:t xml:space="preserve">0.83</w:t>
            </w:r>
          </w:p>
        </w:tc>
        <w:tc>
          <w:p>
            <w:pPr>
              <w:pStyle w:val="Compact"/>
              <w:jc w:val="left"/>
            </w:pPr>
            <w:r>
              <w:t xml:space="preserve">6.40</w:t>
            </w:r>
          </w:p>
        </w:tc>
        <w:tc>
          <w:p>
            <w:pPr>
              <w:pStyle w:val="Compact"/>
              <w:jc w:val="left"/>
            </w:pPr>
            <w:r>
              <w:t xml:space="preserve">352.31</w:t>
            </w:r>
          </w:p>
        </w:tc>
        <w:tc>
          <w:p>
            <w:pPr>
              <w:pStyle w:val="Compact"/>
              <w:jc w:val="left"/>
            </w:pPr>
            <w:r>
              <w:t xml:space="preserve">233.33</w:t>
            </w:r>
          </w:p>
        </w:tc>
        <w:tc>
          <w:p>
            <w:pPr>
              <w:pStyle w:val="Compact"/>
              <w:jc w:val="left"/>
            </w:pPr>
            <w:r>
              <w:t xml:space="preserve">1.51</w:t>
            </w:r>
          </w:p>
        </w:tc>
      </w:tr>
      <w:tr>
        <w:tc>
          <w:p>
            <w:pPr>
              <w:pStyle w:val="Compact"/>
              <w:jc w:val="left"/>
            </w:pPr>
            <w:r>
              <w:t xml:space="preserve">den Hollander 1992</w:t>
            </w:r>
          </w:p>
        </w:tc>
        <w:tc>
          <w:p>
            <w:pPr>
              <w:pStyle w:val="Compact"/>
              <w:jc w:val="left"/>
            </w:pPr>
            <w:r>
              <w:t xml:space="preserve">0.99</w:t>
            </w:r>
          </w:p>
        </w:tc>
        <w:tc>
          <w:p>
            <w:pPr>
              <w:pStyle w:val="Compact"/>
              <w:jc w:val="left"/>
            </w:pPr>
            <w:r>
              <w:t xml:space="preserve">8.50</w:t>
            </w:r>
          </w:p>
        </w:tc>
        <w:tc>
          <w:p>
            <w:pPr>
              <w:pStyle w:val="Compact"/>
              <w:jc w:val="left"/>
            </w:pPr>
            <w:r>
              <w:t xml:space="preserve">376.38</w:t>
            </w:r>
          </w:p>
        </w:tc>
        <w:tc>
          <w:p>
            <w:pPr>
              <w:pStyle w:val="Compact"/>
              <w:jc w:val="left"/>
            </w:pPr>
            <w:r>
              <w:t xml:space="preserve">330.00</w:t>
            </w:r>
          </w:p>
        </w:tc>
        <w:tc>
          <w:p>
            <w:pPr>
              <w:pStyle w:val="Compact"/>
              <w:jc w:val="left"/>
            </w:pPr>
            <w:r>
              <w:t xml:space="preserve">1.14</w:t>
            </w:r>
          </w:p>
        </w:tc>
      </w:tr>
      <w:tr>
        <w:tc>
          <w:p>
            <w:pPr>
              <w:pStyle w:val="Compact"/>
              <w:jc w:val="left"/>
            </w:pPr>
            <w:r>
              <w:t xml:space="preserve">den Hollander 1992</w:t>
            </w:r>
          </w:p>
        </w:tc>
        <w:tc>
          <w:p>
            <w:pPr>
              <w:pStyle w:val="Compact"/>
              <w:jc w:val="left"/>
            </w:pPr>
            <w:r>
              <w:t xml:space="preserve">0.30</w:t>
            </w:r>
          </w:p>
        </w:tc>
        <w:tc>
          <w:p>
            <w:pPr>
              <w:pStyle w:val="Compact"/>
              <w:jc w:val="left"/>
            </w:pPr>
            <w:r>
              <w:t xml:space="preserve">5.10</w:t>
            </w:r>
          </w:p>
        </w:tc>
        <w:tc>
          <w:p>
            <w:pPr>
              <w:pStyle w:val="Compact"/>
              <w:jc w:val="left"/>
            </w:pPr>
            <w:r>
              <w:t xml:space="preserve">469.36</w:t>
            </w:r>
          </w:p>
        </w:tc>
        <w:tc>
          <w:p>
            <w:pPr>
              <w:pStyle w:val="Compact"/>
              <w:jc w:val="left"/>
            </w:pPr>
            <w:r>
              <w:t xml:space="preserve">308.33</w:t>
            </w:r>
          </w:p>
        </w:tc>
        <w:tc>
          <w:p>
            <w:pPr>
              <w:pStyle w:val="Compact"/>
              <w:jc w:val="left"/>
            </w:pPr>
            <w:r>
              <w:t xml:space="preserve">1.52</w:t>
            </w:r>
          </w:p>
        </w:tc>
      </w:tr>
      <w:tr>
        <w:tc>
          <w:p>
            <w:pPr>
              <w:pStyle w:val="Compact"/>
              <w:jc w:val="left"/>
            </w:pPr>
            <w:r>
              <w:t xml:space="preserve">den Hollander 1992</w:t>
            </w:r>
          </w:p>
        </w:tc>
        <w:tc>
          <w:p>
            <w:pPr>
              <w:pStyle w:val="Compact"/>
              <w:jc w:val="left"/>
            </w:pPr>
            <w:r>
              <w:t xml:space="preserve">0.92</w:t>
            </w:r>
          </w:p>
        </w:tc>
        <w:tc>
          <w:p>
            <w:pPr>
              <w:pStyle w:val="Compact"/>
              <w:jc w:val="left"/>
            </w:pPr>
            <w:r>
              <w:t xml:space="preserve">6.15</w:t>
            </w:r>
          </w:p>
        </w:tc>
        <w:tc>
          <w:p>
            <w:pPr>
              <w:pStyle w:val="Compact"/>
              <w:jc w:val="left"/>
            </w:pPr>
            <w:r>
              <w:t xml:space="preserve">296.56</w:t>
            </w:r>
          </w:p>
        </w:tc>
        <w:tc>
          <w:p>
            <w:pPr>
              <w:pStyle w:val="Compact"/>
              <w:jc w:val="left"/>
            </w:pPr>
            <w:r>
              <w:t xml:space="preserve">265.00</w:t>
            </w:r>
          </w:p>
        </w:tc>
        <w:tc>
          <w:p>
            <w:pPr>
              <w:pStyle w:val="Compact"/>
              <w:jc w:val="left"/>
            </w:pPr>
            <w:r>
              <w:t xml:space="preserve">1.12</w:t>
            </w:r>
          </w:p>
        </w:tc>
      </w:tr>
      <w:tr>
        <w:tc>
          <w:p>
            <w:pPr>
              <w:pStyle w:val="Compact"/>
              <w:jc w:val="left"/>
            </w:pPr>
            <w:r>
              <w:t xml:space="preserve">den Hollander 1992</w:t>
            </w:r>
          </w:p>
        </w:tc>
        <w:tc>
          <w:p>
            <w:pPr>
              <w:pStyle w:val="Compact"/>
              <w:jc w:val="left"/>
            </w:pPr>
            <w:r>
              <w:t xml:space="preserve">1.30</w:t>
            </w:r>
          </w:p>
        </w:tc>
        <w:tc>
          <w:p>
            <w:pPr>
              <w:pStyle w:val="Compact"/>
              <w:jc w:val="left"/>
            </w:pPr>
            <w:r>
              <w:t xml:space="preserve">10.40</w:t>
            </w:r>
          </w:p>
        </w:tc>
        <w:tc>
          <w:p>
            <w:pPr>
              <w:pStyle w:val="Compact"/>
              <w:jc w:val="left"/>
            </w:pPr>
            <w:r>
              <w:t xml:space="preserve">353.86</w:t>
            </w:r>
          </w:p>
        </w:tc>
        <w:tc>
          <w:p>
            <w:pPr>
              <w:pStyle w:val="Compact"/>
              <w:jc w:val="left"/>
            </w:pPr>
            <w:r>
              <w:t xml:space="preserve">405.00</w:t>
            </w:r>
          </w:p>
        </w:tc>
        <w:tc>
          <w:p>
            <w:pPr>
              <w:pStyle w:val="Compact"/>
              <w:jc w:val="left"/>
            </w:pPr>
            <w:r>
              <w:t xml:space="preserve">0.87</w:t>
            </w:r>
          </w:p>
        </w:tc>
      </w:tr>
      <w:tr>
        <w:tc>
          <w:p>
            <w:pPr>
              <w:pStyle w:val="Compact"/>
              <w:jc w:val="left"/>
            </w:pPr>
            <w:r>
              <w:t xml:space="preserve">den Hollander 1992</w:t>
            </w:r>
          </w:p>
        </w:tc>
        <w:tc>
          <w:p>
            <w:pPr>
              <w:pStyle w:val="Compact"/>
              <w:jc w:val="left"/>
            </w:pPr>
            <w:r>
              <w:t xml:space="preserve">9.00</w:t>
            </w:r>
          </w:p>
        </w:tc>
        <w:tc>
          <w:p>
            <w:pPr>
              <w:pStyle w:val="Compact"/>
              <w:jc w:val="left"/>
            </w:pPr>
            <w:r>
              <w:t xml:space="preserve">25.60</w:t>
            </w:r>
          </w:p>
        </w:tc>
        <w:tc>
          <w:p>
            <w:pPr>
              <w:pStyle w:val="Compact"/>
              <w:jc w:val="left"/>
            </w:pPr>
            <w:r>
              <w:t xml:space="preserve">323.36</w:t>
            </w:r>
          </w:p>
        </w:tc>
        <w:tc>
          <w:p>
            <w:pPr>
              <w:pStyle w:val="Compact"/>
              <w:jc w:val="left"/>
            </w:pPr>
            <w:r>
              <w:t xml:space="preserve">188.33</w:t>
            </w:r>
          </w:p>
        </w:tc>
        <w:tc>
          <w:p>
            <w:pPr>
              <w:pStyle w:val="Compact"/>
              <w:jc w:val="left"/>
            </w:pPr>
            <w:r>
              <w:t xml:space="preserve">1.72</w:t>
            </w:r>
          </w:p>
        </w:tc>
      </w:tr>
      <w:tr>
        <w:tc>
          <w:p>
            <w:pPr>
              <w:pStyle w:val="Compact"/>
              <w:jc w:val="left"/>
            </w:pPr>
            <w:r>
              <w:t xml:space="preserve">den Hollander 1992</w:t>
            </w:r>
          </w:p>
        </w:tc>
        <w:tc>
          <w:p>
            <w:pPr>
              <w:pStyle w:val="Compact"/>
              <w:jc w:val="left"/>
            </w:pPr>
            <w:r>
              <w:t xml:space="preserve">3.50</w:t>
            </w:r>
          </w:p>
        </w:tc>
        <w:tc>
          <w:p>
            <w:pPr>
              <w:pStyle w:val="Compact"/>
              <w:jc w:val="left"/>
            </w:pPr>
            <w:r>
              <w:t xml:space="preserve">14.40</w:t>
            </w:r>
          </w:p>
        </w:tc>
        <w:tc>
          <w:p>
            <w:pPr>
              <w:pStyle w:val="Compact"/>
              <w:jc w:val="left"/>
            </w:pPr>
            <w:r>
              <w:t xml:space="preserve">314.59</w:t>
            </w:r>
          </w:p>
        </w:tc>
        <w:tc>
          <w:p>
            <w:pPr>
              <w:pStyle w:val="Compact"/>
              <w:jc w:val="left"/>
            </w:pPr>
            <w:r>
              <w:t xml:space="preserve">310.00</w:t>
            </w:r>
          </w:p>
        </w:tc>
        <w:tc>
          <w:p>
            <w:pPr>
              <w:pStyle w:val="Compact"/>
              <w:jc w:val="left"/>
            </w:pPr>
            <w:r>
              <w:t xml:space="preserve">1.01</w:t>
            </w:r>
          </w:p>
        </w:tc>
      </w:tr>
      <w:tr>
        <w:tc>
          <w:p>
            <w:pPr>
              <w:pStyle w:val="Compact"/>
              <w:jc w:val="left"/>
            </w:pPr>
            <w:r>
              <w:t xml:space="preserve">den Hollander 1992</w:t>
            </w:r>
          </w:p>
        </w:tc>
        <w:tc>
          <w:p>
            <w:pPr>
              <w:pStyle w:val="Compact"/>
              <w:jc w:val="left"/>
            </w:pPr>
            <w:r>
              <w:t xml:space="preserve">5.50</w:t>
            </w:r>
          </w:p>
        </w:tc>
        <w:tc>
          <w:p>
            <w:pPr>
              <w:pStyle w:val="Compact"/>
              <w:jc w:val="left"/>
            </w:pPr>
            <w:r>
              <w:t xml:space="preserve">19.50</w:t>
            </w:r>
          </w:p>
        </w:tc>
        <w:tc>
          <w:p>
            <w:pPr>
              <w:pStyle w:val="Compact"/>
              <w:jc w:val="left"/>
            </w:pPr>
            <w:r>
              <w:t xml:space="preserve">315.14</w:t>
            </w:r>
          </w:p>
        </w:tc>
        <w:tc>
          <w:p>
            <w:pPr>
              <w:pStyle w:val="Compact"/>
              <w:jc w:val="left"/>
            </w:pPr>
            <w:r>
              <w:t xml:space="preserve">345.00</w:t>
            </w:r>
          </w:p>
        </w:tc>
        <w:tc>
          <w:p>
            <w:pPr>
              <w:pStyle w:val="Compact"/>
              <w:jc w:val="left"/>
            </w:pPr>
            <w:r>
              <w:t xml:space="preserve">0.91</w:t>
            </w:r>
          </w:p>
        </w:tc>
      </w:tr>
      <w:tr>
        <w:tc>
          <w:p>
            <w:pPr>
              <w:pStyle w:val="Compact"/>
              <w:jc w:val="left"/>
            </w:pPr>
            <w:r>
              <w:t xml:space="preserve">den Hollander 1992</w:t>
            </w:r>
          </w:p>
        </w:tc>
        <w:tc>
          <w:p>
            <w:pPr>
              <w:pStyle w:val="Compact"/>
              <w:jc w:val="left"/>
            </w:pPr>
            <w:r>
              <w:t xml:space="preserve">3.50</w:t>
            </w:r>
          </w:p>
        </w:tc>
        <w:tc>
          <w:p>
            <w:pPr>
              <w:pStyle w:val="Compact"/>
              <w:jc w:val="left"/>
            </w:pPr>
            <w:r>
              <w:t xml:space="preserve">18.50</w:t>
            </w:r>
          </w:p>
        </w:tc>
        <w:tc>
          <w:p>
            <w:pPr>
              <w:pStyle w:val="Compact"/>
              <w:jc w:val="left"/>
            </w:pPr>
            <w:r>
              <w:t xml:space="preserve">341.38</w:t>
            </w:r>
          </w:p>
        </w:tc>
        <w:tc>
          <w:p>
            <w:pPr>
              <w:pStyle w:val="Compact"/>
              <w:jc w:val="left"/>
            </w:pPr>
            <w:r>
              <w:t xml:space="preserve">378.33</w:t>
            </w:r>
          </w:p>
        </w:tc>
        <w:tc>
          <w:p>
            <w:pPr>
              <w:pStyle w:val="Compact"/>
              <w:jc w:val="left"/>
            </w:pPr>
            <w:r>
              <w:t xml:space="preserve">0.90</w:t>
            </w:r>
          </w:p>
        </w:tc>
      </w:tr>
      <w:tr>
        <w:tc>
          <w:p>
            <w:pPr>
              <w:pStyle w:val="Compact"/>
              <w:jc w:val="left"/>
            </w:pPr>
            <w:r>
              <w:t xml:space="preserve">Meistelman 1987</w:t>
            </w:r>
          </w:p>
        </w:tc>
        <w:tc>
          <w:p>
            <w:pPr>
              <w:pStyle w:val="Compact"/>
              <w:jc w:val="left"/>
            </w:pPr>
            <w:r>
              <w:t xml:space="preserve">4.70</w:t>
            </w:r>
          </w:p>
        </w:tc>
        <w:tc>
          <w:p>
            <w:pPr>
              <w:pStyle w:val="Compact"/>
              <w:jc w:val="left"/>
            </w:pPr>
            <w:r>
              <w:t xml:space="preserve">20.00</w:t>
            </w:r>
          </w:p>
        </w:tc>
        <w:tc>
          <w:p>
            <w:pPr>
              <w:pStyle w:val="Compact"/>
              <w:jc w:val="left"/>
            </w:pPr>
            <w:r>
              <w:t xml:space="preserve">68.19</w:t>
            </w:r>
          </w:p>
        </w:tc>
        <w:tc>
          <w:p>
            <w:pPr>
              <w:pStyle w:val="Compact"/>
              <w:jc w:val="left"/>
            </w:pPr>
            <w:r>
              <w:t xml:space="preserve">98.04</w:t>
            </w:r>
          </w:p>
        </w:tc>
        <w:tc>
          <w:p>
            <w:pPr>
              <w:pStyle w:val="Compact"/>
              <w:jc w:val="left"/>
            </w:pPr>
            <w:r>
              <w:t xml:space="preserve">0.70</w:t>
            </w:r>
          </w:p>
        </w:tc>
      </w:tr>
      <w:tr>
        <w:tc>
          <w:p>
            <w:pPr>
              <w:pStyle w:val="Compact"/>
              <w:jc w:val="left"/>
            </w:pPr>
            <w:r>
              <w:t xml:space="preserve">Meistelman 1987</w:t>
            </w:r>
          </w:p>
        </w:tc>
        <w:tc>
          <w:p>
            <w:pPr>
              <w:pStyle w:val="Compact"/>
              <w:jc w:val="left"/>
            </w:pPr>
            <w:r>
              <w:t xml:space="preserve">5.50</w:t>
            </w:r>
          </w:p>
        </w:tc>
        <w:tc>
          <w:p>
            <w:pPr>
              <w:pStyle w:val="Compact"/>
              <w:jc w:val="left"/>
            </w:pPr>
            <w:r>
              <w:t xml:space="preserve">20.00</w:t>
            </w:r>
          </w:p>
        </w:tc>
        <w:tc>
          <w:p>
            <w:pPr>
              <w:pStyle w:val="Compact"/>
              <w:jc w:val="left"/>
            </w:pPr>
            <w:r>
              <w:t xml:space="preserve">63.19</w:t>
            </w:r>
          </w:p>
        </w:tc>
        <w:tc>
          <w:p>
            <w:pPr>
              <w:pStyle w:val="Compact"/>
              <w:jc w:val="left"/>
            </w:pPr>
            <w:r>
              <w:t xml:space="preserve">56.50</w:t>
            </w:r>
          </w:p>
        </w:tc>
        <w:tc>
          <w:p>
            <w:pPr>
              <w:pStyle w:val="Compact"/>
              <w:jc w:val="left"/>
            </w:pPr>
            <w:r>
              <w:t xml:space="preserve">1.12</w:t>
            </w:r>
          </w:p>
        </w:tc>
      </w:tr>
      <w:tr>
        <w:tc>
          <w:p>
            <w:pPr>
              <w:pStyle w:val="Compact"/>
              <w:jc w:val="left"/>
            </w:pPr>
            <w:r>
              <w:t xml:space="preserve">Meistelman 1987</w:t>
            </w:r>
          </w:p>
        </w:tc>
        <w:tc>
          <w:p>
            <w:pPr>
              <w:pStyle w:val="Compact"/>
              <w:jc w:val="left"/>
            </w:pPr>
            <w:r>
              <w:t xml:space="preserve">7.70</w:t>
            </w:r>
          </w:p>
        </w:tc>
        <w:tc>
          <w:p>
            <w:pPr>
              <w:pStyle w:val="Compact"/>
              <w:jc w:val="left"/>
            </w:pPr>
            <w:r>
              <w:t xml:space="preserve">23.00</w:t>
            </w:r>
          </w:p>
        </w:tc>
        <w:tc>
          <w:p>
            <w:pPr>
              <w:pStyle w:val="Compact"/>
              <w:jc w:val="left"/>
            </w:pPr>
            <w:r>
              <w:t xml:space="preserve">62.90</w:t>
            </w:r>
          </w:p>
        </w:tc>
        <w:tc>
          <w:p>
            <w:pPr>
              <w:pStyle w:val="Compact"/>
              <w:jc w:val="left"/>
            </w:pPr>
            <w:r>
              <w:t xml:space="preserve">40.16</w:t>
            </w:r>
          </w:p>
        </w:tc>
        <w:tc>
          <w:p>
            <w:pPr>
              <w:pStyle w:val="Compact"/>
              <w:jc w:val="left"/>
            </w:pPr>
            <w:r>
              <w:t xml:space="preserve">1.57</w:t>
            </w:r>
          </w:p>
        </w:tc>
      </w:tr>
      <w:tr>
        <w:tc>
          <w:p>
            <w:pPr>
              <w:pStyle w:val="Compact"/>
              <w:jc w:val="left"/>
            </w:pPr>
            <w:r>
              <w:t xml:space="preserve">Meistelman 1987</w:t>
            </w:r>
          </w:p>
        </w:tc>
        <w:tc>
          <w:p>
            <w:pPr>
              <w:pStyle w:val="Compact"/>
              <w:jc w:val="left"/>
            </w:pPr>
            <w:r>
              <w:t xml:space="preserve">4.50</w:t>
            </w:r>
          </w:p>
        </w:tc>
        <w:tc>
          <w:p>
            <w:pPr>
              <w:pStyle w:val="Compact"/>
              <w:jc w:val="left"/>
            </w:pPr>
            <w:r>
              <w:t xml:space="preserve">14.00</w:t>
            </w:r>
          </w:p>
        </w:tc>
        <w:tc>
          <w:p>
            <w:pPr>
              <w:pStyle w:val="Compact"/>
              <w:jc w:val="left"/>
            </w:pPr>
            <w:r>
              <w:t xml:space="preserve">54.21</w:t>
            </w:r>
          </w:p>
        </w:tc>
        <w:tc>
          <w:p>
            <w:pPr>
              <w:pStyle w:val="Compact"/>
              <w:jc w:val="left"/>
            </w:pPr>
            <w:r>
              <w:t xml:space="preserve">72.46</w:t>
            </w:r>
          </w:p>
        </w:tc>
        <w:tc>
          <w:p>
            <w:pPr>
              <w:pStyle w:val="Compact"/>
              <w:jc w:val="left"/>
            </w:pPr>
            <w:r>
              <w:t xml:space="preserve">0.75</w:t>
            </w:r>
          </w:p>
        </w:tc>
      </w:tr>
      <w:tr>
        <w:tc>
          <w:p>
            <w:pPr>
              <w:pStyle w:val="Compact"/>
              <w:jc w:val="left"/>
            </w:pPr>
            <w:r>
              <w:t xml:space="preserve">Meistelman 1987</w:t>
            </w:r>
          </w:p>
        </w:tc>
        <w:tc>
          <w:p>
            <w:pPr>
              <w:pStyle w:val="Compact"/>
              <w:jc w:val="left"/>
            </w:pPr>
            <w:r>
              <w:t xml:space="preserve">4.80</w:t>
            </w:r>
          </w:p>
        </w:tc>
        <w:tc>
          <w:p>
            <w:pPr>
              <w:pStyle w:val="Compact"/>
              <w:jc w:val="left"/>
            </w:pPr>
            <w:r>
              <w:t xml:space="preserve">24.00</w:t>
            </w:r>
          </w:p>
        </w:tc>
        <w:tc>
          <w:p>
            <w:pPr>
              <w:pStyle w:val="Compact"/>
              <w:jc w:val="left"/>
            </w:pPr>
            <w:r>
              <w:t xml:space="preserve">80.61</w:t>
            </w:r>
          </w:p>
        </w:tc>
        <w:tc>
          <w:p>
            <w:pPr>
              <w:pStyle w:val="Compact"/>
              <w:jc w:val="left"/>
            </w:pPr>
            <w:r>
              <w:t xml:space="preserve">90.09</w:t>
            </w:r>
          </w:p>
        </w:tc>
        <w:tc>
          <w:p>
            <w:pPr>
              <w:pStyle w:val="Compact"/>
              <w:jc w:val="left"/>
            </w:pPr>
            <w:r>
              <w:t xml:space="preserve">0.89</w:t>
            </w:r>
          </w:p>
        </w:tc>
      </w:tr>
      <w:tr>
        <w:tc>
          <w:p>
            <w:pPr>
              <w:pStyle w:val="Compact"/>
              <w:jc w:val="left"/>
            </w:pPr>
            <w:r>
              <w:t xml:space="preserve">Meistelman 1987</w:t>
            </w:r>
          </w:p>
        </w:tc>
        <w:tc>
          <w:p>
            <w:pPr>
              <w:pStyle w:val="Compact"/>
              <w:jc w:val="left"/>
            </w:pPr>
            <w:r>
              <w:t xml:space="preserve">4.50</w:t>
            </w:r>
          </w:p>
        </w:tc>
        <w:tc>
          <w:p>
            <w:pPr>
              <w:pStyle w:val="Compact"/>
              <w:jc w:val="left"/>
            </w:pPr>
            <w:r>
              <w:t xml:space="preserve">20.00</w:t>
            </w:r>
          </w:p>
        </w:tc>
        <w:tc>
          <w:p>
            <w:pPr>
              <w:pStyle w:val="Compact"/>
              <w:jc w:val="left"/>
            </w:pPr>
            <w:r>
              <w:t xml:space="preserve">69.91</w:t>
            </w:r>
          </w:p>
        </w:tc>
        <w:tc>
          <w:p>
            <w:pPr>
              <w:pStyle w:val="Compact"/>
              <w:jc w:val="left"/>
            </w:pPr>
            <w:r>
              <w:t xml:space="preserve">69.44</w:t>
            </w:r>
          </w:p>
        </w:tc>
        <w:tc>
          <w:p>
            <w:pPr>
              <w:pStyle w:val="Compact"/>
              <w:jc w:val="left"/>
            </w:pPr>
            <w:r>
              <w:t xml:space="preserve">1.01</w:t>
            </w:r>
          </w:p>
        </w:tc>
      </w:tr>
      <w:tr>
        <w:tc>
          <w:p>
            <w:pPr>
              <w:pStyle w:val="Compact"/>
              <w:jc w:val="left"/>
            </w:pPr>
            <w:r>
              <w:t xml:space="preserve">Meistelman 1987</w:t>
            </w:r>
          </w:p>
        </w:tc>
        <w:tc>
          <w:p>
            <w:pPr>
              <w:pStyle w:val="Compact"/>
              <w:jc w:val="left"/>
            </w:pPr>
            <w:r>
              <w:t xml:space="preserve">6.20</w:t>
            </w:r>
          </w:p>
        </w:tc>
        <w:tc>
          <w:p>
            <w:pPr>
              <w:pStyle w:val="Compact"/>
              <w:jc w:val="left"/>
            </w:pPr>
            <w:r>
              <w:t xml:space="preserve">23.00</w:t>
            </w:r>
          </w:p>
        </w:tc>
        <w:tc>
          <w:p>
            <w:pPr>
              <w:pStyle w:val="Compact"/>
              <w:jc w:val="left"/>
            </w:pPr>
            <w:r>
              <w:t xml:space="preserve">68.46</w:t>
            </w:r>
          </w:p>
        </w:tc>
        <w:tc>
          <w:p>
            <w:pPr>
              <w:pStyle w:val="Compact"/>
              <w:jc w:val="left"/>
            </w:pPr>
            <w:r>
              <w:t xml:space="preserve">75.76</w:t>
            </w:r>
          </w:p>
        </w:tc>
        <w:tc>
          <w:p>
            <w:pPr>
              <w:pStyle w:val="Compact"/>
              <w:jc w:val="left"/>
            </w:pPr>
            <w:r>
              <w:t xml:space="preserve">0.90</w:t>
            </w:r>
          </w:p>
        </w:tc>
      </w:tr>
      <w:tr>
        <w:tc>
          <w:p>
            <w:pPr>
              <w:pStyle w:val="Compact"/>
              <w:jc w:val="left"/>
            </w:pPr>
            <w:r>
              <w:t xml:space="preserve">Meistelman 1987</w:t>
            </w:r>
          </w:p>
        </w:tc>
        <w:tc>
          <w:p>
            <w:pPr>
              <w:pStyle w:val="Compact"/>
              <w:jc w:val="left"/>
            </w:pPr>
            <w:r>
              <w:t xml:space="preserve">4.90</w:t>
            </w:r>
          </w:p>
        </w:tc>
        <w:tc>
          <w:p>
            <w:pPr>
              <w:pStyle w:val="Compact"/>
              <w:jc w:val="left"/>
            </w:pPr>
            <w:r>
              <w:t xml:space="preserve">22.00</w:t>
            </w:r>
          </w:p>
        </w:tc>
        <w:tc>
          <w:p>
            <w:pPr>
              <w:pStyle w:val="Compact"/>
              <w:jc w:val="left"/>
            </w:pPr>
            <w:r>
              <w:t xml:space="preserve">72.99</w:t>
            </w:r>
          </w:p>
        </w:tc>
        <w:tc>
          <w:p>
            <w:pPr>
              <w:pStyle w:val="Compact"/>
              <w:jc w:val="left"/>
            </w:pPr>
            <w:r>
              <w:t xml:space="preserve">123.46</w:t>
            </w:r>
          </w:p>
        </w:tc>
        <w:tc>
          <w:p>
            <w:pPr>
              <w:pStyle w:val="Compact"/>
              <w:jc w:val="left"/>
            </w:pPr>
            <w:r>
              <w:t xml:space="preserve">0.59</w:t>
            </w:r>
          </w:p>
        </w:tc>
      </w:tr>
    </w:tbl>
    <w:p>
      <w:pPr>
        <w:pStyle w:val="Textkrper"/>
      </w:pPr>
      <w:r>
        <w:t xml:space="preserve"> </w:t>
      </w:r>
    </w:p>
    <w:p>
      <w:pPr>
        <w:pStyle w:val="Textkrper"/>
      </w:pPr>
    </w:p>
    <w:p>
      <w:pPr>
        <w:pStyle w:val="berschrift2"/>
      </w:pPr>
      <w:bookmarkStart w:id="41" w:name="X528d6559a4bae3c19bb2489f113b507def17e2c"/>
      <w:r>
        <w:t xml:space="preserve">Alfentanil Concentration-Time profiles in Children</w:t>
      </w:r>
      <w:bookmarkEnd w:id="41"/>
    </w:p>
    <w:p>
      <w:pPr>
        <w:pStyle w:val="berschrift4"/>
      </w:pPr>
      <w:bookmarkStart w:id="42" w:name="concentration-time-profiles-1"/>
      <w:r>
        <w:t xml:space="preserve">Concentration-Time Profiles</w:t>
      </w:r>
      <w:bookmarkEnd w:id="42"/>
    </w:p>
    <w:p>
      <w:pPr>
        <w:pStyle w:val="FirstParagraph"/>
      </w:pPr>
      <w:r>
        <w:t xml:space="preserve">Predicted versus observed plasma concentration-time profiles are listed below. Only simulations where observed data was available for comparison are shown. Depending if the observed data were individual data or aggregated data, individual predictions or population predictions including variability are shown, respectively.</w:t>
      </w:r>
    </w:p>
    <w:p>
      <w:pPr>
        <w:pStyle w:val="Textkrper"/>
      </w:pPr>
    </w:p>
    <w:p>
      <w:r>
        <w:br w:type="page"/>
      </w:r>
    </w:p>
    <w:p>
      <w:pPr>
        <w:pStyle w:val="CaptionedFigure"/>
      </w:pPr>
      <w:r>
        <w:drawing>
          <wp:inline>
            <wp:extent cx="5969000" cy="6625852"/>
            <wp:effectExtent b="0" l="0" r="0" t="0"/>
            <wp:docPr descr="Figure 2-10: Time Profile Analysis" title="" id="1" name="Picture"/>
            <a:graphic>
              <a:graphicData uri="http://schemas.openxmlformats.org/drawingml/2006/picture">
                <pic:pic>
                  <pic:nvPicPr>
                    <pic:cNvPr descr="images/002_section_3/006_section_34/1_time_profile_plot_Alfentanil_Pediatrics_den_Holländer_1992_ind_3.png" id="0" name="Picture"/>
                    <pic:cNvPicPr>
                      <a:picLocks noChangeArrowheads="1" noChangeAspect="1"/>
                    </pic:cNvPicPr>
                  </pic:nvPicPr>
                  <pic:blipFill>
                    <a:blip r:embed="rId43"/>
                    <a:stretch>
                      <a:fillRect/>
                    </a:stretch>
                  </pic:blipFill>
                  <pic:spPr bwMode="auto">
                    <a:xfrm>
                      <a:off x="0" y="0"/>
                      <a:ext cx="5969000" cy="6625852"/>
                    </a:xfrm>
                    <a:prstGeom prst="rect">
                      <a:avLst/>
                    </a:prstGeom>
                    <a:noFill/>
                    <a:ln w="9525">
                      <a:noFill/>
                      <a:headEnd/>
                      <a:tailEnd/>
                    </a:ln>
                  </pic:spPr>
                </pic:pic>
              </a:graphicData>
            </a:graphic>
          </wp:inline>
        </w:drawing>
      </w:r>
    </w:p>
    <w:p>
      <w:pPr>
        <w:pStyle w:val="ImageCaption"/>
      </w:pPr>
      <w:r>
        <w:rPr>
          <w:b/>
        </w:rPr>
        <w:t xml:space="preserve">Figure 2-10: Time Profile Analysis</w:t>
      </w:r>
    </w:p>
    <w:p>
      <w:pPr>
        <w:pStyle w:val="Textkrper"/>
      </w:pPr>
      <w:r>
        <w:t xml:space="preserve"> </w:t>
      </w:r>
    </w:p>
    <w:p>
      <w:pPr>
        <w:pStyle w:val="Textkrper"/>
      </w:pPr>
    </w:p>
    <w:p>
      <w:r>
        <w:br w:type="page"/>
      </w:r>
    </w:p>
    <w:p>
      <w:pPr>
        <w:pStyle w:val="CaptionedFigure"/>
      </w:pPr>
      <w:r>
        <w:drawing>
          <wp:inline>
            <wp:extent cx="5969000" cy="6625852"/>
            <wp:effectExtent b="0" l="0" r="0" t="0"/>
            <wp:docPr descr="Figure 2-11: Time Profile Analysis 1" title="" id="1" name="Picture"/>
            <a:graphic>
              <a:graphicData uri="http://schemas.openxmlformats.org/drawingml/2006/picture">
                <pic:pic>
                  <pic:nvPicPr>
                    <pic:cNvPr descr="images/002_section_3/006_section_34/2_time_profile_plot_Alfentanil_Pediatrics_den_Holländer_1992_ind_3.png" id="0" name="Picture"/>
                    <pic:cNvPicPr>
                      <a:picLocks noChangeArrowheads="1" noChangeAspect="1"/>
                    </pic:cNvPicPr>
                  </pic:nvPicPr>
                  <pic:blipFill>
                    <a:blip r:embed="rId44"/>
                    <a:stretch>
                      <a:fillRect/>
                    </a:stretch>
                  </pic:blipFill>
                  <pic:spPr bwMode="auto">
                    <a:xfrm>
                      <a:off x="0" y="0"/>
                      <a:ext cx="5969000" cy="6625852"/>
                    </a:xfrm>
                    <a:prstGeom prst="rect">
                      <a:avLst/>
                    </a:prstGeom>
                    <a:noFill/>
                    <a:ln w="9525">
                      <a:noFill/>
                      <a:headEnd/>
                      <a:tailEnd/>
                    </a:ln>
                  </pic:spPr>
                </pic:pic>
              </a:graphicData>
            </a:graphic>
          </wp:inline>
        </w:drawing>
      </w:r>
    </w:p>
    <w:p>
      <w:pPr>
        <w:pStyle w:val="ImageCaption"/>
      </w:pPr>
      <w:r>
        <w:rPr>
          <w:b/>
        </w:rPr>
        <w:t xml:space="preserve">Figure 2-11: Time Profile Analysis 1</w:t>
      </w:r>
    </w:p>
    <w:p>
      <w:pPr>
        <w:pStyle w:val="Textkrper"/>
      </w:pPr>
      <w:r>
        <w:t xml:space="preserve"> </w:t>
      </w:r>
    </w:p>
    <w:p>
      <w:pPr>
        <w:pStyle w:val="Textkrper"/>
      </w:pPr>
    </w:p>
    <w:p>
      <w:r>
        <w:br w:type="page"/>
      </w:r>
    </w:p>
    <w:p>
      <w:pPr>
        <w:pStyle w:val="CaptionedFigure"/>
      </w:pPr>
      <w:r>
        <w:drawing>
          <wp:inline>
            <wp:extent cx="5969000" cy="3403125"/>
            <wp:effectExtent b="0" l="0" r="0" t="0"/>
            <wp:docPr descr="Figure 2-12: Time Profile Analysis" title="" id="1" name="Picture"/>
            <a:graphic>
              <a:graphicData uri="http://schemas.openxmlformats.org/drawingml/2006/picture">
                <pic:pic>
                  <pic:nvPicPr>
                    <pic:cNvPr descr="images/002_section_3/006_section_34/3_time_profile_plot_Alfentanil_Pediatrics_Meistelman_1987_children.png" id="0" name="Picture"/>
                    <pic:cNvPicPr>
                      <a:picLocks noChangeArrowheads="1" noChangeAspect="1"/>
                    </pic:cNvPicPr>
                  </pic:nvPicPr>
                  <pic:blipFill>
                    <a:blip r:embed="rId45"/>
                    <a:stretch>
                      <a:fillRect/>
                    </a:stretch>
                  </pic:blipFill>
                  <pic:spPr bwMode="auto">
                    <a:xfrm>
                      <a:off x="0" y="0"/>
                      <a:ext cx="5969000" cy="3403125"/>
                    </a:xfrm>
                    <a:prstGeom prst="rect">
                      <a:avLst/>
                    </a:prstGeom>
                    <a:noFill/>
                    <a:ln w="9525">
                      <a:noFill/>
                      <a:headEnd/>
                      <a:tailEnd/>
                    </a:ln>
                  </pic:spPr>
                </pic:pic>
              </a:graphicData>
            </a:graphic>
          </wp:inline>
        </w:drawing>
      </w:r>
    </w:p>
    <w:p>
      <w:pPr>
        <w:pStyle w:val="ImageCaption"/>
      </w:pPr>
      <w:r>
        <w:rPr>
          <w:b/>
        </w:rPr>
        <w:t xml:space="preserve">Figure 2-12: Time Profile Analysis</w:t>
      </w:r>
    </w:p>
    <w:p>
      <w:pPr>
        <w:pStyle w:val="Textkrper"/>
      </w:pPr>
      <w:r>
        <w:t xml:space="preserve"> </w:t>
      </w:r>
    </w:p>
    <w:p>
      <w:pPr>
        <w:pStyle w:val="Textkrper"/>
      </w:pPr>
    </w:p>
    <w:p>
      <w:r>
        <w:br w:type="page"/>
      </w:r>
    </w:p>
    <w:p>
      <w:pPr>
        <w:pStyle w:val="CaptionedFigure"/>
      </w:pPr>
      <w:r>
        <w:drawing>
          <wp:inline>
            <wp:extent cx="5969000" cy="3403125"/>
            <wp:effectExtent b="0" l="0" r="0" t="0"/>
            <wp:docPr descr="Figure 2-13: Time Profile Analysis 1" title="" id="1" name="Picture"/>
            <a:graphic>
              <a:graphicData uri="http://schemas.openxmlformats.org/drawingml/2006/picture">
                <pic:pic>
                  <pic:nvPicPr>
                    <pic:cNvPr descr="images/002_section_3/006_section_34/4_time_profile_plot_Alfentanil_Pediatrics_Meistelman_1987_children.png" id="0" name="Picture"/>
                    <pic:cNvPicPr>
                      <a:picLocks noChangeArrowheads="1" noChangeAspect="1"/>
                    </pic:cNvPicPr>
                  </pic:nvPicPr>
                  <pic:blipFill>
                    <a:blip r:embed="rId46"/>
                    <a:stretch>
                      <a:fillRect/>
                    </a:stretch>
                  </pic:blipFill>
                  <pic:spPr bwMode="auto">
                    <a:xfrm>
                      <a:off x="0" y="0"/>
                      <a:ext cx="5969000" cy="3403125"/>
                    </a:xfrm>
                    <a:prstGeom prst="rect">
                      <a:avLst/>
                    </a:prstGeom>
                    <a:noFill/>
                    <a:ln w="9525">
                      <a:noFill/>
                      <a:headEnd/>
                      <a:tailEnd/>
                    </a:ln>
                  </pic:spPr>
                </pic:pic>
              </a:graphicData>
            </a:graphic>
          </wp:inline>
        </w:drawing>
      </w:r>
    </w:p>
    <w:p>
      <w:pPr>
        <w:pStyle w:val="ImageCaption"/>
      </w:pPr>
      <w:r>
        <w:rPr>
          <w:b/>
        </w:rPr>
        <w:t xml:space="preserve">Figure 2-13: Time Profile Analysis 1</w:t>
      </w:r>
    </w:p>
    <w:p>
      <w:pPr>
        <w:pStyle w:val="Textkrper"/>
      </w:pPr>
      <w:r>
        <w:t xml:space="preserve"> </w:t>
      </w:r>
    </w:p>
    <w:p>
      <w:pPr>
        <w:pStyle w:val="Textkrper"/>
      </w:pPr>
    </w:p>
    <w:p>
      <w:pPr>
        <w:pStyle w:val="berschrift1"/>
      </w:pPr>
      <w:bookmarkStart w:id="47" w:name="references"/>
      <w:r>
        <w:t xml:space="preserve">References</w:t>
      </w:r>
      <w:bookmarkEnd w:id="47"/>
    </w:p>
    <w:p>
      <w:pPr>
        <w:pStyle w:val="FirstParagraph"/>
      </w:pPr>
      <w:r>
        <w:rPr>
          <w:b/>
        </w:rPr>
        <w:t xml:space="preserve">Alfentanil-Model</w:t>
      </w:r>
      <w:r>
        <w:t xml:space="preserve"> </w:t>
      </w:r>
      <w:r>
        <w:t xml:space="preserve">Alfentanil-Model, Whole-body PBPK model of Alfentanil. (https://github.com/Open-Systems-Pharmacology/Alfentanil-Model)</w:t>
      </w:r>
    </w:p>
    <w:p>
      <w:pPr>
        <w:pStyle w:val="Textkrper"/>
      </w:pPr>
      <w:r>
        <w:rPr>
          <w:b/>
        </w:rPr>
        <w:t xml:space="preserve">Davis 1987</w:t>
      </w:r>
      <w:r>
        <w:t xml:space="preserve"> </w:t>
      </w:r>
      <w:r>
        <w:t xml:space="preserve">Davis PJ, Cook DR, Stiller RL, Davin-Robinson KA. Pharmacodynamics and pharmacokinetics of high-dose sufentanil in infants and children undergoing cardiac surgery. Anesth Analg. 1987 Mar;66(3):203-8.</w:t>
      </w:r>
    </w:p>
    <w:p>
      <w:pPr>
        <w:pStyle w:val="Textkrper"/>
      </w:pPr>
      <w:r>
        <w:rPr>
          <w:b/>
        </w:rPr>
        <w:t xml:space="preserve">den Hollander 1992</w:t>
      </w:r>
      <w:r>
        <w:t xml:space="preserve"> </w:t>
      </w:r>
      <w:r>
        <w:t xml:space="preserve">den Hollander JM, Hennis PJ, Burm AG, Vletter AA, Bovill JG. Pharmacokinetics of alfentanil before and after cardiopulmonary bypass in pediatric patients undergoing cardiac surgery: Part I. J Cardiothorac Vasc Anesth. 1992 Jun;6(3):308-12.</w:t>
      </w:r>
    </w:p>
    <w:p>
      <w:pPr>
        <w:pStyle w:val="Textkrper"/>
      </w:pPr>
      <w:r>
        <w:rPr>
          <w:b/>
        </w:rPr>
        <w:t xml:space="preserve">Edginton 2006</w:t>
      </w:r>
      <w:r>
        <w:t xml:space="preserve"> </w:t>
      </w:r>
      <w:r>
        <w:t xml:space="preserve">Edginton AN, Schmitt W, Willmann S. Development and evaluation of a generic physiologically based pharmacokinetic model for children. Clin Pharmacokinet. 2006;45(10):1013-34.</w:t>
      </w:r>
    </w:p>
    <w:p>
      <w:pPr>
        <w:pStyle w:val="Textkrper"/>
      </w:pPr>
      <w:r>
        <w:rPr>
          <w:b/>
        </w:rPr>
        <w:t xml:space="preserve">Goresky 1987</w:t>
      </w:r>
      <w:r>
        <w:t xml:space="preserve"> </w:t>
      </w:r>
      <w:r>
        <w:t xml:space="preserve">Goresky GV, Koren G, Sabourin MA, Sale JP, Strunin L., The pharmacokinetics of alfentanil in children. Anesthesiology. 1987 Nov;67(5):654-9.</w:t>
      </w:r>
    </w:p>
    <w:p>
      <w:pPr>
        <w:pStyle w:val="Textkrper"/>
      </w:pPr>
      <w:r>
        <w:rPr>
          <w:b/>
        </w:rPr>
        <w:t xml:space="preserve">Guay 1992</w:t>
      </w:r>
      <w:r>
        <w:t xml:space="preserve"> </w:t>
      </w:r>
      <w:r>
        <w:t xml:space="preserve">Guay J, Gaudreault P, Tang A, Goulet B, Varin F. Pharmacokinetics of sufentanil in normal children. Can J Anaesth. 1992 Jan;39(1):14-20.</w:t>
      </w:r>
    </w:p>
    <w:p>
      <w:pPr>
        <w:pStyle w:val="Textkrper"/>
      </w:pPr>
      <w:r>
        <w:rPr>
          <w:b/>
        </w:rPr>
        <w:t xml:space="preserve">Maharaj 2013</w:t>
      </w:r>
      <w:r>
        <w:t xml:space="preserve"> </w:t>
      </w:r>
      <w:r>
        <w:t xml:space="preserve">Maharaj AR, Barrett JS, Edginton AN. A workflow example of PBPK modeling to support pediatric research and development: case study with lorazepam. The AAPS journal. 2013;15(2): 455-464.</w:t>
      </w:r>
    </w:p>
    <w:p>
      <w:pPr>
        <w:pStyle w:val="Textkrper"/>
      </w:pPr>
      <w:r>
        <w:rPr>
          <w:b/>
        </w:rPr>
        <w:t xml:space="preserve">Meistelman 1987</w:t>
      </w:r>
      <w:r>
        <w:t xml:space="preserve"> </w:t>
      </w:r>
      <w:r>
        <w:t xml:space="preserve">Meistelman C, Saint-Maurice C, Lepaul M, Levron JC, Loose JP, Mac Gee K. A comparison of alfentanil pharmacokinetics in children and adults. Anesthesiology. 1987 Jan;66(1):13-6.</w:t>
      </w:r>
    </w:p>
    <w:p>
      <w:pPr>
        <w:pStyle w:val="Textkrper"/>
      </w:pPr>
      <w:r>
        <w:rPr>
          <w:b/>
        </w:rPr>
        <w:t xml:space="preserve">Ontogeny Database</w:t>
      </w:r>
      <w:r>
        <w:t xml:space="preserve"> </w:t>
      </w:r>
      <w:r>
        <w:t xml:space="preserve">OSPSuite.Documentation/PK-Sim Ontogeny Database Version 7.3.pdf (https://github.com/Open-Systems-Pharmacology/OSPSuite.Documentation/blob/38cf71b384cfc25cfa0ce4d2f3addfd32757e13b/PK-Sim%20Ontogeny%20Database%20Version%207.3.pdf)</w:t>
      </w:r>
    </w:p>
    <w:p>
      <w:pPr>
        <w:pStyle w:val="Textkrper"/>
      </w:pPr>
      <w:r>
        <w:rPr>
          <w:b/>
        </w:rPr>
        <w:t xml:space="preserve">Sufentanil-Model</w:t>
      </w:r>
      <w:r>
        <w:t xml:space="preserve"> </w:t>
      </w:r>
      <w:r>
        <w:t xml:space="preserve">Sufentanil-Model, Whole-body PBPK model of Sufentanil. (https://github.com/Open-Systems-Pharmacology/Sufentanil-Model)</w:t>
      </w:r>
    </w:p>
    <w:sectPr w:rsidR="00B470D9">
      <w:headerReference w:type="default" r:id="rId9"/>
      <w:footerReference w:type="default" r:id="rId10"/>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720" w:rsidRDefault="00237720">
    <w:pPr>
      <w:pStyle w:val="Fuzeile"/>
      <w:jc w:val="center"/>
    </w:pPr>
  </w:p>
  <w:p w:rsidR="00237720" w:rsidRDefault="00237720">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Kopfzeile"/>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Pr="007E2361">
          <w:rPr>
            <w:rFonts w:ascii="Times New Roman" w:hAnsi="Times New Roman" w:cs="Times New Roman"/>
          </w:rPr>
          <w:t>1</w:t>
        </w:r>
        <w:r w:rsidRPr="007E2361">
          <w:rPr>
            <w:rFonts w:ascii="Times New Roman" w:hAnsi="Times New Roman" w:cs="Times New Roman"/>
          </w:rPr>
          <w:fldChar w:fldCharType="end"/>
        </w:r>
        <w:r w:rsidRPr="007E2361">
          <w:rPr>
            <w:rFonts w:ascii="Times New Roman" w:hAnsi="Times New Roman" w:cs="Times New Roman"/>
            <w:lang w:val="de-DE"/>
          </w:rPr>
          <w:t xml:space="preserve"> </w:t>
        </w:r>
        <w:proofErr w:type="spellStart"/>
        <w:r w:rsidRPr="007E2361">
          <w:rPr>
            <w:rFonts w:ascii="Times New Roman" w:hAnsi="Times New Roman" w:cs="Times New Roman"/>
            <w:lang w:val="de-DE"/>
          </w:rPr>
          <w:t>of</w:t>
        </w:r>
        <w:proofErr w:type="spellEnd"/>
        <w:r w:rsidRPr="007E2361">
          <w:rPr>
            <w:rFonts w:ascii="Times New Roman" w:hAnsi="Times New Roman" w:cs="Times New Roman"/>
            <w:lang w:val="de-DE"/>
          </w:rPr>
          <w:t xml:space="preserve">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Pr="007E2361">
          <w:rPr>
            <w:rFonts w:ascii="Times New Roman" w:hAnsi="Times New Roman" w:cs="Times New Roman"/>
          </w:rPr>
          <w:t>2</w:t>
        </w:r>
        <w:r w:rsidRPr="007E2361">
          <w:rPr>
            <w:rFonts w:ascii="Times New Roman" w:hAnsi="Times New Roman" w:cs="Times New Roman"/>
            <w:lang w:val="de-DE"/>
          </w:rPr>
          <w:fldChar w:fldCharType="end"/>
        </w:r>
      </w:p>
    </w:sdtContent>
  </w:sdt>
  <w:p w:rsidR="000F07F1" w:rsidRDefault="000F07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9D272C"/>
    <w:multiLevelType w:val="multilevel"/>
    <w:tmpl w:val="5E8A4980"/>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4"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75838"/>
    <w:multiLevelType w:val="multilevel"/>
    <w:tmpl w:val="CFB603AE"/>
    <w:numStyleLink w:val="REVersuch2"/>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berschrift2">
    <w:name w:val="heading 2"/>
    <w:basedOn w:val="Standard"/>
    <w:next w:val="Textkrper"/>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berschrift3">
    <w:name w:val="heading 3"/>
    <w:basedOn w:val="Standard"/>
    <w:next w:val="Textkrper"/>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berschrift4">
    <w:name w:val="heading 4"/>
    <w:basedOn w:val="Standard"/>
    <w:next w:val="Textkrper"/>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berschrift5">
    <w:name w:val="heading 5"/>
    <w:basedOn w:val="Standard"/>
    <w:next w:val="Textkrper"/>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berschrift6">
    <w:name w:val="heading 6"/>
    <w:basedOn w:val="Standard"/>
    <w:next w:val="Textkrper"/>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berschrift7">
    <w:name w:val="heading 7"/>
    <w:basedOn w:val="Standard"/>
    <w:next w:val="Textkrper"/>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berschrift8">
    <w:name w:val="heading 8"/>
    <w:basedOn w:val="Standard"/>
    <w:next w:val="Textkrper"/>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berschrift9">
    <w:name w:val="heading 9"/>
    <w:basedOn w:val="Standard"/>
    <w:next w:val="Textkrper"/>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43A19"/>
    <w:pPr>
      <w:spacing w:before="180" w:after="180"/>
    </w:pPr>
    <w:rPr>
      <w:rFonts w:ascii="Arial" w:hAnsi="Arial"/>
      <w:b/>
      <w:sz w:val="20"/>
    </w:rPr>
  </w:style>
  <w:style w:type="paragraph" w:customStyle="1" w:styleId="FirstParagraph">
    <w:name w:val="First Paragraph"/>
    <w:basedOn w:val="Textkrper"/>
    <w:next w:val="Textkrper"/>
    <w:qFormat/>
  </w:style>
  <w:style w:type="paragraph" w:customStyle="1" w:styleId="Compact">
    <w:name w:val="Compact"/>
    <w:basedOn w:val="Textkrper"/>
    <w:qFormat/>
    <w:rsid w:val="00943A19"/>
    <w:pPr>
      <w:spacing w:before="36" w:after="36"/>
    </w:pPr>
    <w:rPr>
      <w:rFonts w:ascii="Times New Roman" w:hAnsi="Times New Roman"/>
      <w:b w:val="0"/>
      <w:sz w:val="24"/>
    </w:r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CB69FF"/>
    <w:pPr>
      <w:keepNext/>
      <w:spacing w:before="120"/>
    </w:pPr>
    <w:rPr>
      <w:rFonts w:ascii="Arial" w:hAnsi="Arial"/>
      <w:b/>
      <w:i w:val="0"/>
      <w:sz w:val="20"/>
    </w:rPr>
  </w:style>
  <w:style w:type="paragraph" w:customStyle="1" w:styleId="ImageCaption">
    <w:name w:val="Image Caption"/>
    <w:basedOn w:val="Beschriftung"/>
    <w:rsid w:val="00CB69FF"/>
    <w:rPr>
      <w:rFonts w:ascii="Arial" w:hAnsi="Arial"/>
      <w:b/>
      <w:i w:val="0"/>
      <w:sz w:val="2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rPr>
      <w:rFonts w:ascii="Consolas" w:hAnsi="Consolas"/>
      <w:sz w:val="22"/>
    </w:rPr>
  </w:style>
  <w:style w:type="character" w:styleId="Funotenzeichen">
    <w:name w:val="footnote reference"/>
    <w:basedOn w:val="BeschriftungZchn"/>
    <w:rPr>
      <w:vertAlign w:val="superscript"/>
    </w:rPr>
  </w:style>
  <w:style w:type="character" w:styleId="Hyperlink">
    <w:name w:val="Hyperlink"/>
    <w:uiPriority w:val="99"/>
    <w:rsid w:val="007E2361"/>
    <w:rPr>
      <w:color w:val="0000FF"/>
    </w:rPr>
  </w:style>
  <w:style w:type="paragraph" w:styleId="Inhaltsverzeichnisberschrift">
    <w:name w:val="TOC Heading"/>
    <w:aliases w:val="RE_TableOfContent"/>
    <w:next w:val="Textkrper"/>
    <w:uiPriority w:val="39"/>
    <w:unhideWhenUsed/>
    <w:qFormat/>
    <w:rsid w:val="00D500C1"/>
    <w:pPr>
      <w:spacing w:before="240" w:line="259" w:lineRule="auto"/>
    </w:pPr>
    <w:rPr>
      <w:rFonts w:ascii="Times New Roman" w:eastAsiaTheme="majorEastAsia" w:hAnsi="Times New Roman" w:cstheme="majorBidi"/>
      <w:b/>
      <w:szCs w:val="32"/>
    </w:rPr>
  </w:style>
  <w:style w:type="paragraph" w:styleId="Kopfzeile">
    <w:name w:val="header"/>
    <w:basedOn w:val="Standard"/>
    <w:link w:val="KopfzeileZchn"/>
    <w:unhideWhenUsed/>
    <w:rsid w:val="00237720"/>
    <w:pPr>
      <w:tabs>
        <w:tab w:val="center" w:pos="4536"/>
        <w:tab w:val="right" w:pos="9072"/>
      </w:tabs>
      <w:spacing w:after="0"/>
    </w:pPr>
  </w:style>
  <w:style w:type="character" w:customStyle="1" w:styleId="KopfzeileZchn">
    <w:name w:val="Kopfzeile Zchn"/>
    <w:basedOn w:val="Absatz-Standardschriftart"/>
    <w:link w:val="Kopfzeile"/>
    <w:rsid w:val="00237720"/>
  </w:style>
  <w:style w:type="paragraph" w:styleId="Fuzeile">
    <w:name w:val="footer"/>
    <w:basedOn w:val="Standard"/>
    <w:link w:val="FuzeileZchn"/>
    <w:uiPriority w:val="99"/>
    <w:unhideWhenUsed/>
    <w:rsid w:val="00237720"/>
    <w:pPr>
      <w:tabs>
        <w:tab w:val="center" w:pos="4536"/>
        <w:tab w:val="right" w:pos="9072"/>
      </w:tabs>
      <w:spacing w:after="0"/>
    </w:pPr>
  </w:style>
  <w:style w:type="character" w:customStyle="1" w:styleId="FuzeileZchn">
    <w:name w:val="Fußzeile Zchn"/>
    <w:basedOn w:val="Absatz-Standardschriftart"/>
    <w:link w:val="Fuzeile"/>
    <w:uiPriority w:val="99"/>
    <w:rsid w:val="00237720"/>
  </w:style>
  <w:style w:type="numbering" w:customStyle="1" w:styleId="REVersuch2">
    <w:name w:val="RE_Versuch_2"/>
    <w:uiPriority w:val="99"/>
    <w:rsid w:val="00F5435A"/>
    <w:pPr>
      <w:numPr>
        <w:numId w:val="12"/>
      </w:numPr>
    </w:pPr>
  </w:style>
  <w:style w:type="character" w:customStyle="1" w:styleId="TextkrperZchn">
    <w:name w:val="Textkörper Zchn"/>
    <w:basedOn w:val="Absatz-Standardschriftart"/>
    <w:link w:val="Textkrper"/>
    <w:rsid w:val="00943A19"/>
    <w:rPr>
      <w:rFonts w:ascii="Arial" w:hAnsi="Arial"/>
      <w:b/>
      <w:sz w:val="20"/>
    </w:rPr>
  </w:style>
  <w:style w:type="paragraph" w:styleId="Verzeichnis2">
    <w:name w:val="toc 2"/>
    <w:basedOn w:val="Standard"/>
    <w:next w:val="Standard"/>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Verzeichnis1">
    <w:name w:val="toc 1"/>
    <w:basedOn w:val="Standard"/>
    <w:next w:val="Standard"/>
    <w:autoRedefine/>
    <w:uiPriority w:val="39"/>
    <w:unhideWhenUsed/>
    <w:rsid w:val="00F45D3A"/>
    <w:pPr>
      <w:spacing w:before="120" w:after="0"/>
      <w:ind w:left="425" w:right="284" w:hanging="425"/>
    </w:pPr>
    <w:rPr>
      <w:rFonts w:ascii="Times New Roman" w:hAnsi="Times New Roman"/>
      <w:b/>
      <w:color w:val="0000FF"/>
    </w:rPr>
  </w:style>
  <w:style w:type="paragraph" w:styleId="Verzeichnis3">
    <w:name w:val="toc 3"/>
    <w:basedOn w:val="Standard"/>
    <w:next w:val="Standard"/>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Verzeichnis4">
    <w:name w:val="toc 4"/>
    <w:basedOn w:val="Standard"/>
    <w:next w:val="Standard"/>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Verzeichnis5">
    <w:name w:val="toc 5"/>
    <w:basedOn w:val="Standard"/>
    <w:next w:val="Standard"/>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Standard"/>
    <w:next w:val="Standard"/>
    <w:autoRedefine/>
    <w:rsid w:val="00830389"/>
    <w:pPr>
      <w:spacing w:after="0"/>
      <w:ind w:left="240" w:hanging="240"/>
    </w:pPr>
  </w:style>
  <w:style w:type="paragraph" w:styleId="Abbildungsverzeichnis">
    <w:name w:val="table of figures"/>
    <w:basedOn w:val="Standard"/>
    <w:next w:val="Standard"/>
    <w:uiPriority w:val="99"/>
    <w:unhideWhenUsed/>
    <w:rsid w:val="00162E8B"/>
    <w:pPr>
      <w:spacing w:after="0"/>
    </w:pPr>
    <w:rPr>
      <w:rFonts w:ascii="Times New Roman" w:hAnsi="Times New Roman"/>
      <w:color w:val="0000F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Words>
  <Characters>688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Qualification Package: CYP3A4 Ontogeny</dc:title>
  <dc:creator/>
  <cp:keywords/>
  <dcterms:created xsi:type="dcterms:W3CDTF">2022-07-01T14:26:51Z</dcterms:created>
  <dcterms:modified xsi:type="dcterms:W3CDTF">2022-07-01T14:26:51Z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Version1.4-OSP11.0Qualification Plan Releasehttps://github.com/Open-Systems-Pharmacology/Pediatric_Qualification_Package_CYP3A4_Ontogeny/releases/tag/v1.4OSP Version11.0Qualification Framework Version3.0This qualification report is filed at:https://github.com/Open-Systems-Pharmacology/OSP-Qualification-Reports</vt:lpwstr>
  </property>
  <property fmtid="{D5CDD505-2E9C-101B-9397-08002B2CF9AE}" pid="3" name="subtitle">
    <vt:lpwstr/>
  </property>
</Properties>
</file>