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4A7" w:rsidRDefault="00172364" w:rsidP="00172364">
      <w:pPr>
        <w:pStyle w:val="Title"/>
        <w:rPr>
          <w:lang w:val="en-GB"/>
        </w:rPr>
      </w:pPr>
      <w:r>
        <w:rPr>
          <w:lang w:val="en-GB"/>
        </w:rPr>
        <w:t>Memory</w:t>
      </w:r>
      <w:r w:rsidR="008378B6">
        <w:rPr>
          <w:lang w:val="en-GB"/>
        </w:rPr>
        <w:t>Range</w:t>
      </w:r>
    </w:p>
    <w:p w:rsidR="00172364" w:rsidRDefault="00172364" w:rsidP="00172364">
      <w:pPr>
        <w:pStyle w:val="Heading1"/>
      </w:pPr>
      <w:proofErr w:type="spellStart"/>
      <w:r>
        <w:t>MemoryRange</w:t>
      </w:r>
      <w:proofErr w:type="spellEnd"/>
    </w:p>
    <w:p w:rsidR="00172364" w:rsidRDefault="00172364" w:rsidP="00172364">
      <w:pPr>
        <w:rPr>
          <w:lang w:val="en-GB"/>
        </w:rPr>
      </w:pPr>
      <w:r>
        <w:rPr>
          <w:lang w:val="en-GB"/>
        </w:rPr>
        <w:t xml:space="preserve">Embedded applications regularly handle blocks of memory. Such memory may either be typed (for example, consisting of a number of characters) or </w:t>
      </w:r>
      <w:proofErr w:type="spellStart"/>
      <w:r>
        <w:rPr>
          <w:lang w:val="en-GB"/>
        </w:rPr>
        <w:t>untyped</w:t>
      </w:r>
      <w:proofErr w:type="spellEnd"/>
      <w:r>
        <w:rPr>
          <w:lang w:val="en-GB"/>
        </w:rPr>
        <w:t xml:space="preserve">. Traditionally, blocks of memory are handled by having a pointer to its first element and a separate size. Since passing around two separate but related parameters is cumbersome at best and error-prone at its worst, we have improved on dealing with blocks of memory by introducing </w:t>
      </w:r>
      <w:r w:rsidR="00671DB3">
        <w:rPr>
          <w:lang w:val="en-GB"/>
        </w:rPr>
        <w:t>the</w:t>
      </w:r>
      <w:r>
        <w:rPr>
          <w:lang w:val="en-GB"/>
        </w:rPr>
        <w:t xml:space="preserve"> class template </w:t>
      </w:r>
      <w:r w:rsidRPr="00671DB3">
        <w:rPr>
          <w:rStyle w:val="CodeChar"/>
        </w:rPr>
        <w:t>MemoryRange</w:t>
      </w:r>
      <w:r>
        <w:rPr>
          <w:lang w:val="en-GB"/>
        </w:rPr>
        <w:t xml:space="preserve">. A </w:t>
      </w:r>
      <w:r w:rsidRPr="00671DB3">
        <w:rPr>
          <w:rStyle w:val="CodeChar"/>
        </w:rPr>
        <w:t>MemoryRange</w:t>
      </w:r>
      <w:r>
        <w:rPr>
          <w:lang w:val="en-GB"/>
        </w:rPr>
        <w:t xml:space="preserve"> is an object which defines a block of memory with </w:t>
      </w:r>
      <w:r w:rsidR="00604E78">
        <w:rPr>
          <w:lang w:val="en-GB"/>
        </w:rPr>
        <w:t>a start and an end</w:t>
      </w:r>
      <w:r>
        <w:rPr>
          <w:lang w:val="en-GB"/>
        </w:rPr>
        <w:t>, and which has a number of fun</w:t>
      </w:r>
      <w:r w:rsidR="00604E78">
        <w:rPr>
          <w:lang w:val="en-GB"/>
        </w:rPr>
        <w:t xml:space="preserve">ctions that makes dealing with those blocks as a whole easier. This approach reduces the potential for buffer overflows, since while it is easy to shrink a block or to split </w:t>
      </w:r>
      <w:proofErr w:type="gramStart"/>
      <w:r w:rsidR="00604E78">
        <w:rPr>
          <w:lang w:val="en-GB"/>
        </w:rPr>
        <w:t>it,</w:t>
      </w:r>
      <w:proofErr w:type="gramEnd"/>
      <w:r w:rsidR="00604E78">
        <w:rPr>
          <w:lang w:val="en-GB"/>
        </w:rPr>
        <w:t xml:space="preserve"> it is much more difficult to create a larger block, thereby overflowing the original block of memory.</w:t>
      </w:r>
    </w:p>
    <w:p w:rsidR="00671DB3" w:rsidRDefault="00671DB3" w:rsidP="00172364">
      <w:pPr>
        <w:rPr>
          <w:lang w:val="en-GB"/>
        </w:rPr>
      </w:pPr>
      <w:r>
        <w:rPr>
          <w:lang w:val="en-GB"/>
        </w:rPr>
        <w:t xml:space="preserve">The </w:t>
      </w:r>
      <w:r w:rsidRPr="00671DB3">
        <w:rPr>
          <w:rStyle w:val="CodeChar"/>
        </w:rPr>
        <w:t>MemoryRange</w:t>
      </w:r>
      <w:r>
        <w:rPr>
          <w:lang w:val="en-GB"/>
        </w:rPr>
        <w:t xml:space="preserve">s that are most often used are </w:t>
      </w:r>
      <w:r w:rsidRPr="00671DB3">
        <w:rPr>
          <w:rStyle w:val="CodeChar"/>
        </w:rPr>
        <w:t>MemoryRange&lt;uint8_t&gt;</w:t>
      </w:r>
      <w:r>
        <w:rPr>
          <w:lang w:val="en-GB"/>
        </w:rPr>
        <w:t xml:space="preserve">, which has an alias </w:t>
      </w:r>
      <w:proofErr w:type="gramStart"/>
      <w:r w:rsidRPr="00671DB3">
        <w:rPr>
          <w:rStyle w:val="CodeChar"/>
        </w:rPr>
        <w:t>ByteRange</w:t>
      </w:r>
      <w:r>
        <w:rPr>
          <w:lang w:val="en-GB"/>
        </w:rPr>
        <w:t>,</w:t>
      </w:r>
      <w:proofErr w:type="gramEnd"/>
      <w:r>
        <w:rPr>
          <w:lang w:val="en-GB"/>
        </w:rPr>
        <w:t xml:space="preserve"> and its </w:t>
      </w:r>
      <w:r w:rsidRPr="00671DB3">
        <w:rPr>
          <w:rStyle w:val="CodeChar"/>
        </w:rPr>
        <w:t>const</w:t>
      </w:r>
      <w:r>
        <w:rPr>
          <w:lang w:val="en-GB"/>
        </w:rPr>
        <w:t xml:space="preserve"> counterpart </w:t>
      </w:r>
      <w:r w:rsidRPr="00671DB3">
        <w:rPr>
          <w:rStyle w:val="CodeChar"/>
        </w:rPr>
        <w:t>ConstByteRange</w:t>
      </w:r>
      <w:r>
        <w:rPr>
          <w:lang w:val="en-GB"/>
        </w:rPr>
        <w:t xml:space="preserve"> which aliases to </w:t>
      </w:r>
      <w:r w:rsidRPr="00671DB3">
        <w:rPr>
          <w:rStyle w:val="CodeChar"/>
        </w:rPr>
        <w:t>MemoryRange&lt;const uint8_t&gt;</w:t>
      </w:r>
      <w:r>
        <w:rPr>
          <w:lang w:val="en-GB"/>
        </w:rPr>
        <w:t xml:space="preserve">.  Everywhere where </w:t>
      </w:r>
      <w:proofErr w:type="spellStart"/>
      <w:r>
        <w:rPr>
          <w:lang w:val="en-GB"/>
        </w:rPr>
        <w:t>untyped</w:t>
      </w:r>
      <w:proofErr w:type="spellEnd"/>
      <w:r>
        <w:rPr>
          <w:lang w:val="en-GB"/>
        </w:rPr>
        <w:t xml:space="preserve"> memory is used </w:t>
      </w:r>
      <w:r w:rsidRPr="00671DB3">
        <w:rPr>
          <w:rStyle w:val="CodeChar"/>
        </w:rPr>
        <w:t>ByteRange</w:t>
      </w:r>
      <w:r>
        <w:rPr>
          <w:lang w:val="en-GB"/>
        </w:rPr>
        <w:t xml:space="preserve"> or </w:t>
      </w:r>
      <w:r w:rsidRPr="00671DB3">
        <w:rPr>
          <w:rStyle w:val="CodeChar"/>
        </w:rPr>
        <w:t>ConstByteRange</w:t>
      </w:r>
      <w:r>
        <w:rPr>
          <w:lang w:val="en-GB"/>
        </w:rPr>
        <w:t xml:space="preserve"> is used to define where the data resides in memory. For example: the SPI interface </w:t>
      </w:r>
      <w:r w:rsidRPr="00671DB3">
        <w:rPr>
          <w:rStyle w:val="CodeChar"/>
        </w:rPr>
        <w:t>SendData</w:t>
      </w:r>
      <w:r>
        <w:rPr>
          <w:lang w:val="en-GB"/>
        </w:rPr>
        <w:t xml:space="preserve"> method takes a </w:t>
      </w:r>
      <w:r w:rsidRPr="00671DB3">
        <w:rPr>
          <w:rStyle w:val="CodeChar"/>
        </w:rPr>
        <w:t>ConstByteRange</w:t>
      </w:r>
      <w:r>
        <w:rPr>
          <w:lang w:val="en-GB"/>
        </w:rPr>
        <w:t xml:space="preserve"> parameter specifying the data which should be sent.</w:t>
      </w:r>
    </w:p>
    <w:p w:rsidR="00C30EBC" w:rsidRDefault="00C30EBC" w:rsidP="00172364">
      <w:pPr>
        <w:rPr>
          <w:lang w:val="en-GB"/>
        </w:rPr>
      </w:pPr>
      <w:r>
        <w:rPr>
          <w:lang w:val="en-GB"/>
        </w:rPr>
        <w:t xml:space="preserve">A </w:t>
      </w:r>
      <w:r w:rsidRPr="00C30EBC">
        <w:rPr>
          <w:rStyle w:val="CodeChar"/>
        </w:rPr>
        <w:t>MemoryRange</w:t>
      </w:r>
      <w:r>
        <w:rPr>
          <w:lang w:val="en-GB"/>
        </w:rPr>
        <w:t xml:space="preserve"> does not include the storage it points to. Modifying a </w:t>
      </w:r>
      <w:r w:rsidRPr="00C30EBC">
        <w:rPr>
          <w:rStyle w:val="CodeChar"/>
        </w:rPr>
        <w:t>MemoryRange</w:t>
      </w:r>
      <w:r>
        <w:rPr>
          <w:lang w:val="en-GB"/>
        </w:rPr>
        <w:t xml:space="preserve"> does not modify the storage. If storage is needed, </w:t>
      </w:r>
      <w:r w:rsidRPr="00C30EBC">
        <w:rPr>
          <w:rStyle w:val="CodeChar"/>
        </w:rPr>
        <w:t>std::array</w:t>
      </w:r>
      <w:r>
        <w:rPr>
          <w:lang w:val="en-GB"/>
        </w:rPr>
        <w:t xml:space="preserve"> is a good candidate. After creating a </w:t>
      </w:r>
      <w:r w:rsidRPr="00C30EBC">
        <w:rPr>
          <w:rStyle w:val="CodeChar"/>
        </w:rPr>
        <w:t>std::array</w:t>
      </w:r>
      <w:r>
        <w:rPr>
          <w:lang w:val="en-GB"/>
        </w:rPr>
        <w:t xml:space="preserve"> and filling it with data, a </w:t>
      </w:r>
      <w:r w:rsidRPr="00C30EBC">
        <w:rPr>
          <w:rStyle w:val="CodeChar"/>
        </w:rPr>
        <w:t>MemoryRange</w:t>
      </w:r>
      <w:r>
        <w:rPr>
          <w:lang w:val="en-GB"/>
        </w:rPr>
        <w:t xml:space="preserve"> can be constructed from it by using </w:t>
      </w:r>
      <w:r w:rsidRPr="00C30EBC">
        <w:rPr>
          <w:rStyle w:val="CodeChar"/>
        </w:rPr>
        <w:t>MakeRange</w:t>
      </w:r>
      <w:r>
        <w:rPr>
          <w:lang w:val="en-GB"/>
        </w:rPr>
        <w:t xml:space="preserve">, after which the </w:t>
      </w:r>
      <w:r w:rsidRPr="00C30EBC">
        <w:rPr>
          <w:rStyle w:val="CodeChar"/>
        </w:rPr>
        <w:t>MemoryRange</w:t>
      </w:r>
      <w:r>
        <w:rPr>
          <w:lang w:val="en-GB"/>
        </w:rPr>
        <w:t xml:space="preserve"> can be used for passing around the data.</w:t>
      </w:r>
    </w:p>
    <w:p w:rsidR="00671DB3" w:rsidRDefault="00671DB3" w:rsidP="008378B6">
      <w:pPr>
        <w:pStyle w:val="Heading1"/>
      </w:pPr>
      <w:proofErr w:type="spellStart"/>
      <w:r>
        <w:t>MemoryRange</w:t>
      </w:r>
      <w:proofErr w:type="spellEnd"/>
      <w:r>
        <w:t xml:space="preserve"> </w:t>
      </w:r>
      <w:r w:rsidR="00C30EBC">
        <w:t>A</w:t>
      </w:r>
      <w:r>
        <w:t>ccessors</w:t>
      </w:r>
    </w:p>
    <w:p w:rsidR="00671DB3" w:rsidRDefault="00671DB3" w:rsidP="00671DB3">
      <w:pPr>
        <w:rPr>
          <w:lang w:val="en-GB"/>
        </w:rPr>
      </w:pPr>
      <w:r>
        <w:rPr>
          <w:lang w:val="en-GB"/>
        </w:rPr>
        <w:t xml:space="preserve">These are the most used accessors of </w:t>
      </w:r>
      <w:r w:rsidRPr="00252D9B">
        <w:rPr>
          <w:rStyle w:val="CodeChar"/>
        </w:rPr>
        <w:t>MemoryRange</w:t>
      </w:r>
      <w:r>
        <w:rPr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7"/>
        <w:gridCol w:w="5879"/>
      </w:tblGrid>
      <w:tr w:rsidR="00671DB3" w:rsidTr="00C30EBC">
        <w:tc>
          <w:tcPr>
            <w:tcW w:w="2772" w:type="dxa"/>
          </w:tcPr>
          <w:p w:rsidR="00671DB3" w:rsidRDefault="00671DB3" w:rsidP="00C30EBC">
            <w:pPr>
              <w:pStyle w:val="Code"/>
            </w:pPr>
            <w:r>
              <w:t>begin()</w:t>
            </w:r>
          </w:p>
        </w:tc>
        <w:tc>
          <w:tcPr>
            <w:tcW w:w="6804" w:type="dxa"/>
          </w:tcPr>
          <w:p w:rsidR="00671DB3" w:rsidRDefault="00671DB3" w:rsidP="00671DB3">
            <w:pPr>
              <w:rPr>
                <w:lang w:val="en-GB"/>
              </w:rPr>
            </w:pPr>
            <w:r>
              <w:rPr>
                <w:lang w:val="en-GB"/>
              </w:rPr>
              <w:t>Returns a pointer to the first element</w:t>
            </w:r>
            <w:r w:rsidR="00863331">
              <w:rPr>
                <w:lang w:val="en-GB"/>
              </w:rPr>
              <w:t xml:space="preserve"> of the data</w:t>
            </w:r>
          </w:p>
        </w:tc>
      </w:tr>
      <w:tr w:rsidR="00671DB3" w:rsidTr="00C30EBC">
        <w:tc>
          <w:tcPr>
            <w:tcW w:w="2772" w:type="dxa"/>
          </w:tcPr>
          <w:p w:rsidR="00671DB3" w:rsidRDefault="00671DB3" w:rsidP="00C30EBC">
            <w:pPr>
              <w:pStyle w:val="Code"/>
            </w:pPr>
            <w:r>
              <w:t>end()</w:t>
            </w:r>
          </w:p>
        </w:tc>
        <w:tc>
          <w:tcPr>
            <w:tcW w:w="6804" w:type="dxa"/>
          </w:tcPr>
          <w:p w:rsidR="00671DB3" w:rsidRDefault="00863331" w:rsidP="00863331">
            <w:pPr>
              <w:rPr>
                <w:lang w:val="en-GB"/>
              </w:rPr>
            </w:pPr>
            <w:r>
              <w:rPr>
                <w:lang w:val="en-GB"/>
              </w:rPr>
              <w:t>Returns a pointer to one position beyond the last element of the data</w:t>
            </w:r>
          </w:p>
        </w:tc>
      </w:tr>
      <w:tr w:rsidR="00671DB3" w:rsidTr="00C30EBC">
        <w:tc>
          <w:tcPr>
            <w:tcW w:w="2772" w:type="dxa"/>
          </w:tcPr>
          <w:p w:rsidR="00671DB3" w:rsidRDefault="00863331" w:rsidP="00C30EBC">
            <w:pPr>
              <w:pStyle w:val="Code"/>
            </w:pPr>
            <w:r>
              <w:t>empty()</w:t>
            </w:r>
          </w:p>
        </w:tc>
        <w:tc>
          <w:tcPr>
            <w:tcW w:w="6804" w:type="dxa"/>
          </w:tcPr>
          <w:p w:rsidR="00671DB3" w:rsidRDefault="00863331" w:rsidP="00863331">
            <w:pPr>
              <w:rPr>
                <w:lang w:val="en-GB"/>
              </w:rPr>
            </w:pPr>
            <w:r>
              <w:rPr>
                <w:lang w:val="en-GB"/>
              </w:rPr>
              <w:t xml:space="preserve">Returns true if and only if </w:t>
            </w:r>
            <w:r w:rsidRPr="00C30EBC">
              <w:rPr>
                <w:rStyle w:val="CodeChar"/>
              </w:rPr>
              <w:t>size()</w:t>
            </w:r>
            <w:r>
              <w:rPr>
                <w:lang w:val="en-GB"/>
              </w:rPr>
              <w:t xml:space="preserve"> == 0</w:t>
            </w:r>
          </w:p>
        </w:tc>
      </w:tr>
      <w:tr w:rsidR="00671DB3" w:rsidTr="00C30EBC">
        <w:tc>
          <w:tcPr>
            <w:tcW w:w="2772" w:type="dxa"/>
          </w:tcPr>
          <w:p w:rsidR="00671DB3" w:rsidRDefault="00863331" w:rsidP="00C30EBC">
            <w:pPr>
              <w:pStyle w:val="Code"/>
            </w:pPr>
            <w:r>
              <w:t>size()</w:t>
            </w:r>
          </w:p>
        </w:tc>
        <w:tc>
          <w:tcPr>
            <w:tcW w:w="6804" w:type="dxa"/>
          </w:tcPr>
          <w:p w:rsidR="00671DB3" w:rsidRDefault="00863331" w:rsidP="00671DB3">
            <w:pPr>
              <w:rPr>
                <w:lang w:val="en-GB"/>
              </w:rPr>
            </w:pPr>
            <w:r>
              <w:rPr>
                <w:lang w:val="en-GB"/>
              </w:rPr>
              <w:t xml:space="preserve">Returns the number of elements pointed to: </w:t>
            </w:r>
            <w:r w:rsidRPr="00C30EBC">
              <w:rPr>
                <w:rStyle w:val="CodeChar"/>
              </w:rPr>
              <w:t>end() - begin()</w:t>
            </w:r>
          </w:p>
        </w:tc>
      </w:tr>
      <w:tr w:rsidR="00671DB3" w:rsidTr="00C30EBC">
        <w:tc>
          <w:tcPr>
            <w:tcW w:w="2772" w:type="dxa"/>
          </w:tcPr>
          <w:p w:rsidR="00671DB3" w:rsidRDefault="00863331" w:rsidP="00C30EBC">
            <w:pPr>
              <w:pStyle w:val="Code"/>
            </w:pPr>
            <w:r>
              <w:t>pop_front(num)</w:t>
            </w:r>
          </w:p>
        </w:tc>
        <w:tc>
          <w:tcPr>
            <w:tcW w:w="6804" w:type="dxa"/>
          </w:tcPr>
          <w:p w:rsidR="00671DB3" w:rsidRDefault="00C30EBC" w:rsidP="00671DB3">
            <w:pPr>
              <w:rPr>
                <w:lang w:val="en-GB"/>
              </w:rPr>
            </w:pPr>
            <w:r>
              <w:rPr>
                <w:lang w:val="en-GB"/>
              </w:rPr>
              <w:t xml:space="preserve">Remove </w:t>
            </w:r>
            <w:r w:rsidRPr="00C30EBC">
              <w:rPr>
                <w:rStyle w:val="CodeChar"/>
              </w:rPr>
              <w:t>num</w:t>
            </w:r>
            <w:r>
              <w:rPr>
                <w:lang w:val="en-GB"/>
              </w:rPr>
              <w:t xml:space="preserve"> elements from the front of the range</w:t>
            </w:r>
          </w:p>
        </w:tc>
      </w:tr>
      <w:tr w:rsidR="00671DB3" w:rsidTr="00C30EBC">
        <w:tc>
          <w:tcPr>
            <w:tcW w:w="2772" w:type="dxa"/>
          </w:tcPr>
          <w:p w:rsidR="00671DB3" w:rsidRDefault="00C30EBC" w:rsidP="00C30EBC">
            <w:pPr>
              <w:pStyle w:val="Code"/>
            </w:pPr>
            <w:proofErr w:type="spellStart"/>
            <w:r>
              <w:t>pop_back</w:t>
            </w:r>
            <w:proofErr w:type="spellEnd"/>
            <w:r>
              <w:t>(</w:t>
            </w:r>
            <w:proofErr w:type="spellStart"/>
            <w:r>
              <w:t>num</w:t>
            </w:r>
            <w:proofErr w:type="spellEnd"/>
            <w:r>
              <w:t>)</w:t>
            </w:r>
          </w:p>
        </w:tc>
        <w:tc>
          <w:tcPr>
            <w:tcW w:w="6804" w:type="dxa"/>
          </w:tcPr>
          <w:p w:rsidR="00671DB3" w:rsidRDefault="00C30EBC" w:rsidP="00671DB3">
            <w:pPr>
              <w:rPr>
                <w:lang w:val="en-GB"/>
              </w:rPr>
            </w:pPr>
            <w:r>
              <w:rPr>
                <w:lang w:val="en-GB"/>
              </w:rPr>
              <w:t xml:space="preserve">Remove </w:t>
            </w:r>
            <w:r w:rsidRPr="00C30EBC">
              <w:rPr>
                <w:rStyle w:val="CodeChar"/>
              </w:rPr>
              <w:t>num</w:t>
            </w:r>
            <w:r>
              <w:rPr>
                <w:lang w:val="en-GB"/>
              </w:rPr>
              <w:t xml:space="preserve"> elements from the back of the range</w:t>
            </w:r>
          </w:p>
        </w:tc>
      </w:tr>
      <w:tr w:rsidR="00671DB3" w:rsidTr="00C30EBC">
        <w:tc>
          <w:tcPr>
            <w:tcW w:w="2772" w:type="dxa"/>
          </w:tcPr>
          <w:p w:rsidR="00671DB3" w:rsidRDefault="00C30EBC" w:rsidP="00C30EBC">
            <w:pPr>
              <w:pStyle w:val="Code"/>
            </w:pPr>
            <w:proofErr w:type="spellStart"/>
            <w:r>
              <w:t>shrink_from_front_to</w:t>
            </w:r>
            <w:proofErr w:type="spellEnd"/>
            <w:r>
              <w:t>(</w:t>
            </w:r>
            <w:proofErr w:type="spellStart"/>
            <w:r>
              <w:t>newSize</w:t>
            </w:r>
            <w:proofErr w:type="spellEnd"/>
            <w:r>
              <w:t>)</w:t>
            </w:r>
          </w:p>
        </w:tc>
        <w:tc>
          <w:tcPr>
            <w:tcW w:w="6804" w:type="dxa"/>
          </w:tcPr>
          <w:p w:rsidR="00671DB3" w:rsidRDefault="00C30EBC" w:rsidP="00671DB3">
            <w:pPr>
              <w:rPr>
                <w:lang w:val="en-GB"/>
              </w:rPr>
            </w:pPr>
            <w:r>
              <w:rPr>
                <w:lang w:val="en-GB"/>
              </w:rPr>
              <w:t xml:space="preserve">If </w:t>
            </w:r>
            <w:r w:rsidRPr="00C30EBC">
              <w:rPr>
                <w:rStyle w:val="CodeChar"/>
              </w:rPr>
              <w:t>size()</w:t>
            </w:r>
            <w:r>
              <w:rPr>
                <w:lang w:val="en-GB"/>
              </w:rPr>
              <w:t xml:space="preserve"> &gt; </w:t>
            </w:r>
            <w:r w:rsidRPr="00C30EBC">
              <w:rPr>
                <w:rStyle w:val="CodeChar"/>
              </w:rPr>
              <w:t>newSize</w:t>
            </w:r>
            <w:r>
              <w:rPr>
                <w:lang w:val="en-GB"/>
              </w:rPr>
              <w:t xml:space="preserve">, pop elements from the front until </w:t>
            </w:r>
            <w:r w:rsidRPr="00C30EBC">
              <w:rPr>
                <w:rStyle w:val="CodeChar"/>
              </w:rPr>
              <w:t>size()</w:t>
            </w:r>
            <w:r>
              <w:rPr>
                <w:lang w:val="en-GB"/>
              </w:rPr>
              <w:t xml:space="preserve"> == </w:t>
            </w:r>
            <w:r w:rsidRPr="00C30EBC">
              <w:rPr>
                <w:rStyle w:val="CodeChar"/>
              </w:rPr>
              <w:t>newSize</w:t>
            </w:r>
          </w:p>
        </w:tc>
      </w:tr>
      <w:tr w:rsidR="00C30EBC" w:rsidTr="00C30EBC">
        <w:tc>
          <w:tcPr>
            <w:tcW w:w="2772" w:type="dxa"/>
          </w:tcPr>
          <w:p w:rsidR="00C30EBC" w:rsidRDefault="00C30EBC" w:rsidP="00C30EBC">
            <w:pPr>
              <w:pStyle w:val="Code"/>
            </w:pPr>
            <w:r>
              <w:t>shrink_from_back_to(newSize)</w:t>
            </w:r>
          </w:p>
        </w:tc>
        <w:tc>
          <w:tcPr>
            <w:tcW w:w="6804" w:type="dxa"/>
          </w:tcPr>
          <w:p w:rsidR="00C30EBC" w:rsidRDefault="00C30EBC" w:rsidP="00C30EBC">
            <w:pPr>
              <w:rPr>
                <w:lang w:val="en-GB"/>
              </w:rPr>
            </w:pPr>
            <w:r>
              <w:rPr>
                <w:lang w:val="en-GB"/>
              </w:rPr>
              <w:t xml:space="preserve">If </w:t>
            </w:r>
            <w:r w:rsidRPr="00C30EBC">
              <w:rPr>
                <w:rStyle w:val="CodeChar"/>
              </w:rPr>
              <w:t>size()</w:t>
            </w:r>
            <w:r>
              <w:rPr>
                <w:lang w:val="en-GB"/>
              </w:rPr>
              <w:t xml:space="preserve"> &gt; </w:t>
            </w:r>
            <w:r w:rsidRPr="00C30EBC">
              <w:rPr>
                <w:rStyle w:val="CodeChar"/>
              </w:rPr>
              <w:t>newSize</w:t>
            </w:r>
            <w:r>
              <w:rPr>
                <w:lang w:val="en-GB"/>
              </w:rPr>
              <w:t xml:space="preserve">, pop elements from the back until </w:t>
            </w:r>
            <w:r w:rsidRPr="00C30EBC">
              <w:rPr>
                <w:rStyle w:val="CodeChar"/>
              </w:rPr>
              <w:t>size()</w:t>
            </w:r>
            <w:r>
              <w:rPr>
                <w:lang w:val="en-GB"/>
              </w:rPr>
              <w:t xml:space="preserve"> == </w:t>
            </w:r>
            <w:r w:rsidRPr="00C30EBC">
              <w:rPr>
                <w:rStyle w:val="CodeChar"/>
              </w:rPr>
              <w:t>newSize</w:t>
            </w:r>
          </w:p>
        </w:tc>
      </w:tr>
    </w:tbl>
    <w:p w:rsidR="00671DB3" w:rsidRPr="00671DB3" w:rsidRDefault="00C30EBC" w:rsidP="008378B6">
      <w:pPr>
        <w:pStyle w:val="Heading1"/>
      </w:pPr>
      <w:r>
        <w:lastRenderedPageBreak/>
        <w:t>Helper Functions</w:t>
      </w:r>
    </w:p>
    <w:p w:rsidR="00604E78" w:rsidRDefault="00C30EBC" w:rsidP="00C30EBC">
      <w:pPr>
        <w:keepNext/>
        <w:rPr>
          <w:lang w:val="en-GB"/>
        </w:rPr>
      </w:pPr>
      <w:r>
        <w:rPr>
          <w:lang w:val="en-GB"/>
        </w:rPr>
        <w:t xml:space="preserve">In addition to the members of </w:t>
      </w:r>
      <w:r w:rsidRPr="00C30EBC">
        <w:rPr>
          <w:rStyle w:val="CodeChar"/>
        </w:rPr>
        <w:t>MemoryRange</w:t>
      </w:r>
      <w:r>
        <w:rPr>
          <w:lang w:val="en-GB"/>
        </w:rPr>
        <w:t>, a number of helper functions exist: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7199"/>
      </w:tblGrid>
      <w:tr w:rsidR="00C30EBC" w:rsidTr="00C30EBC">
        <w:tc>
          <w:tcPr>
            <w:tcW w:w="2178" w:type="dxa"/>
          </w:tcPr>
          <w:p w:rsidR="00C30EBC" w:rsidRDefault="00C30EBC" w:rsidP="00C30EBC">
            <w:pPr>
              <w:pStyle w:val="Code"/>
            </w:pPr>
            <w:proofErr w:type="spellStart"/>
            <w:r>
              <w:t>MakeRange</w:t>
            </w:r>
            <w:proofErr w:type="spellEnd"/>
            <w:r>
              <w:t>(...)</w:t>
            </w:r>
          </w:p>
        </w:tc>
        <w:tc>
          <w:tcPr>
            <w:tcW w:w="7398" w:type="dxa"/>
          </w:tcPr>
          <w:p w:rsidR="00C30EBC" w:rsidRDefault="00C30EBC" w:rsidP="00C30EBC">
            <w:pPr>
              <w:rPr>
                <w:lang w:val="en-GB"/>
              </w:rPr>
            </w:pPr>
            <w:r>
              <w:rPr>
                <w:lang w:val="en-GB"/>
              </w:rPr>
              <w:t xml:space="preserve">Convert the parameter(s) to a </w:t>
            </w:r>
            <w:r w:rsidRPr="00C30EBC">
              <w:rPr>
                <w:rStyle w:val="CodeChar"/>
              </w:rPr>
              <w:t>MemoryRange</w:t>
            </w:r>
            <w:r>
              <w:rPr>
                <w:lang w:val="en-GB"/>
              </w:rPr>
              <w:t xml:space="preserve">. Works with </w:t>
            </w:r>
            <w:r w:rsidRPr="00C30EBC">
              <w:rPr>
                <w:rStyle w:val="CodeChar"/>
              </w:rPr>
              <w:t>std::array</w:t>
            </w:r>
            <w:r>
              <w:rPr>
                <w:lang w:val="en-GB"/>
              </w:rPr>
              <w:t xml:space="preserve">, </w:t>
            </w:r>
            <w:r w:rsidRPr="00C30EBC">
              <w:rPr>
                <w:rStyle w:val="CodeChar"/>
              </w:rPr>
              <w:t>infra::BoundedVector</w:t>
            </w:r>
            <w:r>
              <w:rPr>
                <w:lang w:val="en-GB"/>
              </w:rPr>
              <w:t>, etc.</w:t>
            </w:r>
          </w:p>
        </w:tc>
      </w:tr>
      <w:tr w:rsidR="00C30EBC" w:rsidTr="00C30EBC">
        <w:tc>
          <w:tcPr>
            <w:tcW w:w="2178" w:type="dxa"/>
          </w:tcPr>
          <w:p w:rsidR="00C30EBC" w:rsidRDefault="00C30EBC" w:rsidP="00C30EBC">
            <w:pPr>
              <w:pStyle w:val="Code"/>
            </w:pPr>
            <w:r>
              <w:t>Head(range, size)</w:t>
            </w:r>
          </w:p>
        </w:tc>
        <w:tc>
          <w:tcPr>
            <w:tcW w:w="7398" w:type="dxa"/>
          </w:tcPr>
          <w:p w:rsidR="00C30EBC" w:rsidRDefault="00C30EBC" w:rsidP="00172364">
            <w:pPr>
              <w:rPr>
                <w:lang w:val="en-GB"/>
              </w:rPr>
            </w:pPr>
            <w:r>
              <w:rPr>
                <w:lang w:val="en-GB"/>
              </w:rPr>
              <w:t xml:space="preserve">Returns </w:t>
            </w:r>
            <w:r w:rsidRPr="00C30EBC">
              <w:rPr>
                <w:rStyle w:val="CodeChar"/>
              </w:rPr>
              <w:t>range</w:t>
            </w:r>
            <w:r>
              <w:rPr>
                <w:lang w:val="en-GB"/>
              </w:rPr>
              <w:t xml:space="preserve"> if its size is less than </w:t>
            </w:r>
            <w:r w:rsidRPr="00C30EBC">
              <w:rPr>
                <w:rStyle w:val="CodeChar"/>
              </w:rPr>
              <w:t>size</w:t>
            </w:r>
            <w:r>
              <w:rPr>
                <w:lang w:val="en-GB"/>
              </w:rPr>
              <w:t xml:space="preserve">, otherwise a new range consisting of the first </w:t>
            </w:r>
            <w:r w:rsidRPr="00C30EBC">
              <w:rPr>
                <w:rStyle w:val="CodeChar"/>
              </w:rPr>
              <w:t>size</w:t>
            </w:r>
            <w:r>
              <w:rPr>
                <w:lang w:val="en-GB"/>
              </w:rPr>
              <w:t xml:space="preserve"> elements of </w:t>
            </w:r>
            <w:r w:rsidRPr="00C30EBC">
              <w:rPr>
                <w:rStyle w:val="CodeChar"/>
              </w:rPr>
              <w:t>range</w:t>
            </w:r>
          </w:p>
        </w:tc>
      </w:tr>
      <w:tr w:rsidR="00C30EBC" w:rsidTr="00C30EBC">
        <w:tc>
          <w:tcPr>
            <w:tcW w:w="2178" w:type="dxa"/>
          </w:tcPr>
          <w:p w:rsidR="00C30EBC" w:rsidRDefault="00C30EBC" w:rsidP="00C30EBC">
            <w:pPr>
              <w:pStyle w:val="Code"/>
            </w:pPr>
            <w:r>
              <w:t>Tail(range, size)</w:t>
            </w:r>
          </w:p>
        </w:tc>
        <w:tc>
          <w:tcPr>
            <w:tcW w:w="7398" w:type="dxa"/>
          </w:tcPr>
          <w:p w:rsidR="00C30EBC" w:rsidRDefault="00C30EBC" w:rsidP="00C30EBC">
            <w:pPr>
              <w:rPr>
                <w:lang w:val="en-GB"/>
              </w:rPr>
            </w:pPr>
            <w:r>
              <w:rPr>
                <w:lang w:val="en-GB"/>
              </w:rPr>
              <w:t xml:space="preserve">Returns </w:t>
            </w:r>
            <w:r w:rsidRPr="00C30EBC">
              <w:rPr>
                <w:rStyle w:val="CodeChar"/>
              </w:rPr>
              <w:t>range</w:t>
            </w:r>
            <w:r>
              <w:rPr>
                <w:lang w:val="en-GB"/>
              </w:rPr>
              <w:t xml:space="preserve"> if its size is less than </w:t>
            </w:r>
            <w:r w:rsidRPr="00C30EBC">
              <w:rPr>
                <w:rStyle w:val="CodeChar"/>
              </w:rPr>
              <w:t>size</w:t>
            </w:r>
            <w:r>
              <w:rPr>
                <w:lang w:val="en-GB"/>
              </w:rPr>
              <w:t xml:space="preserve">, otherwise a new range consisting of the </w:t>
            </w:r>
            <w:r>
              <w:rPr>
                <w:lang w:val="en-GB"/>
              </w:rPr>
              <w:t>last</w:t>
            </w:r>
            <w:r>
              <w:rPr>
                <w:lang w:val="en-GB"/>
              </w:rPr>
              <w:t xml:space="preserve"> </w:t>
            </w:r>
            <w:r w:rsidRPr="00C30EBC">
              <w:rPr>
                <w:rStyle w:val="CodeChar"/>
              </w:rPr>
              <w:t>size</w:t>
            </w:r>
            <w:r>
              <w:rPr>
                <w:lang w:val="en-GB"/>
              </w:rPr>
              <w:t xml:space="preserve"> elements of </w:t>
            </w:r>
            <w:r w:rsidRPr="00C30EBC">
              <w:rPr>
                <w:rStyle w:val="CodeChar"/>
              </w:rPr>
              <w:t>range</w:t>
            </w:r>
          </w:p>
        </w:tc>
      </w:tr>
      <w:tr w:rsidR="00C30EBC" w:rsidTr="00C30EBC">
        <w:tc>
          <w:tcPr>
            <w:tcW w:w="2178" w:type="dxa"/>
          </w:tcPr>
          <w:p w:rsidR="00C30EBC" w:rsidRDefault="00C30EBC" w:rsidP="00C30EBC">
            <w:pPr>
              <w:pStyle w:val="Code"/>
            </w:pPr>
            <w:proofErr w:type="spellStart"/>
            <w:r>
              <w:t>DiscardHead</w:t>
            </w:r>
            <w:proofErr w:type="spellEnd"/>
            <w:r>
              <w:t>(range, size)</w:t>
            </w:r>
          </w:p>
        </w:tc>
        <w:tc>
          <w:tcPr>
            <w:tcW w:w="7398" w:type="dxa"/>
          </w:tcPr>
          <w:p w:rsidR="00C30EBC" w:rsidRDefault="00C30EBC" w:rsidP="00172364">
            <w:pPr>
              <w:rPr>
                <w:lang w:val="en-GB"/>
              </w:rPr>
            </w:pPr>
            <w:r>
              <w:rPr>
                <w:lang w:val="en-GB"/>
              </w:rPr>
              <w:t xml:space="preserve">Returns an empty range </w:t>
            </w:r>
            <w:proofErr w:type="spellStart"/>
            <w:r>
              <w:rPr>
                <w:lang w:val="en-GB"/>
              </w:rPr>
              <w:t>if</w:t>
            </w:r>
            <w:proofErr w:type="spellEnd"/>
            <w:r>
              <w:rPr>
                <w:lang w:val="en-GB"/>
              </w:rPr>
              <w:t xml:space="preserve"> </w:t>
            </w:r>
            <w:r w:rsidRPr="00C30EBC">
              <w:rPr>
                <w:rStyle w:val="CodeChar"/>
              </w:rPr>
              <w:t>size</w:t>
            </w:r>
            <w:r>
              <w:rPr>
                <w:lang w:val="en-GB"/>
              </w:rPr>
              <w:t xml:space="preserve"> is greater than </w:t>
            </w:r>
            <w:r w:rsidRPr="00C30EBC">
              <w:rPr>
                <w:rStyle w:val="CodeChar"/>
              </w:rPr>
              <w:t>range.size()</w:t>
            </w:r>
            <w:r>
              <w:rPr>
                <w:lang w:val="en-GB"/>
              </w:rPr>
              <w:t xml:space="preserve">, otherwise a new range consisting of range except for the first </w:t>
            </w:r>
            <w:r w:rsidRPr="00C30EBC">
              <w:rPr>
                <w:rStyle w:val="CodeChar"/>
              </w:rPr>
              <w:t>size</w:t>
            </w:r>
            <w:r>
              <w:rPr>
                <w:lang w:val="en-GB"/>
              </w:rPr>
              <w:t xml:space="preserve"> elements</w:t>
            </w:r>
          </w:p>
        </w:tc>
      </w:tr>
      <w:tr w:rsidR="00C30EBC" w:rsidTr="00C30EBC">
        <w:tc>
          <w:tcPr>
            <w:tcW w:w="2178" w:type="dxa"/>
          </w:tcPr>
          <w:p w:rsidR="00C30EBC" w:rsidRDefault="00C30EBC" w:rsidP="00C30EBC">
            <w:pPr>
              <w:pStyle w:val="Code"/>
            </w:pPr>
            <w:r>
              <w:t>DiscardTail(range, size)</w:t>
            </w:r>
          </w:p>
        </w:tc>
        <w:tc>
          <w:tcPr>
            <w:tcW w:w="7398" w:type="dxa"/>
          </w:tcPr>
          <w:p w:rsidR="00C30EBC" w:rsidRDefault="00C30EBC" w:rsidP="00C30EBC">
            <w:pPr>
              <w:rPr>
                <w:lang w:val="en-GB"/>
              </w:rPr>
            </w:pPr>
            <w:r>
              <w:rPr>
                <w:lang w:val="en-GB"/>
              </w:rPr>
              <w:t xml:space="preserve">Returns an empty range </w:t>
            </w:r>
            <w:proofErr w:type="spellStart"/>
            <w:r>
              <w:rPr>
                <w:lang w:val="en-GB"/>
              </w:rPr>
              <w:t>if</w:t>
            </w:r>
            <w:proofErr w:type="spellEnd"/>
            <w:r>
              <w:rPr>
                <w:lang w:val="en-GB"/>
              </w:rPr>
              <w:t xml:space="preserve"> </w:t>
            </w:r>
            <w:r w:rsidRPr="00C30EBC">
              <w:rPr>
                <w:rStyle w:val="CodeChar"/>
              </w:rPr>
              <w:t>size</w:t>
            </w:r>
            <w:r>
              <w:rPr>
                <w:lang w:val="en-GB"/>
              </w:rPr>
              <w:t xml:space="preserve"> is greater than </w:t>
            </w:r>
            <w:r w:rsidRPr="00C30EBC">
              <w:rPr>
                <w:rStyle w:val="CodeChar"/>
              </w:rPr>
              <w:t>range.size()</w:t>
            </w:r>
            <w:r>
              <w:rPr>
                <w:lang w:val="en-GB"/>
              </w:rPr>
              <w:t xml:space="preserve">, otherwise a new range consisting of range except for the last </w:t>
            </w:r>
            <w:r w:rsidRPr="00C30EBC">
              <w:rPr>
                <w:rStyle w:val="CodeChar"/>
              </w:rPr>
              <w:t>size</w:t>
            </w:r>
            <w:r>
              <w:rPr>
                <w:lang w:val="en-GB"/>
              </w:rPr>
              <w:t xml:space="preserve"> elements</w:t>
            </w:r>
          </w:p>
        </w:tc>
      </w:tr>
    </w:tbl>
    <w:p w:rsidR="00C30EBC" w:rsidRDefault="00866650" w:rsidP="008378B6">
      <w:pPr>
        <w:pStyle w:val="Heading1"/>
      </w:pPr>
      <w:bookmarkStart w:id="0" w:name="_GoBack"/>
      <w:bookmarkEnd w:id="0"/>
      <w:r>
        <w:t>Example</w:t>
      </w:r>
    </w:p>
    <w:p w:rsidR="00252D9B" w:rsidRDefault="00252D9B" w:rsidP="00866650">
      <w:pPr>
        <w:rPr>
          <w:lang w:val="en-GB"/>
        </w:rPr>
      </w:pPr>
      <w:r>
        <w:rPr>
          <w:lang w:val="en-GB"/>
        </w:rPr>
        <w:t xml:space="preserve">This example function shows how to use the </w:t>
      </w:r>
      <w:r w:rsidRPr="00252D9B">
        <w:rPr>
          <w:rStyle w:val="CodeChar"/>
        </w:rPr>
        <w:t>MemoryRange</w:t>
      </w:r>
      <w:r>
        <w:rPr>
          <w:lang w:val="en-GB"/>
        </w:rPr>
        <w:t xml:space="preserve"> functions to cut up a block of data into smaller pieces:</w:t>
      </w:r>
    </w:p>
    <w:p w:rsidR="00252D9B" w:rsidRDefault="00252D9B" w:rsidP="00252D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SendInBlocks(infra::</w:t>
      </w:r>
      <w:r>
        <w:rPr>
          <w:rFonts w:ascii="Consolas" w:hAnsi="Consolas" w:cs="Consolas"/>
          <w:noProof/>
          <w:color w:val="2B91AF"/>
          <w:sz w:val="19"/>
          <w:szCs w:val="19"/>
        </w:rPr>
        <w:t>ConstByteRange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sendData</w:t>
      </w:r>
      <w:r>
        <w:rPr>
          <w:rFonts w:ascii="Consolas" w:hAnsi="Consolas" w:cs="Consolas"/>
          <w:noProof/>
          <w:color w:val="000000"/>
          <w:sz w:val="19"/>
          <w:szCs w:val="19"/>
        </w:rPr>
        <w:t>, std::</w:t>
      </w:r>
      <w:r>
        <w:rPr>
          <w:rFonts w:ascii="Consolas" w:hAnsi="Consolas" w:cs="Consolas"/>
          <w:noProof/>
          <w:color w:val="2B91AF"/>
          <w:sz w:val="19"/>
          <w:szCs w:val="19"/>
        </w:rPr>
        <w:t>size_t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blockSize</w:t>
      </w:r>
      <w:r>
        <w:rPr>
          <w:rFonts w:ascii="Consolas" w:hAnsi="Consolas" w:cs="Consolas"/>
          <w:noProof/>
          <w:color w:val="000000"/>
          <w:sz w:val="19"/>
          <w:szCs w:val="19"/>
        </w:rPr>
        <w:t>)</w:t>
      </w:r>
    </w:p>
    <w:p w:rsidR="00252D9B" w:rsidRDefault="00252D9B" w:rsidP="00252D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252D9B" w:rsidRDefault="00252D9B" w:rsidP="00252D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</w:rPr>
        <w:t>while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noProof/>
          <w:color w:val="808080"/>
          <w:sz w:val="19"/>
          <w:szCs w:val="19"/>
        </w:rPr>
        <w:t>sendData</w:t>
      </w:r>
      <w:r>
        <w:rPr>
          <w:rFonts w:ascii="Consolas" w:hAnsi="Consolas" w:cs="Consolas"/>
          <w:noProof/>
          <w:color w:val="000000"/>
          <w:sz w:val="19"/>
          <w:szCs w:val="19"/>
        </w:rPr>
        <w:t>.empty())</w:t>
      </w:r>
    </w:p>
    <w:p w:rsidR="00252D9B" w:rsidRDefault="00252D9B" w:rsidP="00252D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252D9B" w:rsidRDefault="00252D9B" w:rsidP="00252D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Send(infra::Head(</w:t>
      </w:r>
      <w:r>
        <w:rPr>
          <w:rFonts w:ascii="Consolas" w:hAnsi="Consolas" w:cs="Consolas"/>
          <w:noProof/>
          <w:color w:val="808080"/>
          <w:sz w:val="19"/>
          <w:szCs w:val="19"/>
        </w:rPr>
        <w:t>sendData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</w:rPr>
        <w:t>blockSize</w:t>
      </w:r>
      <w:r>
        <w:rPr>
          <w:rFonts w:ascii="Consolas" w:hAnsi="Consolas" w:cs="Consolas"/>
          <w:noProof/>
          <w:color w:val="000000"/>
          <w:sz w:val="19"/>
          <w:szCs w:val="19"/>
        </w:rPr>
        <w:t>));</w:t>
      </w:r>
    </w:p>
    <w:p w:rsidR="00252D9B" w:rsidRDefault="00252D9B" w:rsidP="00252D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/>
          <w:color w:val="808080"/>
          <w:sz w:val="19"/>
          <w:szCs w:val="19"/>
        </w:rPr>
        <w:t>sendData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infra::DiscardHead(</w:t>
      </w:r>
      <w:r>
        <w:rPr>
          <w:rFonts w:ascii="Consolas" w:hAnsi="Consolas" w:cs="Consolas"/>
          <w:noProof/>
          <w:color w:val="808080"/>
          <w:sz w:val="19"/>
          <w:szCs w:val="19"/>
        </w:rPr>
        <w:t>sendData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</w:rPr>
        <w:t>blockSize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252D9B" w:rsidRDefault="00252D9B" w:rsidP="00252D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252D9B" w:rsidRDefault="00252D9B" w:rsidP="00252D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252D9B" w:rsidRDefault="00252D9B" w:rsidP="00252D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252D9B" w:rsidRDefault="00252D9B" w:rsidP="00252D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Example()</w:t>
      </w:r>
    </w:p>
    <w:p w:rsidR="00252D9B" w:rsidRDefault="00252D9B" w:rsidP="00252D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252D9B" w:rsidRDefault="00252D9B" w:rsidP="00252D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std::</w:t>
      </w:r>
      <w:r>
        <w:rPr>
          <w:rFonts w:ascii="Consolas" w:hAnsi="Consolas" w:cs="Consolas"/>
          <w:noProof/>
          <w:color w:val="2B91AF"/>
          <w:sz w:val="19"/>
          <w:szCs w:val="19"/>
        </w:rPr>
        <w:t>array</w:t>
      </w:r>
      <w:r>
        <w:rPr>
          <w:rFonts w:ascii="Consolas" w:hAnsi="Consolas" w:cs="Consolas"/>
          <w:noProof/>
          <w:color w:val="000000"/>
          <w:sz w:val="19"/>
          <w:szCs w:val="19"/>
        </w:rPr>
        <w:t>&lt;</w:t>
      </w:r>
      <w:r>
        <w:rPr>
          <w:rFonts w:ascii="Consolas" w:hAnsi="Consolas" w:cs="Consolas"/>
          <w:noProof/>
          <w:color w:val="2B91AF"/>
          <w:sz w:val="19"/>
          <w:szCs w:val="19"/>
        </w:rPr>
        <w:t>uint8_t</w:t>
      </w:r>
      <w:r>
        <w:rPr>
          <w:rFonts w:ascii="Consolas" w:hAnsi="Consolas" w:cs="Consolas"/>
          <w:noProof/>
          <w:color w:val="000000"/>
          <w:sz w:val="19"/>
          <w:szCs w:val="19"/>
        </w:rPr>
        <w:t>, 256&gt; data = { ... };</w:t>
      </w:r>
    </w:p>
    <w:p w:rsidR="00252D9B" w:rsidRDefault="00252D9B" w:rsidP="00252D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SendInBlocks(data, 16);</w:t>
      </w:r>
    </w:p>
    <w:p w:rsidR="00252D9B" w:rsidRDefault="00252D9B" w:rsidP="00252D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252D9B" w:rsidRPr="00252D9B" w:rsidRDefault="00252D9B" w:rsidP="00252D9B">
      <w:pPr>
        <w:rPr>
          <w:lang w:val="en-GB"/>
        </w:rPr>
      </w:pPr>
    </w:p>
    <w:sectPr w:rsidR="00252D9B" w:rsidRPr="00252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1D12DD"/>
    <w:multiLevelType w:val="multilevel"/>
    <w:tmpl w:val="7C3C676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9B5"/>
    <w:rsid w:val="00057420"/>
    <w:rsid w:val="00172364"/>
    <w:rsid w:val="00252D9B"/>
    <w:rsid w:val="0028658F"/>
    <w:rsid w:val="00416C8E"/>
    <w:rsid w:val="005444A7"/>
    <w:rsid w:val="005D2F85"/>
    <w:rsid w:val="00604E78"/>
    <w:rsid w:val="00671DB3"/>
    <w:rsid w:val="00730904"/>
    <w:rsid w:val="008378B6"/>
    <w:rsid w:val="00863331"/>
    <w:rsid w:val="00866650"/>
    <w:rsid w:val="008734B1"/>
    <w:rsid w:val="00B159B5"/>
    <w:rsid w:val="00C30EBC"/>
    <w:rsid w:val="00DE0664"/>
    <w:rsid w:val="00E51B9C"/>
    <w:rsid w:val="00FA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4B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34B1"/>
    <w:pPr>
      <w:keepNext/>
      <w:numPr>
        <w:numId w:val="37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olor w:val="FFFFFF" w:themeColor="background1"/>
      <w:spacing w:val="15"/>
      <w:sz w:val="22"/>
      <w:szCs w:val="2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4B1"/>
    <w:pPr>
      <w:keepNext/>
      <w:numPr>
        <w:ilvl w:val="1"/>
        <w:numId w:val="37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4B1"/>
    <w:pPr>
      <w:numPr>
        <w:ilvl w:val="2"/>
        <w:numId w:val="37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4B1"/>
    <w:pPr>
      <w:numPr>
        <w:ilvl w:val="3"/>
        <w:numId w:val="37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4B1"/>
    <w:pPr>
      <w:numPr>
        <w:ilvl w:val="4"/>
        <w:numId w:val="37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4B1"/>
    <w:pPr>
      <w:numPr>
        <w:ilvl w:val="5"/>
        <w:numId w:val="37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4B1"/>
    <w:pPr>
      <w:numPr>
        <w:ilvl w:val="6"/>
        <w:numId w:val="37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4B1"/>
    <w:pPr>
      <w:numPr>
        <w:ilvl w:val="7"/>
        <w:numId w:val="37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4B1"/>
    <w:pPr>
      <w:numPr>
        <w:ilvl w:val="8"/>
        <w:numId w:val="10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8734B1"/>
    <w:pPr>
      <w:shd w:val="pct10" w:color="auto" w:fill="auto"/>
      <w:spacing w:before="0" w:after="0" w:line="240" w:lineRule="auto"/>
    </w:pPr>
    <w:rPr>
      <w:rFonts w:ascii="Courier New" w:hAnsi="Courier New" w:cs="Courier New"/>
      <w:noProof/>
      <w:lang w:val="en-GB"/>
    </w:rPr>
  </w:style>
  <w:style w:type="character" w:customStyle="1" w:styleId="CodeChar">
    <w:name w:val="Code Char"/>
    <w:basedOn w:val="DefaultParagraphFont"/>
    <w:link w:val="Code"/>
    <w:rsid w:val="008734B1"/>
    <w:rPr>
      <w:rFonts w:ascii="Courier New" w:hAnsi="Courier New" w:cs="Courier New"/>
      <w:noProof/>
      <w:sz w:val="20"/>
      <w:szCs w:val="20"/>
      <w:shd w:val="pct10" w:color="auto" w:fill="auto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8734B1"/>
    <w:rPr>
      <w:b/>
      <w:bCs/>
      <w:color w:val="FFFFFF" w:themeColor="background1"/>
      <w:spacing w:val="15"/>
      <w:shd w:val="clear" w:color="auto" w:fill="4F81BD" w:themeFill="accent1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734B1"/>
    <w:rPr>
      <w:spacing w:val="15"/>
      <w:shd w:val="clear" w:color="auto" w:fill="DBE5F1" w:themeFill="accent1" w:themeFillTint="33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8734B1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4B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4B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4B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4B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4B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4B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734B1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734B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34B1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4B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34B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734B1"/>
    <w:rPr>
      <w:b/>
      <w:bCs/>
    </w:rPr>
  </w:style>
  <w:style w:type="character" w:styleId="Emphasis">
    <w:name w:val="Emphasis"/>
    <w:uiPriority w:val="20"/>
    <w:qFormat/>
    <w:rsid w:val="008734B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734B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734B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734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34B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734B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4B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4B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734B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734B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734B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734B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734B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34B1"/>
    <w:pPr>
      <w:numPr>
        <w:numId w:val="0"/>
      </w:num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671DB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4B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34B1"/>
    <w:pPr>
      <w:keepNext/>
      <w:numPr>
        <w:numId w:val="37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olor w:val="FFFFFF" w:themeColor="background1"/>
      <w:spacing w:val="15"/>
      <w:sz w:val="22"/>
      <w:szCs w:val="2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4B1"/>
    <w:pPr>
      <w:keepNext/>
      <w:numPr>
        <w:ilvl w:val="1"/>
        <w:numId w:val="37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4B1"/>
    <w:pPr>
      <w:numPr>
        <w:ilvl w:val="2"/>
        <w:numId w:val="37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4B1"/>
    <w:pPr>
      <w:numPr>
        <w:ilvl w:val="3"/>
        <w:numId w:val="37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4B1"/>
    <w:pPr>
      <w:numPr>
        <w:ilvl w:val="4"/>
        <w:numId w:val="37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4B1"/>
    <w:pPr>
      <w:numPr>
        <w:ilvl w:val="5"/>
        <w:numId w:val="37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4B1"/>
    <w:pPr>
      <w:numPr>
        <w:ilvl w:val="6"/>
        <w:numId w:val="37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4B1"/>
    <w:pPr>
      <w:numPr>
        <w:ilvl w:val="7"/>
        <w:numId w:val="37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4B1"/>
    <w:pPr>
      <w:numPr>
        <w:ilvl w:val="8"/>
        <w:numId w:val="10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8734B1"/>
    <w:pPr>
      <w:shd w:val="pct10" w:color="auto" w:fill="auto"/>
      <w:spacing w:before="0" w:after="0" w:line="240" w:lineRule="auto"/>
    </w:pPr>
    <w:rPr>
      <w:rFonts w:ascii="Courier New" w:hAnsi="Courier New" w:cs="Courier New"/>
      <w:noProof/>
      <w:lang w:val="en-GB"/>
    </w:rPr>
  </w:style>
  <w:style w:type="character" w:customStyle="1" w:styleId="CodeChar">
    <w:name w:val="Code Char"/>
    <w:basedOn w:val="DefaultParagraphFont"/>
    <w:link w:val="Code"/>
    <w:rsid w:val="008734B1"/>
    <w:rPr>
      <w:rFonts w:ascii="Courier New" w:hAnsi="Courier New" w:cs="Courier New"/>
      <w:noProof/>
      <w:sz w:val="20"/>
      <w:szCs w:val="20"/>
      <w:shd w:val="pct10" w:color="auto" w:fill="auto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8734B1"/>
    <w:rPr>
      <w:b/>
      <w:bCs/>
      <w:color w:val="FFFFFF" w:themeColor="background1"/>
      <w:spacing w:val="15"/>
      <w:shd w:val="clear" w:color="auto" w:fill="4F81BD" w:themeFill="accent1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734B1"/>
    <w:rPr>
      <w:spacing w:val="15"/>
      <w:shd w:val="clear" w:color="auto" w:fill="DBE5F1" w:themeFill="accent1" w:themeFillTint="33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8734B1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4B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4B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4B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4B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4B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4B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734B1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734B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34B1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4B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34B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734B1"/>
    <w:rPr>
      <w:b/>
      <w:bCs/>
    </w:rPr>
  </w:style>
  <w:style w:type="character" w:styleId="Emphasis">
    <w:name w:val="Emphasis"/>
    <w:uiPriority w:val="20"/>
    <w:qFormat/>
    <w:rsid w:val="008734B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734B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734B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734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34B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734B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4B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4B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734B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734B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734B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734B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734B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34B1"/>
    <w:pPr>
      <w:numPr>
        <w:numId w:val="0"/>
      </w:num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671DB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2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Peters</dc:creator>
  <cp:keywords/>
  <dc:description/>
  <cp:lastModifiedBy>Richard Peters</cp:lastModifiedBy>
  <cp:revision>9</cp:revision>
  <dcterms:created xsi:type="dcterms:W3CDTF">2017-08-08T11:21:00Z</dcterms:created>
  <dcterms:modified xsi:type="dcterms:W3CDTF">2017-08-09T08:43:00Z</dcterms:modified>
</cp:coreProperties>
</file>