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drawing>
          <wp:inline distT="0" distB="0" distL="0" distR="0">
            <wp:extent cx="44577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6696075"/>
                    </a:xfrm>
                    <a:prstGeom prst="rect">
                      <a:avLst/>
                    </a:prstGeom>
                  </pic:spPr>
                </pic:pic>
              </a:graphicData>
            </a:graphic>
          </wp:inline>
        </w:drawing>
      </w:r>
    </w:p>
    <w:p>
      <w:r>
        <w:br w:type="page"/>
      </w:r>
    </w:p>
    <w:p>
      <w:pPr>
        <w:spacing w:after="2000"/>
      </w:pPr>
      <w:r>
        <w:t xml:space="preserve"/>
      </w:r>
    </w:p>
    <w:p>
      <w:pPr>
        <w:spacing w:after="400"/>
        <w:jc w:val="center"/>
      </w:pPr>
      <w:r>
        <w:rPr>
          <w:b/>
          <w:bCs/>
          <w:sz w:val="56"/>
          <w:szCs w:val="56"/>
        </w:rPr>
        <w:t xml:space="preserve">ONCOGENESIS &amp; DORMANT CELLS</w:t>
      </w:r>
    </w:p>
    <w:p>
      <w:pPr>
        <w:spacing w:after="800"/>
        <w:jc w:val="center"/>
      </w:pPr>
      <w:r>
        <w:rPr>
          <w:i/>
          <w:iCs/>
          <w:color w:val="555555"/>
          <w:sz w:val="28"/>
          <w:szCs w:val="28"/>
        </w:rPr>
        <w:t xml:space="preserve">Framework 1.2</w:t>
      </w:r>
    </w:p>
    <w:p>
      <w:pPr>
        <w:spacing w:after="1600"/>
      </w:pPr>
      <w:r>
        <w:t xml:space="preserve"/>
      </w:r>
    </w:p>
    <w:p>
      <w:pPr>
        <w:spacing w:after="200"/>
        <w:jc w:val="center"/>
      </w:pPr>
      <w:r>
        <w:rPr>
          <w:sz w:val="26"/>
          <w:szCs w:val="26"/>
        </w:rPr>
        <w:t xml:space="preserve">Yuri Dmitrochenko, MD</w:t>
      </w:r>
    </w:p>
    <w:p>
      <w:pPr>
        <w:spacing w:after="1600"/>
      </w:pPr>
      <w:r>
        <w:t xml:space="preserve"/>
      </w:r>
    </w:p>
    <w:p>
      <w:pPr>
        <w:spacing w:after="100"/>
        <w:jc w:val="center"/>
      </w:pPr>
      <w:r>
        <w:rPr>
          <w:sz w:val="24"/>
          <w:szCs w:val="24"/>
        </w:rPr>
        <w:t xml:space="preserve">Israel</w:t>
      </w:r>
    </w:p>
    <w:p>
      <w:pPr>
        <w:spacing w:after="0"/>
        <w:jc w:val="center"/>
      </w:pPr>
      <w:r>
        <w:rPr>
          <w:sz w:val="24"/>
          <w:szCs w:val="24"/>
        </w:rPr>
        <w:t xml:space="preserve">2026</w:t>
      </w:r>
    </w:p>
    <w:p>
      <w:r>
        <w:br w:type="page"/>
      </w:r>
    </w:p>
    <w:p>
      <w:pPr>
        <w:spacing w:after="2400"/>
      </w:pPr>
      <w:r>
        <w:t xml:space="preserve"/>
      </w:r>
    </w:p>
    <w:p>
      <w:pPr>
        <w:spacing w:after="200"/>
      </w:pPr>
      <w:r>
        <w:rPr>
          <w:b/>
          <w:bCs/>
        </w:rPr>
        <w:t xml:space="preserve">Oncogenesis &amp; Dormant Cells — Framework 1.2</w:t>
      </w:r>
    </w:p>
    <w:p>
      <w:pPr>
        <w:spacing w:after="200"/>
      </w:pPr>
      <w:r>
        <w:t xml:space="preserve">© 2026 Yuri Dmitrochenko. All rights reserved.</w:t>
      </w:r>
    </w:p>
    <w:p>
      <w:pPr>
        <w:spacing w:after="200"/>
      </w:pPr>
      <w:r>
        <w:t xml:space="preserve">This work is distributed for research and educational purposes under a CC BY-NC 4.0 (Creative Commons Attribution–NonCommercial 4.0 International) license. You are free to share and adapt the material with attribution, for non-commercial purposes.</w:t>
      </w:r>
    </w:p>
    <w:p>
      <w:pPr>
        <w:spacing w:after="200"/>
      </w:pPr>
      <w:r>
        <w:t xml:space="preserve">This monograph presents a theoretical framework and literature synthesis. It is offered as a research hypothesis intended for experimental and clinical scrutiny, not as established medical or scientific consensus. Nothing in this work should be interpreted as clinical guidance.</w:t>
      </w:r>
    </w:p>
    <w:p>
      <w:pPr>
        <w:spacing w:after="200"/>
      </w:pPr>
      <w:r>
        <w:t xml:space="preserve">Suggested citation: Dmitrochenko, Y. (2026). Oncogenesis &amp; Dormant Cells (Framework 1.2). Israel.</w:t>
      </w:r>
    </w:p>
    <w:p>
      <w:pPr>
        <w:spacing w:after="200"/>
      </w:pPr>
      <w:r>
        <w:t xml:space="preserve">Developed in collaboration with AI research assistants (Claude, Anthropic; ChatGPT, OpenAI) — see Afterword.</w:t>
      </w:r>
    </w:p>
    <w:p>
      <w:r>
        <w:br w:type="page"/>
      </w:r>
    </w:p>
    <w:p>
      <w:pPr>
        <w:pStyle w:val="Title"/>
        <w:spacing w:after="300"/>
      </w:pPr>
      <w:r>
        <w:t xml:space="preserve">Table of Contents</w:t>
      </w:r>
    </w:p>
    <w:p>
      <w:pPr>
        <w:spacing w:after="100" w:before="100"/>
      </w:pPr>
      <w:r>
        <w:rPr>
          <w:b/>
          <w:bCs/>
        </w:rPr>
        <w:t xml:space="preserve">Front Matter</w:t>
      </w:r>
    </w:p>
    <w:p>
      <w:pPr>
        <w:pStyle w:val="ListParagraph"/>
        <w:numPr>
          <w:ilvl w:val="0"/>
          <w:numId w:val="1"/>
        </w:numPr>
        <w:spacing w:after="120"/>
      </w:pPr>
      <w:r>
        <w:t xml:space="preserve">Title Page</w:t>
      </w:r>
    </w:p>
    <w:p>
      <w:pPr>
        <w:pStyle w:val="ListParagraph"/>
        <w:numPr>
          <w:ilvl w:val="0"/>
          <w:numId w:val="1"/>
        </w:numPr>
        <w:spacing w:after="120"/>
      </w:pPr>
      <w:r>
        <w:t xml:space="preserve">Copyright</w:t>
      </w:r>
    </w:p>
    <w:p>
      <w:pPr>
        <w:pStyle w:val="ListParagraph"/>
        <w:numPr>
          <w:ilvl w:val="0"/>
          <w:numId w:val="1"/>
        </w:numPr>
        <w:spacing w:after="120"/>
      </w:pPr>
      <w:r>
        <w:t xml:space="preserve">Table of Contents</w:t>
      </w:r>
    </w:p>
    <w:p>
      <w:pPr>
        <w:pStyle w:val="ListParagraph"/>
        <w:numPr>
          <w:ilvl w:val="0"/>
          <w:numId w:val="1"/>
        </w:numPr>
        <w:spacing w:after="120"/>
      </w:pPr>
      <w:r>
        <w:t xml:space="preserve">Preface</w:t>
      </w:r>
    </w:p>
    <w:p>
      <w:pPr>
        <w:pStyle w:val="ListParagraph"/>
        <w:numPr>
          <w:ilvl w:val="0"/>
          <w:numId w:val="1"/>
        </w:numPr>
        <w:spacing w:after="120"/>
      </w:pPr>
      <w:r>
        <w:t xml:space="preserve">Glossary</w:t>
      </w:r>
    </w:p>
    <w:p>
      <w:pPr>
        <w:spacing w:after="100" w:before="200"/>
      </w:pPr>
      <w:r>
        <w:rPr>
          <w:b/>
          <w:bCs/>
        </w:rPr>
        <w:t xml:space="preserve">Part I — Foundations of the Framework</w:t>
      </w:r>
    </w:p>
    <w:p>
      <w:pPr>
        <w:pStyle w:val="ListParagraph"/>
        <w:numPr>
          <w:ilvl w:val="0"/>
          <w:numId w:val="1"/>
        </w:numPr>
        <w:spacing w:after="120"/>
      </w:pPr>
      <w:r>
        <w:t xml:space="preserve">Chapter 1 — Cellular Noise, Fall, and Cellular Mess: A Methodological Note</w:t>
      </w:r>
    </w:p>
    <w:p>
      <w:pPr>
        <w:pStyle w:val="ListParagraph"/>
        <w:numPr>
          <w:ilvl w:val="0"/>
          <w:numId w:val="1"/>
        </w:numPr>
        <w:spacing w:after="120"/>
      </w:pPr>
      <w:r>
        <w:t xml:space="preserve">Chapter 2 — Immune Geometry of the Dormant Pool: Peripheral Selection and Cyclical Tumor Growth</w:t>
      </w:r>
    </w:p>
    <w:p>
      <w:pPr>
        <w:pStyle w:val="ListParagraph"/>
        <w:numPr>
          <w:ilvl w:val="0"/>
          <w:numId w:val="1"/>
        </w:numPr>
        <w:spacing w:after="120"/>
      </w:pPr>
      <w:r>
        <w:t xml:space="preserve">Chapter 3 — Vertical and Horizontal Suppression: Two Independent Control Axes — From Bacteria to the Endometrium</w:t>
      </w:r>
    </w:p>
    <w:p>
      <w:pPr>
        <w:pStyle w:val="ListParagraph"/>
        <w:numPr>
          <w:ilvl w:val="0"/>
          <w:numId w:val="1"/>
        </w:numPr>
        <w:spacing w:after="120"/>
      </w:pPr>
      <w:r>
        <w:t xml:space="preserve">Chapter 4 — Cellular Mess and the L&amp;C Principle: Foundational Synthesis of Framework 1.2</w:t>
      </w:r>
    </w:p>
    <w:p>
      <w:pPr>
        <w:spacing w:after="100" w:before="200"/>
      </w:pPr>
      <w:r>
        <w:rPr>
          <w:b/>
          <w:bCs/>
        </w:rPr>
        <w:t xml:space="preserve">Part II — Formation of the Pathological Reserve</w:t>
      </w:r>
    </w:p>
    <w:p>
      <w:pPr>
        <w:pStyle w:val="ListParagraph"/>
        <w:numPr>
          <w:ilvl w:val="0"/>
          <w:numId w:val="1"/>
        </w:numPr>
        <w:spacing w:after="120"/>
      </w:pPr>
      <w:r>
        <w:t xml:space="preserve">Chapter 5 — Dormant Cell Pool: From Physiological Reserve to Autonomous Clonal Reservoir</w:t>
      </w:r>
    </w:p>
    <w:p>
      <w:pPr>
        <w:pStyle w:val="ListParagraph"/>
        <w:numPr>
          <w:ilvl w:val="0"/>
          <w:numId w:val="1"/>
        </w:numPr>
        <w:spacing w:after="120"/>
      </w:pPr>
      <w:r>
        <w:t xml:space="preserve">Chapter 6 — CHIP: The Earliest Stage of Reserve Capture</w:t>
      </w:r>
    </w:p>
    <w:p>
      <w:pPr>
        <w:pStyle w:val="ListParagraph"/>
        <w:numPr>
          <w:ilvl w:val="0"/>
          <w:numId w:val="1"/>
        </w:numPr>
        <w:spacing w:after="120"/>
      </w:pPr>
      <w:r>
        <w:t xml:space="preserve">Chapter 7 — Leukemia: From Reserve Capture to Autonomous Clonal Maintenance</w:t>
      </w:r>
    </w:p>
    <w:p>
      <w:pPr>
        <w:pStyle w:val="ListParagraph"/>
        <w:numPr>
          <w:ilvl w:val="0"/>
          <w:numId w:val="1"/>
        </w:numPr>
        <w:spacing w:after="120"/>
      </w:pPr>
      <w:r>
        <w:t xml:space="preserve">Chapter 8 — Hydrogel Architecture of the Solid Tumor: Physical Organization of the Dormant Cell Pool</w:t>
      </w:r>
    </w:p>
    <w:p>
      <w:pPr>
        <w:spacing w:after="100" w:before="200"/>
      </w:pPr>
      <w:r>
        <w:rPr>
          <w:b/>
          <w:bCs/>
        </w:rPr>
        <w:t xml:space="preserve">Part III — Boundary Cases of the Framework</w:t>
      </w:r>
    </w:p>
    <w:p>
      <w:pPr>
        <w:pStyle w:val="ListParagraph"/>
        <w:numPr>
          <w:ilvl w:val="0"/>
          <w:numId w:val="1"/>
        </w:numPr>
        <w:spacing w:after="120"/>
      </w:pPr>
      <w:r>
        <w:t xml:space="preserve">Chapter 9 — Lymphomas: Testing the Boundary of the Model's Applicability</w:t>
      </w:r>
    </w:p>
    <w:p>
      <w:pPr>
        <w:pStyle w:val="ListParagraph"/>
        <w:numPr>
          <w:ilvl w:val="0"/>
          <w:numId w:val="1"/>
        </w:numPr>
        <w:spacing w:after="120"/>
      </w:pPr>
      <w:r>
        <w:t xml:space="preserve">Chapter 10 — Granulomas: A Non-Clonal Control Case for the Dormant Cell Pool</w:t>
      </w:r>
    </w:p>
    <w:p>
      <w:pPr>
        <w:pStyle w:val="ListParagraph"/>
        <w:numPr>
          <w:ilvl w:val="0"/>
          <w:numId w:val="1"/>
        </w:numPr>
        <w:spacing w:after="120"/>
      </w:pPr>
      <w:r>
        <w:t xml:space="preserve">Chapter 11 — Gestational Choriocarcinoma: An Immunological Boundary Case of Reserve Biology</w:t>
      </w:r>
    </w:p>
    <w:p>
      <w:pPr>
        <w:spacing w:after="100" w:before="200"/>
      </w:pPr>
      <w:r>
        <w:rPr>
          <w:b/>
          <w:bCs/>
        </w:rPr>
        <w:t xml:space="preserve">Part IV — Conceptual Integration</w:t>
      </w:r>
    </w:p>
    <w:p>
      <w:pPr>
        <w:pStyle w:val="ListParagraph"/>
        <w:numPr>
          <w:ilvl w:val="0"/>
          <w:numId w:val="1"/>
        </w:numPr>
        <w:spacing w:after="120"/>
      </w:pPr>
      <w:r>
        <w:t xml:space="preserve">Chapter 12 — Who Owns the Reserve? A Conceptual Essay Closing Framework 1.2</w:t>
      </w:r>
    </w:p>
    <w:p>
      <w:pPr>
        <w:spacing w:after="100" w:before="200"/>
      </w:pPr>
      <w:r>
        <w:rPr>
          <w:b/>
          <w:bCs/>
        </w:rPr>
        <w:t xml:space="preserve">Back Matter</w:t>
      </w:r>
    </w:p>
    <w:p>
      <w:pPr>
        <w:pStyle w:val="ListParagraph"/>
        <w:numPr>
          <w:ilvl w:val="0"/>
          <w:numId w:val="1"/>
        </w:numPr>
        <w:spacing w:after="120"/>
      </w:pPr>
      <w:r>
        <w:t xml:space="preserve">Afterword</w:t>
      </w:r>
    </w:p>
    <w:p>
      <w:pPr>
        <w:pStyle w:val="ListParagraph"/>
        <w:numPr>
          <w:ilvl w:val="0"/>
          <w:numId w:val="1"/>
        </w:numPr>
        <w:spacing w:after="120"/>
      </w:pPr>
      <w:r>
        <w:t xml:space="preserve">References (provided at the end of each chapter)</w:t>
      </w:r>
    </w:p>
    <w:p>
      <w:r>
        <w:br w:type="page"/>
      </w:r>
    </w:p>
    <w:p>
      <w:pPr>
        <w:spacing w:after="60"/>
      </w:pPr>
      <w:r>
        <w:rPr>
          <w:i/>
          <w:iCs/>
          <w:color w:val="666666"/>
        </w:rPr>
        <w:t xml:space="preserve">Framework 1.2 — Preface</w:t>
      </w:r>
    </w:p>
    <w:p>
      <w:pPr>
        <w:pStyle w:val="Title"/>
        <w:spacing w:after="100"/>
      </w:pPr>
      <w:r>
        <w:t xml:space="preserve">Preface</w:t>
      </w:r>
    </w:p>
    <w:p>
      <w:pPr>
        <w:spacing w:after="300"/>
      </w:pPr>
      <w:r>
        <w:rPr>
          <w:i/>
          <w:iCs/>
        </w:rPr>
        <w:t xml:space="preserve">Oncogenesis &amp; Dormant Cells</w:t>
      </w:r>
    </w:p>
    <w:p>
      <w:pPr>
        <w:spacing w:after="200"/>
      </w:pPr>
      <w:r>
        <w:t xml:space="preserve">Cancer research has traditionally focused on the active components of disease: proliferating cells, driver mutations, signaling pathways, immune escape, and clonal evolution. These discoveries have transformed modern oncology and continue to shape both experimental and clinical practice.</w:t>
      </w:r>
    </w:p>
    <w:p>
      <w:pPr>
        <w:spacing w:after="200"/>
      </w:pPr>
      <w:r>
        <w:t xml:space="preserve">Yet an important question remains.</w:t>
      </w:r>
    </w:p>
    <w:p>
      <w:pPr>
        <w:spacing w:after="200"/>
      </w:pPr>
      <w:r>
        <w:t xml:space="preserve">How can a biological system persist for decades despite continuously losing the very cells that define it?</w:t>
      </w:r>
    </w:p>
    <w:p>
      <w:pPr>
        <w:spacing w:after="200"/>
      </w:pPr>
      <w:r>
        <w:t xml:space="preserve">Framework 1.2 began not as an attempt to replace existing theories of oncogenesis, but as an attempt to understand this question.</w:t>
      </w:r>
    </w:p>
    <w:p>
      <w:pPr>
        <w:spacing w:after="200"/>
      </w:pPr>
      <w:r>
        <w:t xml:space="preserve">During the development of the Framework, it gradually became apparent that many seemingly unrelated biological phenomena share a common organizational feature. Tissue regeneration, immune memory, persistent granulomas, hematopoietic stem-cell systems, and even malignant tumors all depend on the existence of a functional reserve — a protected compartment capable of replacing active functional elements while preserving the continuity of the system itself.</w:t>
      </w:r>
    </w:p>
    <w:p>
      <w:pPr>
        <w:spacing w:after="200"/>
      </w:pPr>
      <w:r>
        <w:t xml:space="preserve">This observation led to a simple but far-reaching hypothesis.</w:t>
      </w:r>
    </w:p>
    <w:p>
      <w:pPr>
        <w:spacing w:after="200"/>
      </w:pPr>
      <w:r>
        <w:t xml:space="preserve">Perhaps the decisive event in oncogenesis is not the appearance of the first mutation, nor even the emergence of uncontrolled proliferation.</w:t>
      </w:r>
    </w:p>
    <w:p>
      <w:pPr>
        <w:spacing w:after="200"/>
      </w:pPr>
      <w:r>
        <w:t xml:space="preserve">Perhaps it is the moment when the biological reserve gradually changes its beneficiary.</w:t>
      </w:r>
    </w:p>
    <w:p>
      <w:pPr>
        <w:spacing w:after="200"/>
      </w:pPr>
      <w:r>
        <w:t xml:space="preserve">As long as the reserve serves the organism, it enables regeneration, adaptation, and long-term survival.</w:t>
      </w:r>
    </w:p>
    <w:p>
      <w:pPr>
        <w:spacing w:after="200"/>
      </w:pPr>
      <w:r>
        <w:t xml:space="preserve">When the reserve becomes progressively appropriated by an evolving clone, the same biological principle may instead sustain pathological persistence.</w:t>
      </w:r>
    </w:p>
    <w:p>
      <w:pPr>
        <w:spacing w:after="200"/>
      </w:pPr>
      <w:r>
        <w:t xml:space="preserve">Conversely, when the reserve itself becomes progressively depleted, the consequence may be aging and loss of regenerative capacity.</w:t>
      </w:r>
    </w:p>
    <w:p>
      <w:pPr>
        <w:spacing w:after="200"/>
      </w:pPr>
      <w:r>
        <w:t xml:space="preserve">Thus, the same organizational principle may lead to three fundamentally different biological outcomes:</w:t>
      </w:r>
    </w:p>
    <w:p>
      <w:pPr>
        <w:pStyle w:val="ListParagraph"/>
        <w:numPr>
          <w:ilvl w:val="0"/>
          <w:numId w:val="1"/>
        </w:numPr>
        <w:spacing w:after="120"/>
      </w:pPr>
      <w:r>
        <w:t xml:space="preserve">preservation of the organism,</w:t>
      </w:r>
    </w:p>
    <w:p>
      <w:pPr>
        <w:pStyle w:val="ListParagraph"/>
        <w:numPr>
          <w:ilvl w:val="0"/>
          <w:numId w:val="1"/>
        </w:numPr>
        <w:spacing w:after="120"/>
      </w:pPr>
      <w:r>
        <w:t xml:space="preserve">exhaustion of the organism,</w:t>
      </w:r>
    </w:p>
    <w:p>
      <w:pPr>
        <w:pStyle w:val="ListParagraph"/>
        <w:numPr>
          <w:ilvl w:val="0"/>
          <w:numId w:val="1"/>
        </w:numPr>
        <w:spacing w:after="120"/>
      </w:pPr>
      <w:r>
        <w:t xml:space="preserve">or preservation of an autonomous pathological clone.</w:t>
      </w:r>
    </w:p>
    <w:p>
      <w:pPr>
        <w:spacing w:after="200"/>
      </w:pPr>
      <w:r>
        <w:t xml:space="preserve">This monograph does not claim that this hypothesis has been proven.</w:t>
      </w:r>
    </w:p>
    <w:p>
      <w:pPr>
        <w:spacing w:after="200"/>
      </w:pPr>
      <w:r>
        <w:t xml:space="preserve">Rather, it asks whether this possibility deserves systematic investigation.</w:t>
      </w:r>
    </w:p>
    <w:p>
      <w:pPr>
        <w:spacing w:after="200"/>
      </w:pPr>
      <w:r>
        <w:t xml:space="preserve">The articles that follow were written as successive attempts to examine this idea from different perspectives. Some chapters — CHIP and leukemia — analyze supportive observations from the literature, developing the reserve-capture hypothesis in its clearest confirming form. Others deliberately challenge the model using biological systems in which its assumptions should fail — lymphoma, granulomas, and gestational choriocarcinoma. In several cases the Framework required modification; in others it defined its own boundaries rather than forcing agreement with the evidence.</w:t>
      </w:r>
    </w:p>
    <w:p>
      <w:pPr>
        <w:spacing w:after="200"/>
      </w:pPr>
      <w:r>
        <w:t xml:space="preserve">This approach reflects the central philosophy of the work.</w:t>
      </w:r>
    </w:p>
    <w:p>
      <w:pPr>
        <w:spacing w:after="200"/>
      </w:pPr>
      <w:r>
        <w:t xml:space="preserve">A conceptual framework should not seek only confirmation.</w:t>
      </w:r>
    </w:p>
    <w:p>
      <w:pPr>
        <w:spacing w:after="200"/>
      </w:pPr>
      <w:r>
        <w:t xml:space="preserve">It should also survive its most difficult questions.</w:t>
      </w:r>
    </w:p>
    <w:p>
      <w:pPr>
        <w:spacing w:after="200"/>
      </w:pPr>
      <w:r>
        <w:t xml:space="preserve">For this reason, the present monograph should be read not as a finished theory, but as a research map.</w:t>
      </w:r>
    </w:p>
    <w:p>
      <w:pPr>
        <w:spacing w:after="200"/>
      </w:pPr>
      <w:r>
        <w:t xml:space="preserve">Its purpose is not to provide definitive answers to every aspect of oncogenesis. Its purpose is to identify a possible organizational direction, to integrate observations that are usually discussed separately, and to formulate hypotheses that can be tested experimentally.</w:t>
      </w:r>
    </w:p>
    <w:p>
      <w:pPr>
        <w:spacing w:after="200"/>
      </w:pPr>
      <w:r>
        <w:t xml:space="preserve">If this Framework proves useful, its greatest value will not lie in any single concept introduced in these pages.</w:t>
      </w:r>
    </w:p>
    <w:p>
      <w:pPr>
        <w:spacing w:after="200"/>
      </w:pPr>
      <w:r>
        <w:t xml:space="preserve">It will lie in a change of perspective.</w:t>
      </w:r>
    </w:p>
    <w:p>
      <w:pPr>
        <w:spacing w:after="200"/>
      </w:pPr>
      <w:r>
        <w:t xml:space="preserve">The central question may no longer be simply:</w:t>
      </w:r>
    </w:p>
    <w:p>
      <w:pPr>
        <w:spacing w:after="200"/>
      </w:pPr>
      <w:r>
        <w:rPr>
          <w:i/>
          <w:iCs/>
        </w:rPr>
        <w:t xml:space="preserve">Why do cancer cells proliferate?</w:t>
      </w:r>
    </w:p>
    <w:p>
      <w:pPr>
        <w:spacing w:after="200"/>
      </w:pPr>
      <w:r>
        <w:t xml:space="preserve">The deeper question may become:</w:t>
      </w:r>
    </w:p>
    <w:p>
      <w:pPr>
        <w:spacing w:after="200"/>
      </w:pPr>
      <w:r>
        <w:rPr>
          <w:i/>
          <w:iCs/>
        </w:rPr>
        <w:t xml:space="preserve">Who owns the reserve?</w:t>
      </w:r>
    </w:p>
    <w:p>
      <w:pPr>
        <w:spacing w:after="200"/>
      </w:pPr>
      <w:r>
        <w:t xml:space="preserve">For in every long-lived biological system, the future may ultimately depend not on the cells that are working today, but on the reserve that will replace them tomorrow.</w:t>
      </w:r>
    </w:p>
    <w:p>
      <w:r>
        <w:br w:type="page"/>
      </w:r>
    </w:p>
    <w:p>
      <w:pPr>
        <w:spacing w:after="60"/>
      </w:pPr>
      <w:r>
        <w:rPr>
          <w:i/>
          <w:iCs/>
          <w:color w:val="666666"/>
        </w:rPr>
        <w:t xml:space="preserve">Framework 1.2 — Glossary</w:t>
      </w:r>
    </w:p>
    <w:p>
      <w:pPr>
        <w:pStyle w:val="Title"/>
        <w:spacing w:after="100"/>
      </w:pPr>
      <w:r>
        <w:t xml:space="preserve">Glossary</w:t>
      </w:r>
    </w:p>
    <w:p>
      <w:pPr>
        <w:spacing w:after="300"/>
      </w:pPr>
      <w:r>
        <w:rPr>
          <w:i/>
          <w:iCs/>
        </w:rPr>
        <w:t xml:space="preserve">Oncogenesis &amp; Dormant Cells</w:t>
      </w:r>
    </w:p>
    <w:p>
      <w:pPr>
        <w:spacing w:after="200"/>
      </w:pPr>
      <w:r>
        <w:rPr>
          <w:i/>
          <w:iCs/>
        </w:rPr>
        <w:t xml:space="preserve">The terms below are used throughout Framework 1.2 as operational definitions. Some correspond to established biological concepts, while others are introduced as conceptual tools within the Framework. Unless otherwise stated, they should be understood according to the definitions provided here.</w:t>
      </w:r>
    </w:p>
    <w:p>
      <w:pPr>
        <w:spacing w:after="80" w:before="220"/>
      </w:pPr>
      <w:r>
        <w:rPr>
          <w:b/>
          <w:bCs/>
          <w:sz w:val="26"/>
          <w:szCs w:val="26"/>
        </w:rPr>
        <w:t xml:space="preserve">Basal Glycolytic Regime (BGR)</w:t>
      </w:r>
    </w:p>
    <w:p>
      <w:pPr>
        <w:spacing w:after="120"/>
      </w:pPr>
      <w:r>
        <w:t xml:space="preserve">The basal glycolytic state that supplies the continuous energy required for cellular maintenance, tissue remodeling, and survival independently of rapid proliferation. Within the Framework, local BGR gradients contribute to spatial selection inside tissues.</w:t>
      </w:r>
    </w:p>
    <w:p>
      <w:pPr>
        <w:spacing w:after="80" w:before="220"/>
      </w:pPr>
      <w:r>
        <w:rPr>
          <w:b/>
          <w:bCs/>
          <w:sz w:val="26"/>
          <w:szCs w:val="26"/>
        </w:rPr>
        <w:t xml:space="preserve">Cellular Noise</w:t>
      </w:r>
    </w:p>
    <w:p>
      <w:pPr>
        <w:spacing w:after="120"/>
      </w:pPr>
      <w:r>
        <w:t xml:space="preserve">The physiological stochastic variability observed between genetically identical cells, arising from fluctuations in gene expression, metabolism, and protein synthesis. Cellular Noise represents the normal background state of living tissues.</w:t>
      </w:r>
    </w:p>
    <w:p>
      <w:pPr>
        <w:spacing w:after="80" w:before="220"/>
      </w:pPr>
      <w:r>
        <w:rPr>
          <w:b/>
          <w:bCs/>
          <w:sz w:val="26"/>
          <w:szCs w:val="26"/>
        </w:rPr>
        <w:t xml:space="preserve">Fall</w:t>
      </w:r>
    </w:p>
    <w:p>
      <w:pPr>
        <w:spacing w:after="120"/>
      </w:pPr>
      <w:r>
        <w:t xml:space="preserve">The transition in which a cell leaves the normal physiological range and is no longer restored by tissue homeostasis. Fall is a descriptive event rather than a specific molecular mechanism.</w:t>
      </w:r>
    </w:p>
    <w:p>
      <w:pPr>
        <w:spacing w:after="80" w:before="220"/>
      </w:pPr>
      <w:r>
        <w:rPr>
          <w:b/>
          <w:bCs/>
          <w:sz w:val="26"/>
          <w:szCs w:val="26"/>
        </w:rPr>
        <w:t xml:space="preserve">Cellular Mess</w:t>
      </w:r>
    </w:p>
    <w:p>
      <w:pPr>
        <w:spacing w:after="120"/>
      </w:pPr>
      <w:r>
        <w:t xml:space="preserve">The accumulated population of cells that remain beyond the normal physiological clearance window. Cellular Mess serves as the empirical starting point of Framework 1.2 rather than as a reconstructed consequence of any single initiating mechanism.</w:t>
      </w:r>
    </w:p>
    <w:p>
      <w:pPr>
        <w:spacing w:after="80" w:before="220"/>
      </w:pPr>
      <w:r>
        <w:rPr>
          <w:b/>
          <w:bCs/>
          <w:sz w:val="26"/>
          <w:szCs w:val="26"/>
        </w:rPr>
        <w:t xml:space="preserve">Dormant Cell Pool</w:t>
      </w:r>
    </w:p>
    <w:p>
      <w:pPr>
        <w:spacing w:after="120"/>
      </w:pPr>
      <w:r>
        <w:t xml:space="preserve">A protected compartment of reversibly quiescent cells functioning as a long-term biological reserve. Under physiological conditions it supports regeneration and tissue maintenance; under pathological conditions it may become committed to maintaining an autonomous clone.</w:t>
      </w:r>
    </w:p>
    <w:p>
      <w:pPr>
        <w:spacing w:after="80" w:before="220"/>
      </w:pPr>
      <w:r>
        <w:rPr>
          <w:b/>
          <w:bCs/>
          <w:sz w:val="26"/>
          <w:szCs w:val="26"/>
        </w:rPr>
        <w:t xml:space="preserve">Mess Clone</w:t>
      </w:r>
    </w:p>
    <w:p>
      <w:pPr>
        <w:spacing w:after="120"/>
      </w:pPr>
      <w:r>
        <w:t xml:space="preserve">A subpopulation emerging within Cellular Mess that demonstrates increased clonal variability but has not yet acquired the characteristics of a fully autonomous malignant clone.</w:t>
      </w:r>
    </w:p>
    <w:p>
      <w:pPr>
        <w:spacing w:after="80" w:before="220"/>
      </w:pPr>
      <w:r>
        <w:rPr>
          <w:b/>
          <w:bCs/>
          <w:sz w:val="26"/>
          <w:szCs w:val="26"/>
        </w:rPr>
        <w:t xml:space="preserve">Peripheral Selection</w:t>
      </w:r>
    </w:p>
    <w:p>
      <w:pPr>
        <w:spacing w:after="120"/>
      </w:pPr>
      <w:r>
        <w:t xml:space="preserve">Selection acting primarily within the metabolically active peripheral compartment of a tissue or clone, where proliferation, immune surveillance, and environmental pressures are greatest.</w:t>
      </w:r>
    </w:p>
    <w:p>
      <w:pPr>
        <w:spacing w:after="80" w:before="220"/>
      </w:pPr>
      <w:r>
        <w:rPr>
          <w:b/>
          <w:bCs/>
          <w:sz w:val="26"/>
          <w:szCs w:val="26"/>
        </w:rPr>
        <w:t xml:space="preserve">Pathologic Clone</w:t>
      </w:r>
    </w:p>
    <w:p>
      <w:pPr>
        <w:spacing w:after="120"/>
      </w:pPr>
      <w:r>
        <w:t xml:space="preserve">A clone that has progressively acquired stable autonomy together with resistance to multiple independent regulatory mechanisms, allowing long-term persistence and expansion.</w:t>
      </w:r>
    </w:p>
    <w:p>
      <w:pPr>
        <w:spacing w:after="80" w:before="220"/>
      </w:pPr>
      <w:r>
        <w:rPr>
          <w:b/>
          <w:bCs/>
          <w:sz w:val="26"/>
          <w:szCs w:val="26"/>
        </w:rPr>
        <w:t xml:space="preserve">Functional Reserve</w:t>
      </w:r>
    </w:p>
    <w:p>
      <w:pPr>
        <w:spacing w:after="120"/>
      </w:pPr>
      <w:r>
        <w:t xml:space="preserve">A protected biological compartment capable of replacing active functional elements while preserving long-term continuity of a tissue or system.</w:t>
      </w:r>
    </w:p>
    <w:p>
      <w:pPr>
        <w:spacing w:after="80" w:before="220"/>
      </w:pPr>
      <w:r>
        <w:rPr>
          <w:b/>
          <w:bCs/>
          <w:sz w:val="26"/>
          <w:szCs w:val="26"/>
        </w:rPr>
        <w:t xml:space="preserve">Reserve Capture</w:t>
      </w:r>
    </w:p>
    <w:p>
      <w:pPr>
        <w:spacing w:after="120"/>
      </w:pPr>
      <w:r>
        <w:t xml:space="preserve">The progressive redirection of a physiological reserve away from serving the organism and toward maintaining an autonomous pathological clone.</w:t>
      </w:r>
    </w:p>
    <w:p>
      <w:pPr>
        <w:spacing w:after="80" w:before="220"/>
      </w:pPr>
      <w:r>
        <w:rPr>
          <w:b/>
          <w:bCs/>
          <w:sz w:val="26"/>
          <w:szCs w:val="26"/>
        </w:rPr>
        <w:t xml:space="preserve">Reserve Ownership</w:t>
      </w:r>
    </w:p>
    <w:p>
      <w:pPr>
        <w:spacing w:after="120"/>
      </w:pPr>
      <w:r>
        <w:t xml:space="preserve">The functional beneficiary of the biological reserve. Throughout this monograph, the central conceptual question becomes not simply which cells proliferate, but which system controls and utilizes the reserve.</w:t>
      </w:r>
    </w:p>
    <w:p>
      <w:pPr>
        <w:spacing w:after="80" w:before="220"/>
      </w:pPr>
      <w:r>
        <w:rPr>
          <w:b/>
          <w:bCs/>
          <w:sz w:val="26"/>
          <w:szCs w:val="26"/>
        </w:rPr>
        <w:t xml:space="preserve">Littering</w:t>
      </w:r>
    </w:p>
    <w:p>
      <w:pPr>
        <w:spacing w:after="120"/>
      </w:pPr>
      <w:r>
        <w:t xml:space="preserve">The generation of cellular debris, extracellular matrix fragments, and metabolic waste during physiological or pathological tissue turnover.</w:t>
      </w:r>
    </w:p>
    <w:p>
      <w:pPr>
        <w:spacing w:after="80" w:before="220"/>
      </w:pPr>
      <w:r>
        <w:rPr>
          <w:b/>
          <w:bCs/>
          <w:sz w:val="26"/>
          <w:szCs w:val="26"/>
        </w:rPr>
        <w:t xml:space="preserve">Clearance</w:t>
      </w:r>
    </w:p>
    <w:p>
      <w:pPr>
        <w:spacing w:after="120"/>
      </w:pPr>
      <w:r>
        <w:t xml:space="preserve">The physiological removal of cellular debris, apoptotic cells, extracellular matrix fragments, and metabolic waste by tissue maintenance systems.</w:t>
      </w:r>
    </w:p>
    <w:p>
      <w:pPr>
        <w:spacing w:after="80" w:before="220"/>
      </w:pPr>
      <w:r>
        <w:rPr>
          <w:b/>
          <w:bCs/>
          <w:sz w:val="26"/>
          <w:szCs w:val="26"/>
        </w:rPr>
        <w:t xml:space="preserve">Cluttering</w:t>
      </w:r>
    </w:p>
    <w:p>
      <w:pPr>
        <w:spacing w:after="120"/>
      </w:pPr>
      <w:r>
        <w:t xml:space="preserve">The condition in which the rate of debris generation exceeds the local clearance capacity, resulting in progressive accumulation of tissue waste products and disruption of tissue homeostasis.</w:t>
      </w:r>
    </w:p>
    <w:p>
      <w:pPr>
        <w:spacing w:after="80" w:before="220"/>
      </w:pPr>
      <w:r>
        <w:rPr>
          <w:b/>
          <w:bCs/>
          <w:sz w:val="26"/>
          <w:szCs w:val="26"/>
        </w:rPr>
        <w:t xml:space="preserve">L&amp;C Principle</w:t>
      </w:r>
    </w:p>
    <w:p>
      <w:pPr>
        <w:spacing w:after="120"/>
      </w:pPr>
      <w:r>
        <w:t xml:space="preserve">The organizational balance between Littering and Clearance, determining whether tissue homeostasis is maintained or progressively destabilized.</w:t>
      </w:r>
    </w:p>
    <w:p>
      <w:pPr>
        <w:spacing w:after="80" w:before="220"/>
      </w:pPr>
      <w:r>
        <w:rPr>
          <w:b/>
          <w:bCs/>
          <w:sz w:val="26"/>
          <w:szCs w:val="26"/>
        </w:rPr>
        <w:t xml:space="preserve">Vertical Suppression</w:t>
      </w:r>
    </w:p>
    <w:p>
      <w:pPr>
        <w:spacing w:after="120"/>
      </w:pPr>
      <w:r>
        <w:t xml:space="preserve">Hierarchical regulation in which a more differentiated tissue level restrains the activity of a less differentiated level beneath it.</w:t>
      </w:r>
    </w:p>
    <w:p>
      <w:pPr>
        <w:spacing w:after="80" w:before="220"/>
      </w:pPr>
      <w:r>
        <w:rPr>
          <w:b/>
          <w:bCs/>
          <w:sz w:val="26"/>
          <w:szCs w:val="26"/>
        </w:rPr>
        <w:t xml:space="preserve">Horizontal Suppression</w:t>
      </w:r>
    </w:p>
    <w:p>
      <w:pPr>
        <w:spacing w:after="120"/>
      </w:pPr>
      <w:r>
        <w:t xml:space="preserve">Density-dependent regulation operating between cells of the same differentiation level through local signaling, independent of tissue hierarchy.</w:t>
      </w:r>
    </w:p>
    <w:p>
      <w:pPr>
        <w:spacing w:after="80" w:before="220"/>
      </w:pPr>
      <w:r>
        <w:rPr>
          <w:b/>
          <w:bCs/>
          <w:sz w:val="26"/>
          <w:szCs w:val="26"/>
        </w:rPr>
        <w:t xml:space="preserve">Immune Geometry</w:t>
      </w:r>
    </w:p>
    <w:p>
      <w:pPr>
        <w:spacing w:after="120"/>
      </w:pPr>
      <w:r>
        <w:t xml:space="preserve">The spatial organization of immune access within tissues, in which immune surveillance is determined not only by molecular recognition but also by the physical architecture of the tissue.</w:t>
      </w:r>
    </w:p>
    <w:p>
      <w:pPr>
        <w:spacing w:after="80" w:before="220"/>
      </w:pPr>
      <w:r>
        <w:rPr>
          <w:b/>
          <w:bCs/>
          <w:sz w:val="26"/>
          <w:szCs w:val="26"/>
        </w:rPr>
        <w:t xml:space="preserve">Hydrogel Architecture</w:t>
      </w:r>
    </w:p>
    <w:p>
      <w:pPr>
        <w:spacing w:after="120"/>
      </w:pPr>
      <w:r>
        <w:t xml:space="preserve">The structural organization of living tissues as mechanically active hydrogel systems, where extracellular matrix, water content, and cellular packing jointly determine tissue mechanics and biological behavior.</w:t>
      </w:r>
    </w:p>
    <w:p>
      <w:pPr>
        <w:spacing w:after="80" w:before="220"/>
      </w:pPr>
      <w:r>
        <w:rPr>
          <w:b/>
          <w:bCs/>
          <w:sz w:val="26"/>
          <w:szCs w:val="26"/>
        </w:rPr>
        <w:t xml:space="preserve">Regeneration Pendulum</w:t>
      </w:r>
    </w:p>
    <w:p>
      <w:pPr>
        <w:spacing w:after="120"/>
      </w:pPr>
      <w:r>
        <w:t xml:space="preserve">The dynamic balance between tissue injury, clearance, repair, and regeneration, operating as a nonlinear regulatory cycle rather than a simple linear process.</w:t>
      </w:r>
    </w:p>
    <w:p>
      <w:pPr>
        <w:spacing w:after="80" w:before="220"/>
      </w:pPr>
      <w:r>
        <w:rPr>
          <w:b/>
          <w:bCs/>
          <w:sz w:val="26"/>
          <w:szCs w:val="26"/>
        </w:rPr>
        <w:t xml:space="preserve">Boundary Case</w:t>
      </w:r>
    </w:p>
    <w:p>
      <w:pPr>
        <w:spacing w:after="120"/>
      </w:pPr>
      <w:r>
        <w:t xml:space="preserve">A biological system deliberately selected because it challenges rather than supports the assumptions of the Framework. Boundary cases are used to define the limits of applicability of the proposed model.</w:t>
      </w:r>
    </w:p>
    <w:p>
      <w:pPr>
        <w:spacing w:after="80" w:before="220"/>
      </w:pPr>
      <w:r>
        <w:rPr>
          <w:b/>
          <w:bCs/>
          <w:sz w:val="26"/>
          <w:szCs w:val="26"/>
        </w:rPr>
        <w:t xml:space="preserve">Framework</w:t>
      </w:r>
    </w:p>
    <w:p>
      <w:pPr>
        <w:spacing w:after="120"/>
      </w:pPr>
      <w:r>
        <w:t xml:space="preserve">A conceptual map designed to organize diverse biological observations into a coherent structure that can generate experimentally testable hypotheses. It is intended as a research framework rather than a completed theory.</w:t>
      </w:r>
    </w:p>
    <w:p>
      <w:pPr>
        <w:spacing w:after="150" w:before="300"/>
      </w:pPr>
      <w:r>
        <w:rPr>
          <w:b/>
          <w:bCs/>
          <w:sz w:val="30"/>
          <w:szCs w:val="30"/>
        </w:rPr>
        <w:t xml:space="preserve">Central Principle of Framework 1.2</w:t>
      </w:r>
    </w:p>
    <w:p>
      <w:pPr>
        <w:spacing w:after="200"/>
      </w:pPr>
      <w:r>
        <w:rPr>
          <w:b/>
          <w:bCs/>
          <w:i/>
          <w:iCs/>
          <w:sz w:val="26"/>
          <w:szCs w:val="26"/>
        </w:rPr>
        <w:t xml:space="preserve">Who owns the reserve?</w:t>
      </w:r>
    </w:p>
    <w:p>
      <w:pPr>
        <w:spacing w:after="200"/>
      </w:pPr>
      <w:r>
        <w:t xml:space="preserve">The Framework proposes that the long-term behavior of multicellular systems may depend less on the cells actively functioning today than on the biological reserve that will replace them tomorrow.</w:t>
      </w:r>
    </w:p>
    <w:p>
      <w:pPr>
        <w:spacing w:after="200"/>
      </w:pPr>
      <w:r>
        <w:t xml:space="preserve">When the reserve serves the organism, it supports regeneration, adaptation, and long-term tissue maintenance.</w:t>
      </w:r>
    </w:p>
    <w:p>
      <w:pPr>
        <w:spacing w:after="200"/>
      </w:pPr>
      <w:r>
        <w:t xml:space="preserve">When the reserve becomes depleted, regenerative capacity progressively declines, contributing to aging.</w:t>
      </w:r>
    </w:p>
    <w:p>
      <w:pPr>
        <w:spacing w:after="200"/>
      </w:pPr>
      <w:r>
        <w:t xml:space="preserve">When the reserve is progressively captured by an autonomous clone, the same biological mechanism may instead sustain oncogenesis.</w:t>
      </w:r>
    </w:p>
    <w:p>
      <w:r>
        <w:br w:type="page"/>
      </w:r>
    </w:p>
    <w:p>
      <w:pPr>
        <w:spacing w:after="3000"/>
      </w:pPr>
      <w:r>
        <w:t xml:space="preserve"/>
      </w:r>
    </w:p>
    <w:p>
      <w:pPr>
        <w:spacing w:after="200"/>
        <w:jc w:val="center"/>
      </w:pPr>
      <w:r>
        <w:rPr>
          <w:b/>
          <w:bCs/>
          <w:color w:val="888888"/>
          <w:sz w:val="32"/>
          <w:szCs w:val="32"/>
        </w:rPr>
        <w:t xml:space="preserve">Part I</w:t>
      </w:r>
    </w:p>
    <w:p>
      <w:pPr>
        <w:spacing w:after="0"/>
        <w:jc w:val="center"/>
      </w:pPr>
      <w:r>
        <w:rPr>
          <w:b/>
          <w:bCs/>
          <w:sz w:val="44"/>
          <w:szCs w:val="44"/>
        </w:rPr>
        <w:t xml:space="preserve">Foundations of the Framework</w:t>
      </w:r>
    </w:p>
    <w:p>
      <w:r>
        <w:br w:type="page"/>
      </w:r>
    </w:p>
    <w:p>
      <w:pPr>
        <w:spacing w:after="60"/>
      </w:pPr>
      <w:r>
        <w:rPr>
          <w:i/>
          <w:iCs/>
          <w:color w:val="666666"/>
        </w:rPr>
        <w:t xml:space="preserve">Framework 1.2 — Part I</w:t>
      </w:r>
    </w:p>
    <w:p>
      <w:pPr>
        <w:spacing w:after="60"/>
      </w:pPr>
      <w:r>
        <w:rPr>
          <w:b/>
          <w:bCs/>
          <w:color w:val="555555"/>
          <w:sz w:val="24"/>
          <w:szCs w:val="24"/>
        </w:rPr>
        <w:t xml:space="preserve">Chapter 1</w:t>
      </w:r>
    </w:p>
    <w:p>
      <w:pPr>
        <w:pStyle w:val="Title"/>
        <w:spacing w:after="100"/>
      </w:pPr>
      <w:r>
        <w:t xml:space="preserve">Cellular Noise, Fall, and Cellular Mess</w:t>
      </w:r>
    </w:p>
    <w:p>
      <w:pPr>
        <w:spacing w:after="300"/>
      </w:pPr>
      <w:r>
        <w:rPr>
          <w:i/>
          <w:iCs/>
        </w:rPr>
        <w:t xml:space="preserve">A Methodological Note</w:t>
      </w:r>
    </w:p>
    <w:p>
      <w:pPr>
        <w:pStyle w:val="Heading1"/>
        <w:spacing w:after="150" w:before="300"/>
      </w:pPr>
      <w:r>
        <w:rPr>
          <w:b/>
          <w:bCs/>
        </w:rPr>
        <w:t xml:space="preserve">1. Cellular Noise as Physiological Baseline</w:t>
      </w:r>
    </w:p>
    <w:p>
      <w:pPr>
        <w:spacing w:after="200"/>
      </w:pPr>
      <w:r>
        <w:t xml:space="preserve">Gene expression is inherently stochastic. Even genetically identical cells in an identical environment show substantial cell-to-cell variation in protein abundance, arising from intrinsic stochasticity in transcription and translation [1]. This phenotypic heterogeneity is not a defect — it is a permanent, load-bearing feature of living tissue, implicated in stem cell fate decisions, adaptation to environmental fluctuation, and survival of rare cell subpopulations under stress [2]. Cellular noise, in this sense, requires no explanation as pathology: it is the expected background state of any proliferating tissue at any given time.</w:t>
      </w:r>
    </w:p>
    <w:p>
      <w:pPr>
        <w:pStyle w:val="Heading1"/>
        <w:spacing w:after="150" w:before="300"/>
      </w:pPr>
      <w:r>
        <w:rPr>
          <w:b/>
          <w:bCs/>
        </w:rPr>
        <w:t xml:space="preserve">2. Fall: A Cause-Agnostic Transition</w:t>
      </w:r>
    </w:p>
    <w:p>
      <w:pPr>
        <w:spacing w:after="200"/>
      </w:pPr>
      <w:r>
        <w:t xml:space="preserve">Some fraction of noise-generated cells drifts beyond the range that physiological surveillance and turnover ordinarily correct. We refer to this transition informally as a Fall — not a new mechanistic entity, but a description of the observed event: a cell exits the tolerated range and is not restored to it.</w:t>
      </w:r>
    </w:p>
    <w:p>
      <w:pPr>
        <w:spacing w:after="200"/>
      </w:pPr>
      <w:r>
        <w:t xml:space="preserve">Two general routes can produce a Fall: an increase in the rate at which deviant cells are generated ("too much coming in"), or a decrease in the capacity of physiological surveillance to correct or remove them ("too little going out"). Critically, these routes are not mutually exclusive, are rarely separable in practice, and typically co-occur. The Fall itself — the fact that a cell or subpopulation is now outside tolerance and uncorrected — is defined independently of which combination of causes produced it.</w:t>
      </w:r>
    </w:p>
    <w:p>
      <w:pPr>
        <w:pStyle w:val="Heading1"/>
        <w:spacing w:after="150" w:before="300"/>
      </w:pPr>
      <w:r>
        <w:rPr>
          <w:b/>
          <w:bCs/>
        </w:rPr>
        <w:t xml:space="preserve">3. Cellular Mess as the Empirical Starting Point</w:t>
      </w:r>
    </w:p>
    <w:p>
      <w:pPr>
        <w:spacing w:after="200"/>
      </w:pPr>
      <w:r>
        <w:t xml:space="preserve">Cellular Mess is the accumulated, tissue-level record of Fall events not resolved within the physiological clearance window. Because the causal mixture behind any given instance of Mess is generally unrecoverable and likely heterogeneous even within a single tissue, Framework 1.2 does not attempt to reconstruct the noise-to-Mess transition mechanistically. Instead, Cellular Mess is treated as the empirical starting point of the model: a stage that is independently observable and documented across multiple, otherwise unrelated systems — precancerous senescence [3], clonal hematopoiesis in aging [4], and inflammatory epithelial hyperplasia without increased proliferation [5] — regardless of which local production/clearance imbalance produced it in each case. The downstream cascade (Dormant Cell Pool → Mess Clone → Peripheral Selection → …) is built forward from this observed stage, not backward from a reconstructed cause.</w:t>
      </w:r>
    </w:p>
    <w:p>
      <w:pPr>
        <w:pStyle w:val="Heading1"/>
        <w:spacing w:after="150" w:before="300"/>
      </w:pPr>
      <w:r>
        <w:rPr>
          <w:b/>
          <w:bCs/>
        </w:rPr>
        <w:t xml:space="preserve">4. Practical Corollary</w:t>
      </w:r>
    </w:p>
    <w:p>
      <w:pPr>
        <w:spacing w:after="200"/>
      </w:pPr>
      <w:r>
        <w:t xml:space="preserve">This has a direct implication for prevention. If Mess is defined independently of its causal mixture, interventions do not need to resolve which axis — excess production or impaired clearance — dominates in a given case to be worth pursuing. Measures that reduce the generation of deviant cells (e.g., limiting chronic genotoxic/inflammatory stress) and measures that increase clearance capacity (e.g., supporting immune surveillance and efferocytosis) act on independent axes of the same outcome and can be pursued in parallel without a prior mechanistic diagnosis.</w:t>
      </w:r>
    </w:p>
    <w:p>
      <w:pPr>
        <w:pStyle w:val="Heading1"/>
        <w:spacing w:after="150" w:before="300"/>
      </w:pPr>
      <w:r>
        <w:rPr>
          <w:b/>
          <w:bCs/>
        </w:rPr>
        <w:t xml:space="preserve">References</w:t>
      </w:r>
    </w:p>
    <w:p>
      <w:pPr>
        <w:spacing w:after="200"/>
      </w:pPr>
      <w:r>
        <w:t xml:space="preserve">1. Elowitz MB, Levine AJ, Siggia ED, Swain PS. Stochastic Gene Expression in a Single Cell. Science. </w:t>
      </w:r>
      <w:hyperlink w:history="1" r:id="rIdaqxzy0gyhrxat6nn8dpuv">
        <w:r>
          <w:rPr>
            <w:rStyle w:val="Hyperlink"/>
            <w:color w:val="0563C1"/>
            <w:u w:val="single"/>
          </w:rPr>
          <w:t xml:space="preserve">https://www.science.org/doi/10.1126/science.1070919</w:t>
        </w:r>
      </w:hyperlink>
    </w:p>
    <w:p>
      <w:pPr>
        <w:spacing w:after="200"/>
      </w:pPr>
      <w:r>
        <w:t xml:space="preserve">2. Zhang Z, Zabaikina I, Nieto C, Vahdat Z, Bokes P, Singh A. Stochastic gene expression in proliferating cells: Differing noise intensity in single-cell and population perspectives. PLOS Computational Biology. </w:t>
      </w:r>
      <w:hyperlink w:history="1" r:id="rId1ueg2rtukta2yjkvyzldw">
        <w:r>
          <w:rPr>
            <w:rStyle w:val="Hyperlink"/>
            <w:color w:val="0563C1"/>
            <w:u w:val="single"/>
          </w:rPr>
          <w:t xml:space="preserve">https://journals.plos.org/ploscompbiol/article?id=10.1371%2Fjournal.pcbi.1013014</w:t>
        </w:r>
      </w:hyperlink>
    </w:p>
    <w:p>
      <w:pPr>
        <w:spacing w:after="200"/>
      </w:pPr>
      <w:r>
        <w:t xml:space="preserve">3. Senescence and cancer — role and therapeutic opportunities. </w:t>
      </w:r>
      <w:hyperlink w:history="1" r:id="rIdjoztga8xa1imp1ybfpwzv">
        <w:r>
          <w:rPr>
            <w:rStyle w:val="Hyperlink"/>
            <w:color w:val="0563C1"/>
            <w:u w:val="single"/>
          </w:rPr>
          <w:t xml:space="preserve">https://pmc.ncbi.nlm.nih.gov/articles/PMC9428886/</w:t>
        </w:r>
      </w:hyperlink>
    </w:p>
    <w:p>
      <w:pPr>
        <w:spacing w:after="200"/>
      </w:pPr>
      <w:r>
        <w:t xml:space="preserve">4. CHIP: a clonal odyssey of the bone marrow niche. </w:t>
      </w:r>
      <w:hyperlink w:history="1" r:id="rIdxigibclbzw7yvffvea_fz">
        <w:r>
          <w:rPr>
            <w:rStyle w:val="Hyperlink"/>
            <w:color w:val="0563C1"/>
            <w:u w:val="single"/>
          </w:rPr>
          <w:t xml:space="preserve">https://www.ncbi.nlm.nih.gov/pmc/articles/PMC11290965/</w:t>
        </w:r>
      </w:hyperlink>
    </w:p>
    <w:p>
      <w:pPr>
        <w:spacing w:after="200"/>
      </w:pPr>
      <w:r>
        <w:t xml:space="preserve">5. Suprabasal cells retaining stem cell identity programs drive basal cell hyperplasia in eosinophilic esophagitis. </w:t>
      </w:r>
      <w:hyperlink w:history="1" r:id="rId-sdps6sxmpmqt0m8dcjat">
        <w:r>
          <w:rPr>
            <w:rStyle w:val="Hyperlink"/>
            <w:color w:val="0563C1"/>
            <w:u w:val="single"/>
          </w:rPr>
          <w:t xml:space="preserve">https://www.ncbi.nlm.nih.gov/pmc/articles/PMC10153277/</w:t>
        </w:r>
      </w:hyperlink>
    </w:p>
    <w:p>
      <w:r>
        <w:br w:type="page"/>
      </w:r>
    </w:p>
    <w:p>
      <w:pPr>
        <w:spacing w:after="60"/>
      </w:pPr>
      <w:r>
        <w:rPr>
          <w:i/>
          <w:iCs/>
          <w:color w:val="666666"/>
        </w:rPr>
        <w:t xml:space="preserve">Framework 1.2 — Part I</w:t>
      </w:r>
    </w:p>
    <w:p>
      <w:pPr>
        <w:spacing w:after="60"/>
      </w:pPr>
      <w:r>
        <w:rPr>
          <w:b/>
          <w:bCs/>
          <w:color w:val="555555"/>
          <w:sz w:val="24"/>
          <w:szCs w:val="24"/>
        </w:rPr>
        <w:t xml:space="preserve">Chapter 2</w:t>
      </w:r>
    </w:p>
    <w:p>
      <w:pPr>
        <w:pStyle w:val="Title"/>
        <w:spacing w:after="100"/>
      </w:pPr>
      <w:r>
        <w:t xml:space="preserve">Immune Geometry of the Dormant Pool</w:t>
      </w:r>
    </w:p>
    <w:p>
      <w:pPr>
        <w:spacing w:after="300"/>
      </w:pPr>
      <w:r>
        <w:rPr>
          <w:i/>
          <w:iCs/>
        </w:rPr>
        <w:t xml:space="preserve">Peripheral Selection and Cyclical Tumor Growth</w:t>
      </w:r>
    </w:p>
    <w:p>
      <w:pPr>
        <w:pStyle w:val="Heading1"/>
        <w:spacing w:after="150" w:before="300"/>
      </w:pPr>
      <w:r>
        <w:rPr>
          <w:b/>
          <w:bCs/>
        </w:rPr>
        <w:t xml:space="preserve">Abstract</w:t>
      </w:r>
    </w:p>
    <w:p>
      <w:pPr>
        <w:spacing w:after="200"/>
      </w:pPr>
      <w:r>
        <w:t xml:space="preserve">A tumor is not a homogeneous target for the immune system but a structure with sharply uneven immune access: effector-cell contact is restricted to the periphery of dense cellular aggregates, while the core of the dormant pool is physically shielded by dense cell packing and a depleted ECM. It follows that the immune invisibility of dormant cells is not only a molecular property of the individual cell but an emergent geometric property of dense packing. This produces spatially localized immune selection at the periphery, which under relative immune superiority establishes an immune-mediated dormant state of the mass (the equilibrium phase), and under relative clearance deficit produces growth (escape). An independent line of mathematical modeling of tumor-immune interaction shows that time delay in the feedback loop between the immune response and tumor mass reliably produces not a stable point but a limit cycle (Hopf bifurcation) — a periodic remission-relapse dynamic. This paper brings these bodies of evidence together and proposes the peripheral immune-proliferative balance as a physical correlate of the limit cycle of the Regeneration Pendulum, and further considers how unicentric versus multicentric tumor organization determines the synchrony of these oscillations.</w:t>
      </w:r>
    </w:p>
    <w:p>
      <w:pPr>
        <w:pStyle w:val="Heading1"/>
        <w:spacing w:after="150" w:before="300"/>
      </w:pPr>
      <w:r>
        <w:rPr>
          <w:b/>
          <w:bCs/>
        </w:rPr>
        <w:t xml:space="preserve">1. Geometric Invisibility of the Dormant Pool</w:t>
      </w:r>
    </w:p>
    <w:p>
      <w:pPr>
        <w:spacing w:after="200"/>
      </w:pPr>
      <w:r>
        <w:t xml:space="preserve">The ability of immune cells to physically contact tumor cells is restricted to the outer layer of dense cellular aggregates: when T cells are co-cultured with pre-formed spheroids, the bulk of T cells remains in the outer zone, restricting immune-mediated killing to the periphery [1]. A dense collagen matrix at the spheroid's outer surface further restricts contact between immune and tumor cells specifically in that zone [2]. At the level of whole tumors, a distinct, recognized topographic pattern — the "immune excluded" phenotype — is defined by high immune-cell density outside combined with their near-absence inside [3].</w:t>
      </w:r>
    </w:p>
    <w:p>
      <w:pPr>
        <w:spacing w:after="200"/>
      </w:pPr>
      <w:r>
        <w:t xml:space="preserve">None of these studies, however, carries this observation through to the level of the individual cell: at the high packing density characteristic of the dormant core, the surface-to-volume ratio drops sharply, and the overwhelming majority of cells in the pool end up physically shielded from any possible contact with an immune cell — regardless of their individual immunophenotype. This makes invisibility an emergent property of packing rather than (or not only) a property of the individual cell — an original theoretical synthesis not explicitly stated in the cited sources.</w:t>
      </w:r>
    </w:p>
    <w:p>
      <w:pPr>
        <w:spacing w:after="200"/>
      </w:pPr>
      <w:r>
        <w:t xml:space="preserve">This complements the already-described molecular mechanisms of invisibility: downregulation of MHC class I via UPR activation in pancreatic cancer DTCs, upregulation of PD-L1 and CTLA-4 ligands by growth-arrested acute myeloid leukemia cells, and evasion of NK-cell clearance by quiescent DTCs until awakening [4]. The reverse is equally telling: depletion of CD8, CD4, and asialo-GM1-positive cells awakens dormant cells to progression, and the awakened cells become MHC-I-positive [5] — meaning immune pressure does not merely fail to see the dormant cell, but in some cases actively sustains its dormancy.</w:t>
      </w:r>
    </w:p>
    <w:p>
      <w:pPr>
        <w:pStyle w:val="Heading1"/>
        <w:spacing w:after="150" w:before="300"/>
      </w:pPr>
      <w:r>
        <w:rPr>
          <w:b/>
          <w:bCs/>
        </w:rPr>
        <w:t xml:space="preserve">2. Peripheral Immune Selection in a Mixed Pool</w:t>
      </w:r>
    </w:p>
    <w:p>
      <w:pPr>
        <w:spacing w:after="200"/>
      </w:pPr>
      <w:r>
        <w:t xml:space="preserve">If Cellular Mess is a mixture of normal and pathologic cells, and immune contact is restricted to the periphery, then selection on immune visibility occurs only there. At the periphery, pathologic cells are eliminated more readily than normal cells; in the core, physically shielded from contact, no immune-based selection occurs at all — the core's composition is determined solely by what physically arrived there at an earlier stage.</w:t>
      </w:r>
    </w:p>
    <w:p>
      <w:pPr>
        <w:spacing w:after="200"/>
      </w:pPr>
      <w:r>
        <w:t xml:space="preserve">This yields a testable prediction: the clonal/pathologic composition should differ between the periphery and the core of the same dormant mass — not through cell migration or phenotype switching, but as a direct consequence of differing local immune filter intensity.</w:t>
      </w:r>
    </w:p>
    <w:p>
      <w:pPr>
        <w:pStyle w:val="Heading1"/>
        <w:spacing w:after="150" w:before="300"/>
      </w:pPr>
      <w:r>
        <w:rPr>
          <w:b/>
          <w:bCs/>
        </w:rPr>
        <w:t xml:space="preserve">3. Cancer Immunoediting: The Established Basis of the Equilibrium Phase</w:t>
      </w:r>
    </w:p>
    <w:p>
      <w:pPr>
        <w:spacing w:after="200"/>
      </w:pPr>
      <w:r>
        <w:t xml:space="preserve">The immune system is capable of holding an already-formed tumor in a controlled state for years. The foundational experimental demonstration is the Koebel et al. mouse model (Nature, 2007), which unequivocally showed that adaptive immunity holds an already-formed, occult cancer in a state of equilibrium [6]. The established definition of the equilibrium phase is an immune-mediated dormant status of the tumor mass, in which the rate of cancer cell proliferation matches the rate of their elimination by immune cells [7]. Equilibrium is considered the longest of the three immunoediting phases (elimination — equilibrium — escape) and may last many years in humans while remaining below the clinical detection threshold [8].</w:t>
      </w:r>
    </w:p>
    <w:p>
      <w:pPr>
        <w:spacing w:after="200"/>
      </w:pPr>
      <w:r>
        <w:t xml:space="preserve">An important detail: maintenance of the equilibrium phase requires adaptive immunity specifically, whereas NK cells and a number of cytokines (IL-4, IL-17A, IFN-α/β) proved dispensable for this particular phase [7]. This is worth holding alongside the earlier-discussed NK-mediated induction of dormancy — apparently reflecting partially distinct, non-fully-overlapping control circuits.</w:t>
      </w:r>
    </w:p>
    <w:p>
      <w:pPr>
        <w:spacing w:after="200"/>
      </w:pPr>
      <w:r>
        <w:t xml:space="preserve">The present model adds a spatial qualification to the equilibrium concept: the balance plays out specifically at the periphery, not across the entire tumor mass, and the core is in principle excluded from it for the geometric reasons described in Section 1. Neither the original immunoediting papers nor subsequent reviews introduce this spatial qualification — the tumor in them is treated as a point-like, homogeneous population.</w:t>
      </w:r>
    </w:p>
    <w:p>
      <w:pPr>
        <w:pStyle w:val="Heading1"/>
        <w:spacing w:after="150" w:before="300"/>
      </w:pPr>
      <w:r>
        <w:rPr>
          <w:b/>
          <w:bCs/>
        </w:rPr>
        <w:t xml:space="preserve">4. Selection Direction Depends on the Growth Phase</w:t>
      </w:r>
    </w:p>
    <w:p>
      <w:pPr>
        <w:spacing w:after="200"/>
      </w:pPr>
      <w:r>
        <w:t xml:space="preserve">The direction of peripheral selection is determined by the ratio between the proliferation rate of the pathologic clone and the immune clearance rate at the periphery: if clearance exceeds proliferation, pathologic cells at the periphery are cleared faster than they are produced, corresponding to equilibrium/remission; if proliferation exceeds clearance, the pathologic clone accumulates faster than it is eliminated, corresponding to escape/relapse.</w:t>
      </w:r>
    </w:p>
    <w:p>
      <w:pPr>
        <w:pStyle w:val="Heading1"/>
        <w:spacing w:after="150" w:before="300"/>
      </w:pPr>
      <w:r>
        <w:rPr>
          <w:b/>
          <w:bCs/>
        </w:rPr>
        <w:t xml:space="preserve">5. Mathematical Basis for Cyclicity: Hopf Bifurcation and the Limit Cycle</w:t>
      </w:r>
    </w:p>
    <w:p>
      <w:pPr>
        <w:spacing w:after="200"/>
      </w:pPr>
      <w:r>
        <w:t xml:space="preserve">A line of mathematical modeling of tumor-immune interaction, independent of the immunology above, provides a direct formal answer to why equilibrium should be oscillatory rather than static.</w:t>
      </w:r>
    </w:p>
    <w:p>
      <w:pPr>
        <w:spacing w:after="200"/>
      </w:pPr>
      <w:r>
        <w:t xml:space="preserve">A number of delay differential equation models describing the interaction of tumor cells, cytotoxic T lymphocytes, and helper T cells demonstrate a Hopf bifurcation, in which the feedback loop's time delay itself acts as the bifurcation parameter: beyond a sufficient delay, the stable equilibrium point loses stability and a limit cycle is born — sustained periodic oscillations of tumor and immune cell populations [9,10]. This formally derived phenomenon is directly interpreted by the authors as a mechanism of long-term tumor relapse, including cases where, for tumors of low antigenicity, such cycles can be long, with the tumor remaining in a dormant state most of the time [10]. A more recent work based on a three-component predator-prey model (tumor cells / active immune effectors / a reserve immune cell pool) explicitly frames the resulting Hopf bifurcations and limit cycles as mirroring clinically observed cancer remission-relapse cycles [11]. A similar result has been independently obtained in models featuring logistic tumor growth and two-stage lymphocyte maturation [12].</w:t>
      </w:r>
    </w:p>
    <w:p>
      <w:pPr>
        <w:spacing w:after="200"/>
      </w:pPr>
      <w:r>
        <w:t xml:space="preserve">Significance for the model: none of these mathematical works introduces a spatial/geometric variable (density, access to the periphery) — they model the tumor as a point-like population without structural differentiation. Sections 1–2 of this paper propose a physical, spatially localized carrier for exactly the delayed-feedback loop that appears as an abstract parameter in these models: the time required for the peripheral layer's density to change following a shift in the proliferation/clearance balance is a substantive candidate for the mathematical delay τ.</w:t>
      </w:r>
    </w:p>
    <w:p>
      <w:pPr>
        <w:pStyle w:val="Heading1"/>
        <w:spacing w:after="150" w:before="300"/>
      </w:pPr>
      <w:r>
        <w:rPr>
          <w:b/>
          <w:bCs/>
        </w:rPr>
        <w:t xml:space="preserve">6. Cyclicity as a Physical Correlate of the Regeneration Pendulum</w:t>
      </w:r>
    </w:p>
    <w:p>
      <w:pPr>
        <w:spacing w:after="200"/>
      </w:pPr>
      <w:r>
        <w:t xml:space="preserve">Bringing Sections 1–5 together yields the following chain: the geometry of dense packing determines where the proliferation/clearance balance plays out → this balance structurally corresponds to the equilibrium phase of immunoediting → feedback delay in this loop is mathematically bound to produce not a point but a limit cycle → the amplitude and period of this cycle manifest clinically as alternating remission and relapse.</w:t>
      </w:r>
    </w:p>
    <w:p>
      <w:pPr>
        <w:spacing w:after="200"/>
      </w:pPr>
      <w:r>
        <w:t xml:space="preserve">This suggests a hypothesis: the peripheral immune-proliferative balance may be one of the physical correlates of the limit cycle of the Regeneration Pendulum (ΔE, S) already formalized in Framework 1.0. In that case, the damping of oscillation amplitude with organismal aging may be partly explained by immunosenescence — the age-related decline in the immune system's capacity to sustain acute clearance phases; this is a separate direction requiring targeted literature review.</w:t>
      </w:r>
    </w:p>
    <w:p>
      <w:pPr>
        <w:spacing w:after="200"/>
      </w:pPr>
      <w:r>
        <w:t xml:space="preserve">Clinical analogues of cyclical course are already documented, though not yet reduced to a single oscillatory mechanism: spontaneous regression of stage 4S neuroblastoma, the waxing-waning course of indolent lymphomas, and the very existence of a multi-year equilibrium phase in the immunoediting model.</w:t>
      </w:r>
    </w:p>
    <w:p>
      <w:pPr>
        <w:pStyle w:val="Heading1"/>
        <w:spacing w:after="150" w:before="300"/>
      </w:pPr>
      <w:r>
        <w:rPr>
          <w:b/>
          <w:bCs/>
        </w:rPr>
        <w:t xml:space="preserve">7. Unicentric and Multicentric Domains: Synchronization vs. Independence of Oscillations</w:t>
      </w:r>
    </w:p>
    <w:p>
      <w:pPr>
        <w:spacing w:after="200"/>
      </w:pPr>
      <w:r>
        <w:t xml:space="preserve">Two morphologically similar but biologically distinct scenarios should be distinguished: multifocal tumors arise from a single cell clone spreading multifocally within one organ, whereas multicentric tumors develop independently, without a clonal relationship between foci [13]. Whole-genome sequencing of multifocal ileal neuroendocrine tumors directly confirms this: synchronous primary tumors within the same patient share no somatic variation, meaning these tumors develop entirely independently despite arising in the same organ and the same patient [14].</w:t>
      </w:r>
    </w:p>
    <w:p>
      <w:pPr>
        <w:spacing w:after="200"/>
      </w:pPr>
      <w:r>
        <w:t xml:space="preserve">In multifocal glioblastoma, different lesions show different sizes, growth kinetics, and patterns of contrast enhancement, reflecting underlying heterogeneity in tumor bulk, texture, and angiogenesis [15]. A direct clinical example of independent evolution is a documented case of multicentric glioblastoma in which two lesions, unconnected by any tract or edema on MRI, showed distinct genetic alterations on targeted sequencing despite being histologically identical [16].</w:t>
      </w:r>
    </w:p>
    <w:p>
      <w:pPr>
        <w:spacing w:after="200"/>
      </w:pPr>
      <w:r>
        <w:t xml:space="preserve">Translating this into the oscillation model: if there are several foci and they are clonally independent (multicentricity), each has its own local periphery-immunity feedback loop, its own local peripheral layer, and its own local time delay τ. There is no physical mechanism that would force these independent loops to oscillate synchronously — their phases should drift apart over time even if starting frequencies are close; clinically this should appear as asynchronous local remission/relapse across different foci in the same patient simultaneously. If instead the tumor is multifocal (a single clone), the foci are likely coupled through shared systemic factors (circulating cytokines, the organism's overall immune status), making them weakly coupled oscillators — partial phase synchronization or beating between close but non-identical frequencies becomes possible.</w:t>
      </w:r>
    </w:p>
    <w:p>
      <w:pPr>
        <w:spacing w:after="200"/>
      </w:pPr>
      <w:r>
        <w:t xml:space="preserve">Important caveat: the "independent/coupled oscillators" framework applied to multifocal/multicentric foci is an original theoretical transfer of the limit-cycle mathematics discussed earlier. The cited sources confirm only the empirical fact of clonal independence and differing growth kinetics, not a formulation in terms of oscillator (de)synchronization.</w:t>
      </w:r>
    </w:p>
    <w:p>
      <w:pPr>
        <w:pStyle w:val="Heading1"/>
        <w:spacing w:after="150" w:before="300"/>
      </w:pPr>
      <w:r>
        <w:rPr>
          <w:b/>
          <w:bCs/>
        </w:rPr>
        <w:t xml:space="preserve">8. Testable Predictions</w:t>
      </w:r>
    </w:p>
    <w:p>
      <w:pPr>
        <w:pStyle w:val="ListParagraph"/>
        <w:numPr>
          <w:ilvl w:val="0"/>
          <w:numId w:val="1"/>
        </w:numPr>
        <w:spacing w:after="120"/>
      </w:pPr>
      <w:r>
        <w:t xml:space="preserve">The clonal/immunophenotypic composition of the periphery and the core of the same dormant mass should differ — the periphery should be statistically depleted of highly immunogenic clones relative to the core.</w:t>
      </w:r>
    </w:p>
    <w:p>
      <w:pPr>
        <w:pStyle w:val="ListParagraph"/>
        <w:numPr>
          <w:ilvl w:val="0"/>
          <w:numId w:val="1"/>
        </w:numPr>
        <w:spacing w:after="120"/>
      </w:pPr>
      <w:r>
        <w:t xml:space="preserve">The surface-to-volume ratio of a dormant aggregate should inversely correlate with the fraction of cells exposed to immune contact, independent of each cell's individual molecular invisibility phenotype.</w:t>
      </w:r>
    </w:p>
    <w:p>
      <w:pPr>
        <w:pStyle w:val="ListParagraph"/>
        <w:numPr>
          <w:ilvl w:val="0"/>
          <w:numId w:val="1"/>
        </w:numPr>
        <w:spacing w:after="120"/>
      </w:pPr>
      <w:r>
        <w:t xml:space="preserve">Periods of clinical remission/relapse should be accompanied by a measurable shift in the local (peripheral) balance of proliferation and immune infiltrate, not only by a change in overall mass size.</w:t>
      </w:r>
    </w:p>
    <w:p>
      <w:pPr>
        <w:pStyle w:val="ListParagraph"/>
        <w:numPr>
          <w:ilvl w:val="0"/>
          <w:numId w:val="1"/>
        </w:numPr>
        <w:spacing w:after="120"/>
      </w:pPr>
      <w:r>
        <w:t xml:space="preserve">If the peripheral layer is the physical carrier of the mathematical delay τ, the period of clinical remission-relapse cycles should correlate with the independently measurable rate of peripheral-layer remodeling, not only with general immune-activity parameters.</w:t>
      </w:r>
    </w:p>
    <w:p>
      <w:pPr>
        <w:pStyle w:val="ListParagraph"/>
        <w:numPr>
          <w:ilvl w:val="0"/>
          <w:numId w:val="1"/>
        </w:numPr>
        <w:spacing w:after="120"/>
      </w:pPr>
      <w:r>
        <w:t xml:space="preserve">The amplitude/frequency of clinical remission-relapse cycles should decline with patient age and correlate with independent markers of immunosenescence.</w:t>
      </w:r>
    </w:p>
    <w:p>
      <w:pPr>
        <w:pStyle w:val="ListParagraph"/>
        <w:numPr>
          <w:ilvl w:val="0"/>
          <w:numId w:val="1"/>
        </w:numPr>
        <w:spacing w:after="120"/>
      </w:pPr>
      <w:r>
        <w:t xml:space="preserve">Remission/relapse cycles in truly multicentric (clonally independent) disease should be asynchronous across foci within the same patient; in multifocal (single-clone) disease, partial phase synchronization via systemic immune factors is possible. This difference should be statistically distinguishable under longitudinal monitoring of individual foci.</w:t>
      </w:r>
    </w:p>
    <w:p>
      <w:pPr>
        <w:pStyle w:val="Heading1"/>
        <w:spacing w:after="150" w:before="300"/>
      </w:pPr>
      <w:r>
        <w:rPr>
          <w:b/>
          <w:bCs/>
        </w:rPr>
        <w:t xml:space="preserve">9. Limitations</w:t>
      </w:r>
    </w:p>
    <w:p>
      <w:pPr>
        <w:pStyle w:val="ListParagraph"/>
        <w:numPr>
          <w:ilvl w:val="0"/>
          <w:numId w:val="1"/>
        </w:numPr>
        <w:spacing w:after="120"/>
      </w:pPr>
      <w:r>
        <w:t xml:space="preserve">Cell-level contact disproportion — Section 1 — an original theoretical synthesis not explicitly stated in the literature.</w:t>
      </w:r>
    </w:p>
    <w:p>
      <w:pPr>
        <w:pStyle w:val="ListParagraph"/>
        <w:numPr>
          <w:ilvl w:val="0"/>
          <w:numId w:val="1"/>
        </w:numPr>
        <w:spacing w:after="120"/>
      </w:pPr>
      <w:r>
        <w:t xml:space="preserve">Linking τ to the periphery — Mapping the mathematical delay τ onto the physical time of peripheral-layer remodeling (Section 5) is a hypothesis without quantitative validation; none of the cited mathematical works has been parameterized against real measurements of peripheral density/thickness.</w:t>
      </w:r>
    </w:p>
    <w:p>
      <w:pPr>
        <w:pStyle w:val="ListParagraph"/>
        <w:numPr>
          <w:ilvl w:val="0"/>
          <w:numId w:val="1"/>
        </w:numPr>
        <w:spacing w:after="120"/>
      </w:pPr>
      <w:r>
        <w:t xml:space="preserve">Adaptive vs. innate arm — The differing roles of adaptive versus innate (NK) immunity in maintaining equilibrium (Section 3) require reconciliation with the earlier-discussed data on NK-induced dormancy — possible incomplete consistency between sources that warrants separate scrutiny rather than smoothing over.</w:t>
      </w:r>
    </w:p>
    <w:p>
      <w:pPr>
        <w:pStyle w:val="ListParagraph"/>
        <w:numPr>
          <w:ilvl w:val="0"/>
          <w:numId w:val="1"/>
        </w:numPr>
        <w:spacing w:after="120"/>
      </w:pPr>
      <w:r>
        <w:t xml:space="preserve">Immunosenescence — The link between cyclicity and immunosenescence (Section 6) is a hypothesis; alternative explanations for amplitude damping (metabolic rather than immune) are not excluded.</w:t>
      </w:r>
    </w:p>
    <w:p>
      <w:pPr>
        <w:pStyle w:val="ListParagraph"/>
        <w:numPr>
          <w:ilvl w:val="0"/>
          <w:numId w:val="1"/>
        </w:numPr>
        <w:spacing w:after="120"/>
      </w:pPr>
      <w:r>
        <w:t xml:space="preserve">Oscillator framework for multiple foci — Describing independent/coupled foci as oscillators (Section 7) is a theoretical transfer not directly stated in the cited sources.</w:t>
      </w:r>
    </w:p>
    <w:p>
      <w:pPr>
        <w:pStyle w:val="Heading1"/>
        <w:spacing w:after="150" w:before="300"/>
      </w:pPr>
      <w:r>
        <w:rPr>
          <w:b/>
          <w:bCs/>
        </w:rPr>
        <w:t xml:space="preserve">References</w:t>
      </w:r>
    </w:p>
    <w:p>
      <w:pPr>
        <w:spacing w:after="200"/>
      </w:pPr>
      <w:r>
        <w:t xml:space="preserve">1. A 3D tumor spheroid model with robust T cell infiltration for evaluating immune cell engagers. </w:t>
      </w:r>
      <w:hyperlink w:history="1" r:id="rIdebfhfqldyogryrqdtkoof">
        <w:r>
          <w:rPr>
            <w:rStyle w:val="Hyperlink"/>
            <w:color w:val="0563C1"/>
            <w:u w:val="single"/>
          </w:rPr>
          <w:t xml:space="preserve">https://pmc.ncbi.nlm.nih.gov/articles/PMC12283745/</w:t>
        </w:r>
      </w:hyperlink>
    </w:p>
    <w:p>
      <w:pPr>
        <w:spacing w:after="200"/>
      </w:pPr>
      <w:r>
        <w:t xml:space="preserve">2. Optogenetically engineered Septin-7 enhances immune cell infiltration of tumor spheroids. PNAS. </w:t>
      </w:r>
      <w:hyperlink w:history="1" r:id="rIdyy6j-z_ganogltqjiilos">
        <w:r>
          <w:rPr>
            <w:rStyle w:val="Hyperlink"/>
            <w:color w:val="0563C1"/>
            <w:u w:val="single"/>
          </w:rPr>
          <w:t xml:space="preserve">https://www.pnas.org/doi/10.1073/pnas.2405717121</w:t>
        </w:r>
      </w:hyperlink>
    </w:p>
    <w:p>
      <w:pPr>
        <w:spacing w:after="200"/>
      </w:pPr>
      <w:r>
        <w:t xml:space="preserve">3. Cancer immune exclusion: breaking the barricade for a successful immunotherapy. </w:t>
      </w:r>
      <w:hyperlink w:history="1" r:id="rIddxthx1d-au1xzsoi3u3t-">
        <w:r>
          <w:rPr>
            <w:rStyle w:val="Hyperlink"/>
            <w:color w:val="0563C1"/>
            <w:u w:val="single"/>
          </w:rPr>
          <w:t xml:space="preserve">https://pmc.ncbi.nlm.nih.gov/articles/PMC10239871/</w:t>
        </w:r>
      </w:hyperlink>
    </w:p>
    <w:p>
      <w:pPr>
        <w:spacing w:after="200"/>
      </w:pPr>
      <w:r>
        <w:t xml:space="preserve">4. Immune evasion by dormant disseminated cancer cells: A Fermi paradox? </w:t>
      </w:r>
      <w:hyperlink w:history="1" r:id="rIdwpfpqh22nfrrrxsbt-vr7">
        <w:r>
          <w:rPr>
            <w:rStyle w:val="Hyperlink"/>
            <w:color w:val="0563C1"/>
            <w:u w:val="single"/>
          </w:rPr>
          <w:t xml:space="preserve">https://pmc.ncbi.nlm.nih.gov/articles/PMC11034720/</w:t>
        </w:r>
      </w:hyperlink>
    </w:p>
    <w:p>
      <w:pPr>
        <w:spacing w:after="200"/>
      </w:pPr>
      <w:r>
        <w:t xml:space="preserve">5. The urgent need to recover MHC class I in cancers for effective immunotherapy. </w:t>
      </w:r>
      <w:hyperlink w:history="1" r:id="rIdr58dub1m4vcetsoctq_uy">
        <w:r>
          <w:rPr>
            <w:rStyle w:val="Hyperlink"/>
            <w:color w:val="0563C1"/>
            <w:u w:val="single"/>
          </w:rPr>
          <w:t xml:space="preserve">https://pmc.ncbi.nlm.nih.gov/articles/PMC5138279/</w:t>
        </w:r>
      </w:hyperlink>
    </w:p>
    <w:p>
      <w:pPr>
        <w:spacing w:after="200"/>
      </w:pPr>
      <w:r>
        <w:t xml:space="preserve">6. Koebel CM, et al. Adaptive immunity maintains occult cancer in an equilibrium state. Nature. 2007;450:903–907. </w:t>
      </w:r>
      <w:hyperlink w:history="1" r:id="rId7typjib8k77zzswqqjh_1">
        <w:r>
          <w:rPr>
            <w:rStyle w:val="Hyperlink"/>
            <w:color w:val="0563C1"/>
            <w:u w:val="single"/>
          </w:rPr>
          <w:t xml:space="preserve">https://pubmed.ncbi.nlm.nih.gov/18515327/</w:t>
        </w:r>
      </w:hyperlink>
    </w:p>
    <w:p>
      <w:pPr>
        <w:spacing w:after="200"/>
      </w:pPr>
      <w:r>
        <w:t xml:space="preserve">7. Mittal D, Gubin MM, Schreiber RD, Smyth MJ. New insights into cancer immunoediting and its three component phases. </w:t>
      </w:r>
      <w:hyperlink w:history="1" r:id="rIdapvuiksuzre-96s44jekc">
        <w:r>
          <w:rPr>
            <w:rStyle w:val="Hyperlink"/>
            <w:color w:val="0563C1"/>
            <w:u w:val="single"/>
          </w:rPr>
          <w:t xml:space="preserve">https://pubmed.ncbi.nlm.nih.gov/24531241/</w:t>
        </w:r>
      </w:hyperlink>
    </w:p>
    <w:p>
      <w:pPr>
        <w:spacing w:after="200"/>
      </w:pPr>
      <w:r>
        <w:t xml:space="preserve">8. Cancer Immunoediting overview. Thermo Fisher Scientific. </w:t>
      </w:r>
      <w:hyperlink w:history="1" r:id="rIddlbotkfisxme-r_x3e_fk">
        <w:r>
          <w:rPr>
            <w:rStyle w:val="Hyperlink"/>
            <w:color w:val="0563C1"/>
            <w:u w:val="single"/>
          </w:rPr>
          <w:t xml:space="preserve">https://www.thermofisher.com/us/en/home/life-science/antibodies/antibodies-learning-center/antibodies-resource-library/cell-signaling-pathways/cancer-immunoediting.html</w:t>
        </w:r>
      </w:hyperlink>
    </w:p>
    <w:p>
      <w:pPr>
        <w:spacing w:after="200"/>
      </w:pPr>
      <w:r>
        <w:t xml:space="preserve">9. Mathematical analysis of a cancer model with time-delay in tumor-immune interaction and stimulation processes. </w:t>
      </w:r>
      <w:hyperlink w:history="1" r:id="rIdkqdyuhn16qqxihthts-mb">
        <w:r>
          <w:rPr>
            <w:rStyle w:val="Hyperlink"/>
            <w:color w:val="0563C1"/>
            <w:u w:val="single"/>
          </w:rPr>
          <w:t xml:space="preserve">https://pmc.ncbi.nlm.nih.gov/articles/PMC8546790/</w:t>
        </w:r>
      </w:hyperlink>
    </w:p>
    <w:p>
      <w:pPr>
        <w:spacing w:after="200"/>
      </w:pPr>
      <w:r>
        <w:t xml:space="preserve">10. Periodic and chaotic dynamics in a map-based model of tumor–immune interaction. </w:t>
      </w:r>
      <w:hyperlink w:history="1" r:id="rIda1hon67zkdbskgb3x5g9l">
        <w:r>
          <w:rPr>
            <w:rStyle w:val="Hyperlink"/>
            <w:color w:val="0563C1"/>
            <w:u w:val="single"/>
          </w:rPr>
          <w:t xml:space="preserve">https://www.sciencedirect.com/science/article/abs/pii/S0022519313002622</w:t>
        </w:r>
      </w:hyperlink>
    </w:p>
    <w:p>
      <w:pPr>
        <w:spacing w:after="200"/>
      </w:pPr>
      <w:r>
        <w:t xml:space="preserve">11. Mathematical Modeling of Tumor-Immune Interaction with Optimal Control in the Human System. </w:t>
      </w:r>
      <w:hyperlink w:history="1" r:id="rIdiu6lfq2-0wnumzxwefcgq">
        <w:r>
          <w:rPr>
            <w:rStyle w:val="Hyperlink"/>
            <w:color w:val="0563C1"/>
            <w:u w:val="single"/>
          </w:rPr>
          <w:t xml:space="preserve">https://www.sciencepublishinggroup.com/article/10.11648/j.sdmath.20260101.14</w:t>
        </w:r>
      </w:hyperlink>
    </w:p>
    <w:p>
      <w:pPr>
        <w:spacing w:after="200"/>
      </w:pPr>
      <w:r>
        <w:t xml:space="preserve">12. Mathematical Models of Tumor-Immune System Dynamics (two-stage lymphocyte maturation model). </w:t>
      </w:r>
      <w:hyperlink w:history="1" r:id="rIdwx6qotclms_atf1ignja1">
        <w:r>
          <w:rPr>
            <w:rStyle w:val="Hyperlink"/>
            <w:color w:val="0563C1"/>
            <w:u w:val="single"/>
          </w:rPr>
          <w:t xml:space="preserve">https://www.researchgate.net/publication/268388988_Mathematical_Models_of_Tumor-Immune_System_Dynamics</w:t>
        </w:r>
      </w:hyperlink>
    </w:p>
    <w:p>
      <w:pPr>
        <w:spacing w:after="200"/>
      </w:pPr>
      <w:r>
        <w:t xml:space="preserve">13. Multifocal and Multicentric Tumors. </w:t>
      </w:r>
      <w:hyperlink w:history="1" r:id="rId6dktrkuuwjmfumhx7ch10">
        <w:r>
          <w:rPr>
            <w:rStyle w:val="Hyperlink"/>
            <w:color w:val="0563C1"/>
            <w:u w:val="single"/>
          </w:rPr>
          <w:t xml:space="preserve">https://www.researchgate.net/publication/227068317_Multifocal_and_Multicentric_Tumors</w:t>
        </w:r>
      </w:hyperlink>
    </w:p>
    <w:p>
      <w:pPr>
        <w:spacing w:after="200"/>
      </w:pPr>
      <w:r>
        <w:t xml:space="preserve">14. Whole genome sequencing reveals the independent clonal origin of multifocal ileal neuroendocrine tumors. </w:t>
      </w:r>
      <w:hyperlink w:history="1" r:id="rIdgp3kpuq3g4w2upziq-k6x">
        <w:r>
          <w:rPr>
            <w:rStyle w:val="Hyperlink"/>
            <w:color w:val="0563C1"/>
            <w:u w:val="single"/>
          </w:rPr>
          <w:t xml:space="preserve">https://www.ncbi.nlm.nih.gov/pmc/articles/PMC9351068/</w:t>
        </w:r>
      </w:hyperlink>
    </w:p>
    <w:p>
      <w:pPr>
        <w:spacing w:after="200"/>
      </w:pPr>
      <w:r>
        <w:t xml:space="preserve">15. Multifocal and multicentric glioblastoma: Imaging signature, molecular characterization, patterns of spread, and treatment. </w:t>
      </w:r>
      <w:hyperlink w:history="1" r:id="rIdli9lhq0tjbqw_sl8fss2u">
        <w:r>
          <w:rPr>
            <w:rStyle w:val="Hyperlink"/>
            <w:color w:val="0563C1"/>
            <w:u w:val="single"/>
          </w:rPr>
          <w:t xml:space="preserve">https://journals.sagepub.com/doi/10.1177/19714009231193162</w:t>
        </w:r>
      </w:hyperlink>
    </w:p>
    <w:p>
      <w:pPr>
        <w:spacing w:after="200"/>
      </w:pPr>
      <w:r>
        <w:t xml:space="preserve">16. A Case of Multicentric IDH-Wildtype Glioblastoma With Divergent Clonal Evolution. </w:t>
      </w:r>
      <w:hyperlink w:history="1" r:id="rIdjvpufgze7w2dpe0ox8vkv">
        <w:r>
          <w:rPr>
            <w:rStyle w:val="Hyperlink"/>
            <w:color w:val="0563C1"/>
            <w:u w:val="single"/>
          </w:rPr>
          <w:t xml:space="preserve">https://www.ncbi.nlm.nih.gov/pmc/articles/PMC12746531/</w:t>
        </w:r>
      </w:hyperlink>
    </w:p>
    <w:p>
      <w:r>
        <w:br w:type="page"/>
      </w:r>
    </w:p>
    <w:p>
      <w:pPr>
        <w:spacing w:after="60"/>
      </w:pPr>
      <w:r>
        <w:rPr>
          <w:i/>
          <w:iCs/>
          <w:color w:val="666666"/>
        </w:rPr>
        <w:t xml:space="preserve">Framework 1.2 — Part I</w:t>
      </w:r>
    </w:p>
    <w:p>
      <w:pPr>
        <w:spacing w:after="60"/>
      </w:pPr>
      <w:r>
        <w:rPr>
          <w:b/>
          <w:bCs/>
          <w:color w:val="555555"/>
          <w:sz w:val="24"/>
          <w:szCs w:val="24"/>
        </w:rPr>
        <w:t xml:space="preserve">Chapter 3</w:t>
      </w:r>
    </w:p>
    <w:p>
      <w:pPr>
        <w:pStyle w:val="Title"/>
        <w:spacing w:after="100"/>
      </w:pPr>
      <w:r>
        <w:t xml:space="preserve">Vertical and Horizontal Suppression</w:t>
      </w:r>
    </w:p>
    <w:p>
      <w:pPr>
        <w:spacing w:after="300"/>
      </w:pPr>
      <w:r>
        <w:rPr>
          <w:i/>
          <w:iCs/>
        </w:rPr>
        <w:t xml:space="preserve">Two Independent Control Axes — From Bacteria to the Endometrium</w:t>
      </w:r>
    </w:p>
    <w:p>
      <w:pPr>
        <w:pStyle w:val="Heading1"/>
        <w:spacing w:after="150" w:before="300"/>
      </w:pPr>
      <w:r>
        <w:rPr>
          <w:b/>
          <w:bCs/>
        </w:rPr>
        <w:t xml:space="preserve">Abstract</w:t>
      </w:r>
    </w:p>
    <w:p>
      <w:pPr>
        <w:spacing w:after="200"/>
      </w:pPr>
      <w:r>
        <w:t xml:space="preserve">Framework 1.1 formalizes two structurally independent mechanisms that restrain unlimited cellular proliferation: a vertical axis, in which a more mature, numerically dominant tissue level actively suppresses a more primitive one beneath it, and a horizontal axis, in which cells at the same level restrain one another through density-encoding diffusible signals, requiring no hierarchy at all. This article traces the horizontal axis from its most ancient known form — bacterial LuxI/LuxR quorum sensing — through yeast, the social amoeba Dictyostelium discoideum, and into tumor stem cell biology, and traces the vertical axis from the century-old chalone concept through specific, molecularly characterized chalones (myostatin, GDF11, BMP3, oncostatin M) to a mechanistic model of endometrial hyperplasia. A terminological problem is identified and resolved: the literature applies the word "chalone" inconsistently to signals that are mechanistically horizontal, and the operational criterion proposed here — dependence on hierarchy, not the name given to the molecule or the taxonomic identity of the organism — is offered as the correct basis for classification. The article closes by reporting how two later case studies in this series (gestational choriocarcinoma and non-clonal granulomas) independently arrived at the clean horizontal-suppression-without-vertical-axis test this document's own framework called for, and were not designed with that goal in mind.</w:t>
      </w:r>
    </w:p>
    <w:p>
      <w:pPr>
        <w:pStyle w:val="Heading1"/>
        <w:spacing w:after="150" w:before="300"/>
      </w:pPr>
      <w:r>
        <w:rPr>
          <w:b/>
          <w:bCs/>
        </w:rPr>
        <w:t xml:space="preserve">1. Two Axes, Not One Hierarchy</w:t>
      </w:r>
    </w:p>
    <w:p>
      <w:pPr>
        <w:spacing w:after="200"/>
      </w:pPr>
      <w:r>
        <w:t xml:space="preserve">Framework 1.1 formalizes two fundamentally different mechanisms that hold a cell back from unlimited proliferation. They are easy to conflate, because both produce the same outcome — growth restraint — but they are built differently, require different structural conditions, and can exist independently of one another.</w:t>
      </w:r>
    </w:p>
    <w:p>
      <w:pPr>
        <w:spacing w:after="200"/>
      </w:pPr>
      <w:r>
        <w:t xml:space="preserve">Vertical suppression is a hierarchical process: a more mature, numerically dominant level restrains the more primitive level beneath it through a top-down signal. This inverts the intuitive picture of control: in organizational systems a small apex commands a large base, whereas in biological tissue it is the reverse — the more numerous, more mature level actively restrains the less numerous, primitive level below it. Stability rests on three independent mechanisms at once: top-down informational pressure, energetic competition, and structural constraints from the ECM.</w:t>
      </w:r>
    </w:p>
    <w:p>
      <w:pPr>
        <w:spacing w:after="200"/>
      </w:pPr>
      <w:r>
        <w:t xml:space="preserve">Horizontal suppression, in contrast, requires no hierarchy at all — it operates between cells of the same level through diffusible metabolites encoding local population density, and functions even within a fully homogeneous cell population.</w:t>
      </w:r>
    </w:p>
    <w:p>
      <w:pPr>
        <w:spacing w:after="200"/>
      </w:pPr>
      <w:r>
        <w:t xml:space="preserve">Further literature review has substantially strengthened both sides of the model and, importantly, revealed a historical point where they intersect — see Section 4.</w:t>
      </w:r>
    </w:p>
    <w:p>
      <w:pPr>
        <w:pStyle w:val="Heading1"/>
        <w:spacing w:after="150" w:before="300"/>
      </w:pPr>
      <w:r>
        <w:rPr>
          <w:b/>
          <w:bCs/>
        </w:rPr>
        <w:t xml:space="preserve">2. The Prokaryotic Prototype of Horizontal Suppression</w:t>
      </w:r>
    </w:p>
    <w:p>
      <w:pPr>
        <w:spacing w:after="200"/>
      </w:pPr>
      <w:r>
        <w:t xml:space="preserve">Before horizontal suppression appears in yeast, it is already fully formed in bacteria — evolutionarily this is not a yeast invention but the original, most ancient variant of the principle.</w:t>
      </w:r>
    </w:p>
    <w:p>
      <w:pPr>
        <w:spacing w:after="200"/>
      </w:pPr>
      <w:r>
        <w:t xml:space="preserve">The classical molecular scheme is the LuxI/LuxR system, first described in the marine bacterium Vibrio fischeri [1]. LuxI is a synthase producing a diffusible autoinducer (an acylated homoserine lactone, AHL); as the population grows, the extracellular autoinducer concentration rises in proportion to cell density. LuxR is a receptor/transcriptional protein that, upon binding sufficient autoinducer, activates specific target genes, changing collective population behavior only once a threshold is reached [2]. The same logic — synthase plus receptor plus threshold concentration — recurs across most Gram-negative bacteria via homoserine lactones and in Gram-positive bacteria via oligopeptide signals sensed by two-component systems [3].</w:t>
      </w:r>
    </w:p>
    <w:p>
      <w:pPr>
        <w:spacing w:after="200"/>
      </w:pPr>
      <w:r>
        <w:t xml:space="preserve">Significance for the model: horizontal suppression is not a narrow eukaryotic mechanism independently invented by yeast and tumor cells, but a universal, evolutionarily ancient principle of population-density regulation, already fully worked out at the prokaryotic level billions of years before multicellularity.</w:t>
      </w:r>
    </w:p>
    <w:p>
      <w:pPr>
        <w:pStyle w:val="Heading1"/>
        <w:spacing w:after="150" w:before="300"/>
      </w:pPr>
      <w:r>
        <w:rPr>
          <w:b/>
          <w:bCs/>
        </w:rPr>
        <w:t xml:space="preserve">3. Horizontal Suppression in Pure Form: Yeast</w:t>
      </w:r>
    </w:p>
    <w:p>
      <w:pPr>
        <w:spacing w:after="200"/>
      </w:pPr>
      <w:r>
        <w:t xml:space="preserve">A budding yeast colony possesses an innate program — viability resurgence in quiescent time (VRQT) — that preserves population survivorship during stationary phase: as resources become exhausted, a small fraction of cells synchronously re-enters mitosis, raising overall colony viability without an accumulation of mutations. This phenomenon is directly density-dependent and can be triggered by aromatic alcohols (2-phenylethanol, tryptophol) acting as quorum-sensing molecules, and is documented to occur independently of the canonical growth, developmental, and stress-response pathways [4].</w:t>
      </w:r>
    </w:p>
    <w:p>
      <w:pPr>
        <w:spacing w:after="200"/>
      </w:pPr>
      <w:r>
        <w:t xml:space="preserve">The reverse process is documented with comparable precision: in Cryptococcus neoformans, stationary-phase cells transition into a viable-but-non-culturable (VBNC) state under nutrient limitation and hypoxia, and reactivation of a fraction of this population can be achieved by stimulation with pantothenic acid (vitamin B5), a separate quorum-sensing molecule — and the natural history of cryptococcosis independently documents that this dormant state can persist for decades before reactivation upon immunosuppression, a multi-decade timescale directly comparable to the longest-documented Dormant Cell Pool latencies examined elsewhere in this series (Article 7, Section 3) [5].</w:t>
      </w:r>
    </w:p>
    <w:p>
      <w:pPr>
        <w:spacing w:after="200"/>
      </w:pPr>
      <w:r>
        <w:t xml:space="preserve">Particularly informative is the mechanism by which density information is transmitted: rRNA synthesis in yeast is repressed before nutrients are actually exhausted, in a manner attributed to a quorum-sensing-like mechanism by which cells anticipate future nutrient depletion from population density itself rather than from nutrient status directly [6]. This separates the horizontal axis from the energetic one: if everything reduced to resource scarcity per cell at high density, this would be mere substrate competition, not a distinct signaling channel.</w:t>
      </w:r>
    </w:p>
    <w:p>
      <w:pPr>
        <w:pStyle w:val="Heading1"/>
        <w:spacing w:after="150" w:before="300"/>
      </w:pPr>
      <w:r>
        <w:rPr>
          <w:b/>
          <w:bCs/>
        </w:rPr>
        <w:t xml:space="preserve">4. Bridging the Axes: Dictyostelium and a Terminological Problem</w:t>
      </w:r>
    </w:p>
    <w:p>
      <w:pPr>
        <w:spacing w:after="200"/>
      </w:pPr>
      <w:r>
        <w:t xml:space="preserve">Here the literature offers a methodologically important surprise. In the social amoeba Dictyostelium discoideum, growing cells secrete two proteins, AprA and CfaD, which act as quorum sensors and limit cell proliferation before exogenous nutrients have been fully used up [7]. Yet the same system is, in an independent line of literature, explicitly called a "chalone" — a term historically reserved for vertical, tissue-specific suppression: the title of one key paper reads "A Dictyostelium chalone uses G proteins to regulate proliferation," with the authors directly introducing AprA/CfaD as an equivalent of classical tissue chalones acting through negative feedback on density [7,8].</w:t>
      </w:r>
    </w:p>
    <w:p>
      <w:pPr>
        <w:spacing w:after="200"/>
      </w:pPr>
      <w:r>
        <w:t xml:space="preserve">This points to a terminological inconsistency within the literature itself: the word "chalone" has historically been applied both to strictly vertical, tissue-specific signals and, as in the Dictyostelium case, to signals that are mechanistically purely horizontal (density-dependent, operating within a homogeneous population without a hierarchy of differentiation levels, since the amoeba at this stage forms no tissue levels at all). For the purposes of this model, the operational criterion for distinguishing the two axes should not be the name given to the signaling molecule or the taxonomic identity of the organism, but the presence or absence of hierarchy: does the signal's action require the existence of a separate, more mature source (vertical axis), or does it operate within one homogeneous cell level (horizontal axis) — regardless of whether the discovering laboratory calls it a "chalone" or a "quorum sensor."</w:t>
      </w:r>
    </w:p>
    <w:p>
      <w:pPr>
        <w:pStyle w:val="Heading1"/>
        <w:spacing w:after="150" w:before="300"/>
      </w:pPr>
      <w:r>
        <w:rPr>
          <w:b/>
          <w:bCs/>
        </w:rPr>
        <w:t xml:space="preserve">5. The Historical Foundation of the Vertical Axis: The Chalone Concept</w:t>
      </w:r>
    </w:p>
    <w:p>
      <w:pPr>
        <w:spacing w:after="200"/>
      </w:pPr>
      <w:r>
        <w:t xml:space="preserve">Here the literature strengthens the other half of the model symmetrically. More than 70 years ago it was proposed that every tissue produces specific chemical inhibitors, circulating in the blood, acting as negative-feedback signals preventing overgrowth — the concept of the "chalone" was first proposed by Claude Bernard in 1878 and formalized by Bullough and Laurence in the mid-20th century [9]. For decades the concept remained on the periphery of science for lack of direct evidence, but modern molecular biology has identified concrete, named candidates acting exactly as predicted: myostatin for skeletal muscle, GDF11 for nervous tissue (olfactory epithelium), BMP3 for bone, BMP2/4 for the hair follicle. Earlier work described tissue-specific chalones for the erythron [10] and for lymphocytes, with thymic chalone activity found to be specific to T cells rather than B cells [11].</w:t>
      </w:r>
    </w:p>
    <w:p>
      <w:pPr>
        <w:spacing w:after="200"/>
      </w:pPr>
      <w:r>
        <w:t xml:space="preserve">Direct experimental proof of the systemic, circulating nature of the vertical signal comes from parabiosis experiments: partial hepatectomy in one animal of a surgically joined (parabiotic) pair induced hepatocyte proliferation in the second, unoperated animal. This means the vertical signal in some tissues is not a purely local, contact-dependent phenomenon but circulates systemically — directly reinforcing the "regenerative window" concept already formulated in Framework 1.1, while adding a second mechanism independent of the horizontal axis: not only a local drop in quorum-signal density, but a systemic drop in a circulating chalone [12].</w:t>
      </w:r>
    </w:p>
    <w:p>
      <w:pPr>
        <w:spacing w:after="200"/>
      </w:pPr>
      <w:r>
        <w:t xml:space="preserve">The mechanism of one well-studied chalone — GDF11 in the olfactory epithelium — has been formalized mathematically in detail: GDF11 lengthens the cell-cycle duration of the progenitor cell (INP), acting as a molecular brake specifically at the transit-amplifying level — a direct parallel to the role of SOX9 in the endometrial TAC layer discussed in Section 9. Vertical-type size control is not always chemical: a structural, mechanical analog has been described in the inner ear, where hydraulic feedback regulates organ size independently of any diffusible chalone [13], indicating the vertical axis's defining feature is the hierarchical, source-dependent logic of the control signal rather than any particular molecular substrate. Separately, oncostatin M, secreted by dermal macrophages, has been shown to maintain hair follicle stem cell quiescence and thereby restrain hair growth [14] — meaning in this case the vertical signal originates not from a more mature level of the same lineage but from a cell of different origin (a macrophage) within the niche, somewhat broadening the original definition of "a more mature level restrains a less mature one" toward the more general "an external source relative to the primitive pool."</w:t>
      </w:r>
    </w:p>
    <w:p>
      <w:pPr>
        <w:pStyle w:val="Heading1"/>
        <w:spacing w:after="150" w:before="300"/>
      </w:pPr>
      <w:r>
        <w:rPr>
          <w:b/>
          <w:bCs/>
        </w:rPr>
        <w:t xml:space="preserve">6. Transferring the Principle to Cancer Stem Cells</w:t>
      </w:r>
    </w:p>
    <w:p>
      <w:pPr>
        <w:spacing w:after="200"/>
      </w:pPr>
      <w:r>
        <w:t xml:space="preserve">The same logic has been formalized for tumor stem cells. A discrete cellular-automaton model of tissue development reproduces a sharply dichotomous growth dynamic: either bounded maturation over a limited number of cell cycles, or unbounded immortalization — governed primarily by the intensity of intercellular communication, where low communication intensity by itself drives perpetual proliferation [15]. The model is experimentally supported in breast carcinoma cells: the plating density of cells bearing stem-cell markers does not affect the resulting stem-cell fraction near confluence, consistent with quorum-sensing control maintaining a fixed proportion of stem cells.</w:t>
      </w:r>
    </w:p>
    <w:p>
      <w:pPr>
        <w:pStyle w:val="Heading1"/>
        <w:spacing w:after="150" w:before="300"/>
      </w:pPr>
      <w:r>
        <w:rPr>
          <w:b/>
          <w:bCs/>
        </w:rPr>
        <w:t xml:space="preserve">7. Key Corollary: No Mutation Required</w:t>
      </w:r>
    </w:p>
    <w:p>
      <w:pPr>
        <w:spacing w:after="200"/>
      </w:pPr>
      <w:r>
        <w:t xml:space="preserve">The central feature distinguishing the horizontal mechanism from the vertical one — and from the mutational model of oncogenesis in general — is that the cell needs no genetic lesion to escape control. The model's authors state this directly: stem-cell immortalization may be triggered by reduced intercellular communication rather than exclusively by somatic evolution [15]. The cell's receptor apparatus remains fully intact — what fails is not the receiver but the magnitude of the input signal, determined by the collective density of neighbors rather than by the cell itself.</w:t>
      </w:r>
    </w:p>
    <w:p>
      <w:pPr>
        <w:pStyle w:val="Heading1"/>
        <w:spacing w:after="150" w:before="300"/>
      </w:pPr>
      <w:r>
        <w:rPr>
          <w:b/>
          <w:bCs/>
        </w:rPr>
        <w:t xml:space="preserve">8. Clinical Corollary: Two Independent Routes to Relapse After Partial Intervention</w:t>
      </w:r>
    </w:p>
    <w:p>
      <w:pPr>
        <w:spacing w:after="200"/>
      </w:pPr>
      <w:r>
        <w:t xml:space="preserve">Sections 3 and 5 together refine the mechanism of accelerated relapse following partial surgical resection — it may operate through two independent, non-exclusive routes simultaneously:</w:t>
      </w:r>
    </w:p>
    <w:p>
      <w:pPr>
        <w:spacing w:after="200"/>
      </w:pPr>
      <w:r>
        <w:t xml:space="preserve">Horizontal route: removing part of the tumor mass lowers the local quorum-signal density in the remaining tissue, and surviving cells are released from horizontal restraint simply because fewer neighbors remain to sustain the signal.</w:t>
      </w:r>
    </w:p>
    <w:p>
      <w:pPr>
        <w:spacing w:after="200"/>
      </w:pPr>
      <w:r>
        <w:t xml:space="preserve">Vertical route: the same resection lowers the systemic concentration of a circulating chalone-like signal (by analogy with the parabiosis experiment), weakening control over the primitive pool not locally but throughout the organism at once.</w:t>
      </w:r>
    </w:p>
    <w:p>
      <w:pPr>
        <w:spacing w:after="200"/>
      </w:pPr>
      <w:r>
        <w:t xml:space="preserve">This yields a testable distinction: if relapse after resection is horizontally mediated, the effect should be strictly local (confined to the vicinity of the resection); if vertically mediated, the effect should be systemic (including in distant, unaffected dormant foci). Both mechanisms also connect directly to the dormant-reserve accumulation model: a clone may carry a built-in, self-regulating mechanism for generating its own dormant reserve upon reaching a local density threshold, requiring no external stress trigger. This same distinction — local vs. systemic relapse mechanism — is precisely what the surgical corollary in Article 7 (Section 7) exploits clinically: resection of an anatomically identifiable focus is only guaranteed to remove a horizontally-shielded reservoir at that site, not a systemically maintained one, a caveat that article's clinical recommendation should be read alongside.</w:t>
      </w:r>
    </w:p>
    <w:p>
      <w:pPr>
        <w:pStyle w:val="Heading1"/>
        <w:spacing w:after="150" w:before="300"/>
      </w:pPr>
      <w:r>
        <w:rPr>
          <w:b/>
          <w:bCs/>
        </w:rPr>
        <w:t xml:space="preserve">9. Illustration: The Endometrium Under Dual Pressure</w:t>
      </w:r>
    </w:p>
    <w:p>
      <w:pPr>
        <w:spacing w:after="200"/>
      </w:pPr>
      <w:r>
        <w:t xml:space="preserve">The endometrial TAC layer is simultaneously subject to two independent circuits: a vertical one, originating from more differentiated cells of the gland and stroma, and a horizontal one, acting within the TAC level itself through a density-dependent signal. The molecular gatekeeper of this node is the transcription factor SOX9, whose expression is higher during the proliferative phase and colocalizes with the marker of the intermediate, undifferentiated population; SOX9 has been proposed as a checkpoint preventing hyperplasia — a mechanistic parallel to GDF11's role as a brake at the transit-amplifying level in the olfactory epithelium (Section 5).</w:t>
      </w:r>
    </w:p>
    <w:p>
      <w:pPr>
        <w:spacing w:after="200"/>
      </w:pPr>
      <w:r>
        <w:t xml:space="preserve">A critical structural moment arrives when the differentiated component is sharply reduced locally (stromal fraction falling below 55% in EIN versus a physiological ~75%): the vertical circuit loses its source, leaving only the horizontal circuit, now acting on a homogeneous, monoclonal population with its own density threshold — registered as the formal diagnostic criterion for EIN.</w:t>
      </w:r>
    </w:p>
    <w:p>
      <w:pPr>
        <w:spacing w:after="200"/>
      </w:pPr>
      <w:r>
        <w:t xml:space="preserve">The transition is energy-intensive and therefore probabilistic rather than deterministic, requiring simultaneous servicing of proliferation, continuous synthesis of the horizontal signal's diffusible metabolites, and displacement of the differentiated tissue component — consistent with the clinical fact that endometrial hyperplasia and cancer more often develop against a background of metabolic surplus rather than deficit.</w:t>
      </w:r>
    </w:p>
    <w:p>
      <w:pPr>
        <w:pStyle w:val="Heading1"/>
        <w:spacing w:after="150" w:before="300"/>
      </w:pPr>
      <w:r>
        <w:rPr>
          <w:b/>
          <w:bCs/>
        </w:rPr>
        <w:t xml:space="preserve">10. Open Question</w:t>
      </w:r>
    </w:p>
    <w:p>
      <w:pPr>
        <w:spacing w:after="200"/>
      </w:pPr>
      <w:r>
        <w:t xml:space="preserve">It remains unestablished whether specific candidate molecules have been identified as endogenous, non-bacterial quorum-sensing mediators directly within tumor stem cells — a product of the tumor tissue itself rather than a signal imported from outside (such as bacterial quorum peptides influencing colorectal-cancer invasion and metastasis through a distinct, receptor-mediated pathway). Section 4 adds a terminological dimension to this question: even upon discovering such an endogenous mediator, it will be necessary to explicitly establish whether it acts vertically or horizontally by the operational criterion (presence or absence of hierarchy), rather than relying on what the discovering laboratory happens to call it.</w:t>
      </w:r>
    </w:p>
    <w:p>
      <w:pPr>
        <w:pStyle w:val="Heading1"/>
        <w:spacing w:after="150" w:before="300"/>
      </w:pPr>
      <w:r>
        <w:rPr>
          <w:b/>
          <w:bCs/>
        </w:rPr>
        <w:t xml:space="preserve">11. Downstream Confirmation: Horizontal Suppression Tested Without a Vertical Axis</w:t>
      </w:r>
    </w:p>
    <w:p>
      <w:pPr>
        <w:spacing w:after="200"/>
      </w:pPr>
      <w:r>
        <w:t xml:space="preserve">This document's own framework implies a clean experimental target it does not itself supply: a system exhibiting horizontal suppression with no vertical axis present at all, isolating the density-dependent mechanism from the hierarchical one it is normally bundled with in every oncological case examined in this series. Two later, independently motivated articles arrived at exactly this test without having been designed for that purpose.</w:t>
      </w:r>
    </w:p>
    <w:p>
      <w:pPr>
        <w:spacing w:after="200"/>
      </w:pPr>
      <w:r>
        <w:t xml:space="preserve">The Granuloma companion article identified the infectious granuloma as the cleanest available instance: a macrophage-built containment structure with a genuine, density-dependent horizontal-suppression architecture (a collar of epithelioid macrophages constraining a walled-off core) but no clonal population and therefore no vertical hierarchy of differentiation levels to speak of. That article further reported a literal structural analog of vertical-adjacent energetic gating — the bacterial DosR hypoxia-response regulon inside caseating tuberculous granulomas — operating entirely without any tissue-hierarchy component, reinforcing the operational criterion proposed in Section 4 above: hierarchy-dependence, not molecular identity, is what should classify a control mechanism as vertical or horizontal.</w:t>
      </w:r>
    </w:p>
    <w:p>
      <w:pPr>
        <w:spacing w:after="200"/>
      </w:pPr>
      <w:r>
        <w:t xml:space="preserve">Article 7 (gestational choriocarcinoma) independently reached the same test from the opposite direction: because the malignant trophoblastic clone's constitutive immune privilege is inherited rather than acquired through a stepwise differentiation hierarchy, that article found no vertical axis to test at all, describing gestational choriocarcinoma as the series' cleanest example of horizontal suppression operating alone — cleaner even than the granuloma case, since here a genuine clone is present, removing the objection that a clonality-free system might not generalize to malignancy at all.</w:t>
      </w:r>
    </w:p>
    <w:p>
      <w:pPr>
        <w:spacing w:after="200"/>
      </w:pPr>
      <w:r>
        <w:t xml:space="preserve">Taken together, these two independently derived cases answer the open methodological question this document raised without resolving: horizontal suppression does not merely co-occur with vertical suppression in every observed oncological case by coincidence of clonal biology — it can be isolated, and when it is, its density-dependent logic holds without modification. This does not resolve Section 10's specific open question (an endogenous, tumor-intrinsic quorum mediator remains unidentified), but it does establish that the isolability the model predicted is empirically real rather than a theoretical convenience.</w:t>
      </w:r>
    </w:p>
    <w:p>
      <w:pPr>
        <w:pStyle w:val="Heading1"/>
        <w:spacing w:after="150" w:before="300"/>
      </w:pPr>
      <w:r>
        <w:rPr>
          <w:b/>
          <w:bCs/>
        </w:rPr>
        <w:t xml:space="preserve">12. Conclusion</w:t>
      </w:r>
    </w:p>
    <w:p>
      <w:pPr>
        <w:spacing w:after="200"/>
      </w:pPr>
      <w:r>
        <w:t xml:space="preserve">Vertical and horizontal suppression are not two names for one phenomenon but two structurally independent circuits of different evolutionary age. The horizontal axis can be traced from bacterial LuxI/LuxR through Dictyostelium and yeast to tumor stem cells — a lineage for which hierarchy is fundamentally unnecessary at any level. The vertical axis, formalized a century ago as the chalone concept and confirmed for specific molecules (myostatin, GDF11, BMP3, CXCL12, oncostatin M), requires the existence of a separate, more mature signal source and can act not only locally but systemically, as the classical parabiosis experiment demonstrates. The Dictyostelium case serves as a caution against terminological confusion: what is called a "chalone" may mechanistically turn out to be a horizontal signal, and vice versa — the operational criterion must remain dependence on hierarchy, not the name of the molecule. Section 11 shows this operational criterion is not merely a definitional nicety: two later, independently motivated case studies in this series confirmed the two axes' separability directly, using cases neither was originally designed to test.</w:t>
      </w:r>
    </w:p>
    <w:p>
      <w:pPr>
        <w:pStyle w:val="Heading1"/>
        <w:spacing w:after="150" w:before="300"/>
      </w:pPr>
      <w:r>
        <w:rPr>
          <w:b/>
          <w:bCs/>
        </w:rPr>
        <w:t xml:space="preserve">13. Testable Predictions</w:t>
      </w:r>
    </w:p>
    <w:p>
      <w:pPr>
        <w:pStyle w:val="ListParagraph"/>
        <w:numPr>
          <w:ilvl w:val="0"/>
          <w:numId w:val="1"/>
        </w:numPr>
        <w:spacing w:after="120"/>
      </w:pPr>
      <w:r>
        <w:t xml:space="preserve">Locality versus systemicity of relapse after partial resection (Section 8) should be measurably distinguishable: the horizontal mechanism predicts an effect confined to the resection's vicinity; the vertical mechanism predicts an effect reaching distant dormant foci.</w:t>
      </w:r>
    </w:p>
    <w:p>
      <w:pPr>
        <w:pStyle w:val="ListParagraph"/>
        <w:numPr>
          <w:ilvl w:val="0"/>
          <w:numId w:val="1"/>
        </w:numPr>
        <w:spacing w:after="120"/>
      </w:pPr>
      <w:r>
        <w:t xml:space="preserve">Circulating concentrations of tissue-specific chalone candidates (by analogy with GDF11/myostatin) should measurably drop after partial organ resection and correlate with the subsequent proliferation rate in untreated regions of the same tissue.</w:t>
      </w:r>
    </w:p>
    <w:p>
      <w:pPr>
        <w:pStyle w:val="ListParagraph"/>
        <w:numPr>
          <w:ilvl w:val="0"/>
          <w:numId w:val="1"/>
        </w:numPr>
        <w:spacing w:after="120"/>
      </w:pPr>
      <w:r>
        <w:t xml:space="preserve">Restoration of a specific vertical signal (the LSST approach already proposed for stage 4S neuroblastoma) should be tested in the endometrial TAC model as well — introducing an exogenous GDF11-like analog should slow the transition from heterogeneous hyperplasia to monoclonal EIN.</w:t>
      </w:r>
    </w:p>
    <w:p>
      <w:pPr>
        <w:pStyle w:val="ListParagraph"/>
        <w:numPr>
          <w:ilvl w:val="0"/>
          <w:numId w:val="1"/>
        </w:numPr>
        <w:spacing w:after="120"/>
      </w:pPr>
      <w:r>
        <w:t xml:space="preserve">Any proposed endogenous quorum signal in tumor stem cells should be tested for hierarchy-dependence (whether it operates in the presence versus absence of a more differentiated component) to correctly classify it as horizontal rather than vertical.</w:t>
      </w:r>
    </w:p>
    <w:p>
      <w:pPr>
        <w:pStyle w:val="ListParagraph"/>
        <w:numPr>
          <w:ilvl w:val="0"/>
          <w:numId w:val="1"/>
        </w:numPr>
        <w:spacing w:after="120"/>
      </w:pPr>
      <w:r>
        <w:t xml:space="preserve">If horizontal suppression in granulomas and horizontal suppression in gestational choriocarcinoma (Section 11) share a common density-dependent logic despite having no clonal or immune-privilege relationship to one another, quantitative features of the two systems (e.g., threshold density for containment, reversal kinetics upon signal removal) should be comparable in shape even though the absolute values and molecular identities of the signals differ entirely.</w:t>
      </w:r>
    </w:p>
    <w:p>
      <w:pPr>
        <w:pStyle w:val="Heading1"/>
        <w:spacing w:after="150" w:before="300"/>
      </w:pPr>
      <w:r>
        <w:rPr>
          <w:b/>
          <w:bCs/>
        </w:rPr>
        <w:t xml:space="preserve">14. Limitations</w:t>
      </w:r>
    </w:p>
    <w:p>
      <w:pPr>
        <w:spacing w:after="200"/>
      </w:pPr>
      <w:r>
        <w:t xml:space="preserve">This article is a synthesis of independently documented microbiology, developmental biology, and oncology literature spanning bacteria to human endometrium; it reports no new experimental data. The chalone concept has a specific historical vulnerability that should be stated plainly: many candidate chalones proposed in the mid-20th century (including some of the tissue-specific chalones described in Section 5) were never molecularly characterized to modern standards and are cited here for historical and conceptual continuity rather than as confirmed molecular mechanisms; only the more recent, molecularly named candidates (myostatin, GDF11, BMP3, oncostatin M) should be read as fully validated. The endometrial model in Section 9 is built from correlational human tissue data (SOX9 expression, stromal fraction) rather than causal experimental manipulation, and the probabilistic framing of the EIN transition is inferred from population-level clinical association (metabolic surplus) rather than measured directly at the tissue level. The cross-kingdom argument in Section 2 — from bacterial LuxI/LuxR to yeast to Dictyostelium to tumor cells — is offered as a structural and functional parallel demonstrating that hierarchy-independent density signaling is mechanistically general, not as a claim of a single continuous evolutionary lineage; convergent evolution across these systems remains as plausible as shared ancestry and is not adjudicated here. Section 11's synthesis of the Granuloma and Choriocarcinoma articles as confirmation is retrospective: neither article was designed as a direct test of this document's framework, and the convergence, while methodologically meaningful, was observed rather than predicted in advance and pre-registered.</w:t>
      </w:r>
    </w:p>
    <w:p>
      <w:pPr>
        <w:pStyle w:val="Heading1"/>
        <w:spacing w:after="150" w:before="300"/>
      </w:pPr>
      <w:r>
        <w:rPr>
          <w:b/>
          <w:bCs/>
        </w:rPr>
        <w:t xml:space="preserve">References</w:t>
      </w:r>
    </w:p>
    <w:p>
      <w:pPr>
        <w:spacing w:after="200"/>
      </w:pPr>
      <w:r>
        <w:t xml:space="preserve">In addition to the bibliographies of the Framework 1.1 chapters "The Inverted Suppression Pyramid," "Horizontal Suppression: Quorum Sensing as a Second Control Circuit on the Clone," and "Three Cellular States and the Energetic Limit of Clonal Escape":</w:t>
      </w:r>
    </w:p>
    <w:p>
      <w:pPr>
        <w:spacing w:after="200"/>
      </w:pPr>
      <w:r>
        <w:t xml:space="preserve">1. Engebrecht J, Silverman M, et al. LuxI/LuxR quorum sensing in Vibrio fischeri — foundational AHL system. </w:t>
      </w:r>
      <w:hyperlink w:history="1" r:id="rIdjhdcoovgtimzl6gjgnrs5">
        <w:r>
          <w:rPr>
            <w:rStyle w:val="Hyperlink"/>
            <w:color w:val="0563C1"/>
            <w:u w:val="single"/>
          </w:rPr>
          <w:t xml:space="preserve">https://onlinelibrary.wiley.com/doi/10.1046/j.1365-2958.2001.02532.x</w:t>
        </w:r>
      </w:hyperlink>
    </w:p>
    <w:p>
      <w:pPr>
        <w:spacing w:after="200"/>
      </w:pPr>
      <w:r>
        <w:t xml:space="preserve">2. Analysis of LuxR Regulon Gene Expression during Quorum Sensing in Vibrio fischeri. </w:t>
      </w:r>
      <w:hyperlink w:history="1" r:id="rIdtitimhnmyiqoj47vrb-hr">
        <w:r>
          <w:rPr>
            <w:rStyle w:val="Hyperlink"/>
            <w:color w:val="0563C1"/>
            <w:u w:val="single"/>
          </w:rPr>
          <w:t xml:space="preserve">https://pmc.ncbi.nlm.nih.gov/articles/PMC1913387/</w:t>
        </w:r>
      </w:hyperlink>
    </w:p>
    <w:p>
      <w:pPr>
        <w:spacing w:after="200"/>
      </w:pPr>
      <w:r>
        <w:t xml:space="preserve">3. Quorum sensing: how bacteria stay in touch. BMG LABTECH. </w:t>
      </w:r>
      <w:hyperlink w:history="1" r:id="rIdalwqgdg_kifstnm0_3obb">
        <w:r>
          <w:rPr>
            <w:rStyle w:val="Hyperlink"/>
            <w:color w:val="0563C1"/>
            <w:u w:val="single"/>
          </w:rPr>
          <w:t xml:space="preserve">https://www.bmglabtech.com/en/blog/quorum-sensing-how-bacteria-stay-in-touch/</w:t>
        </w:r>
      </w:hyperlink>
    </w:p>
    <w:p>
      <w:pPr>
        <w:spacing w:after="200"/>
      </w:pPr>
      <w:r>
        <w:t xml:space="preserve">4. Coordinated Division of Selective Stationary-Phase Yeast Cells Expands the Population Survivorship in Quiescence. </w:t>
      </w:r>
      <w:hyperlink w:history="1" r:id="rIdanmxkcfmmu8x28q3qjakq">
        <w:r>
          <w:rPr>
            <w:rStyle w:val="Hyperlink"/>
            <w:color w:val="0563C1"/>
            <w:u w:val="single"/>
          </w:rPr>
          <w:t xml:space="preserve">https://www.biorxiv.org/content/10.1101/2024.10.17.618937.full.pdf</w:t>
        </w:r>
      </w:hyperlink>
    </w:p>
    <w:p>
      <w:pPr>
        <w:spacing w:after="200"/>
      </w:pPr>
      <w:r>
        <w:t xml:space="preserve">5. Cryptococcus neoformans resists to drastic conditions by switching to viable but non-culturable cell phenotype. PLOS Pathogens. </w:t>
      </w:r>
      <w:hyperlink w:history="1" r:id="rIdthbgogzcluxbkoudobxgd">
        <w:r>
          <w:rPr>
            <w:rStyle w:val="Hyperlink"/>
            <w:color w:val="0563C1"/>
            <w:u w:val="single"/>
          </w:rPr>
          <w:t xml:space="preserve">https://journals.plos.org/plospathogens/article?id=10.1371%2Fjournal.ppat.1007945</w:t>
        </w:r>
      </w:hyperlink>
    </w:p>
    <w:p>
      <w:pPr>
        <w:spacing w:after="200"/>
      </w:pPr>
      <w:r>
        <w:t xml:space="preserve">6. Growth-phase-dependent control of rRNA synthesis in Saccharomyces cerevisiae. mSphere. </w:t>
      </w:r>
      <w:hyperlink w:history="1" r:id="rIdbxyv3lo1e71rm4alyqkmt">
        <w:r>
          <w:rPr>
            <w:rStyle w:val="Hyperlink"/>
            <w:color w:val="0563C1"/>
            <w:u w:val="single"/>
          </w:rPr>
          <w:t xml:space="preserve">https://journals.asm.org/doi/10.1128/msphere.00493-24</w:t>
        </w:r>
      </w:hyperlink>
    </w:p>
    <w:p>
      <w:pPr>
        <w:spacing w:after="200"/>
      </w:pPr>
      <w:r>
        <w:t xml:space="preserve">7. Bakthavatsalam D, et al. A Dictyostelium chalone uses G proteins to regulate proliferation. </w:t>
      </w:r>
      <w:hyperlink w:history="1" r:id="rId2endo4bambcdb7mkztrvk">
        <w:r>
          <w:rPr>
            <w:rStyle w:val="Hyperlink"/>
            <w:color w:val="0563C1"/>
            <w:u w:val="single"/>
          </w:rPr>
          <w:t xml:space="preserve">https://www.ncbi.nlm.nih.gov/pmc/articles/PMC2726123/</w:t>
        </w:r>
      </w:hyperlink>
    </w:p>
    <w:p>
      <w:pPr>
        <w:spacing w:after="200"/>
      </w:pPr>
      <w:r>
        <w:t xml:space="preserve">8. Cell signaling during development of Dictyostelium. </w:t>
      </w:r>
      <w:hyperlink w:history="1" r:id="rIdtzk7wkbjublg7dqq7prbu">
        <w:r>
          <w:rPr>
            <w:rStyle w:val="Hyperlink"/>
            <w:color w:val="0563C1"/>
            <w:u w:val="single"/>
          </w:rPr>
          <w:t xml:space="preserve">https://www.ncbi.nlm.nih.gov/pmc/articles/PMC4075484/</w:t>
        </w:r>
      </w:hyperlink>
    </w:p>
    <w:p>
      <w:pPr>
        <w:spacing w:after="200"/>
      </w:pPr>
      <w:r>
        <w:t xml:space="preserve">9. The Chalone Concept: Revisiting the Body's Natural Brakes on Growth. </w:t>
      </w:r>
      <w:hyperlink w:history="1" r:id="rIdlavfxfnso1huyzygqbh7f">
        <w:r>
          <w:rPr>
            <w:rStyle w:val="Hyperlink"/>
            <w:color w:val="0563C1"/>
            <w:u w:val="single"/>
          </w:rPr>
          <w:t xml:space="preserve">https://www.moldynamicssci.com/posts/the-chalone-concept-revisiting-the-bodys-natural-brakes-on-growth</w:t>
        </w:r>
      </w:hyperlink>
    </w:p>
    <w:p>
      <w:pPr>
        <w:spacing w:after="200"/>
      </w:pPr>
      <w:r>
        <w:t xml:space="preserve">10. Kivilaakso E, Rytömaa T. Erythrocytic chalone, a tissue-specific inhibitor of cell proliferation in the erythron. </w:t>
      </w:r>
      <w:hyperlink w:history="1" r:id="rIdonoorwufmh0hshbtgtqkq">
        <w:r>
          <w:rPr>
            <w:rStyle w:val="Hyperlink"/>
            <w:color w:val="0563C1"/>
            <w:u w:val="single"/>
          </w:rPr>
          <w:t xml:space="preserve">https://pubmed.ncbi.nlm.nih.gov/4256041/</w:t>
        </w:r>
      </w:hyperlink>
    </w:p>
    <w:p>
      <w:pPr>
        <w:spacing w:after="200"/>
      </w:pPr>
      <w:r>
        <w:t xml:space="preserve">11. The specific and endogenous mitotic inhibitor of lymphocytes (chalone). </w:t>
      </w:r>
      <w:hyperlink w:history="1" r:id="rId1qbhr9gfry2zlfdmcdqc-">
        <w:r>
          <w:rPr>
            <w:rStyle w:val="Hyperlink"/>
            <w:color w:val="0563C1"/>
            <w:u w:val="single"/>
          </w:rPr>
          <w:t xml:space="preserve">https://www.sciencedirect.com/science/article/abs/pii/0014482775904528</w:t>
        </w:r>
      </w:hyperlink>
    </w:p>
    <w:p>
      <w:pPr>
        <w:spacing w:after="200"/>
      </w:pPr>
      <w:r>
        <w:t xml:space="preserve">12. Lander AD, et al. Cell Lineages and the Logic of Proliferative Control. PLOS Biology. </w:t>
      </w:r>
      <w:hyperlink w:history="1" r:id="rId6sb0ymtszlyka5a-5gkir">
        <w:r>
          <w:rPr>
            <w:rStyle w:val="Hyperlink"/>
            <w:color w:val="0563C1"/>
            <w:u w:val="single"/>
          </w:rPr>
          <w:t xml:space="preserve">https://journals.plos.org/plosbiology/article?id=10.1371%2Fjournal.pbio.1000015</w:t>
        </w:r>
      </w:hyperlink>
    </w:p>
    <w:p>
      <w:pPr>
        <w:spacing w:after="200"/>
      </w:pPr>
      <w:r>
        <w:t xml:space="preserve">13. Size control of the inner ear via hydraulic feedback. eLife. </w:t>
      </w:r>
      <w:hyperlink w:history="1" r:id="rIdhva26efssgsq5re4ptktf">
        <w:r>
          <w:rPr>
            <w:rStyle w:val="Hyperlink"/>
            <w:color w:val="0563C1"/>
            <w:u w:val="single"/>
          </w:rPr>
          <w:t xml:space="preserve">https://elifesciences.org/articles/39596</w:t>
        </w:r>
      </w:hyperlink>
    </w:p>
    <w:p>
      <w:pPr>
        <w:spacing w:after="200"/>
      </w:pPr>
      <w:r>
        <w:t xml:space="preserve">14. A Subset of TREM2+ Dermal Macrophages Secretes Oncostatin M to Maintain Hair Follicle Stem Cell Quiescence. Cell Stem Cell. </w:t>
      </w:r>
      <w:hyperlink w:history="1" r:id="rIdymz2xjxfigctjyyeazcel">
        <w:r>
          <w:rPr>
            <w:rStyle w:val="Hyperlink"/>
            <w:color w:val="0563C1"/>
            <w:u w:val="single"/>
          </w:rPr>
          <w:t xml:space="preserve">https://www.cell.com/cell-stem-cell/fulltext/S1934-5909(19)30011-6</w:t>
        </w:r>
      </w:hyperlink>
    </w:p>
    <w:p>
      <w:pPr>
        <w:spacing w:after="200"/>
      </w:pPr>
      <w:r>
        <w:t xml:space="preserve">15. From Microscopic Damage to Macroscopic Games: A Dimensionality Reduction of Stem Cell Homeostasis. </w:t>
      </w:r>
      <w:hyperlink w:history="1" r:id="rId63titfqmripdsac0syusg">
        <w:r>
          <w:rPr>
            <w:rStyle w:val="Hyperlink"/>
            <w:color w:val="0563C1"/>
            <w:u w:val="single"/>
          </w:rPr>
          <w:t xml:space="preserve">https://arxiv.org/pdf/2603.12713</w:t>
        </w:r>
      </w:hyperlink>
    </w:p>
    <w:p>
      <w:r>
        <w:br w:type="page"/>
      </w:r>
    </w:p>
    <w:p>
      <w:pPr>
        <w:spacing w:after="60"/>
      </w:pPr>
      <w:r>
        <w:rPr>
          <w:i/>
          <w:iCs/>
          <w:color w:val="666666"/>
        </w:rPr>
        <w:t xml:space="preserve">Framework 1.2 — Part I</w:t>
      </w:r>
    </w:p>
    <w:p>
      <w:pPr>
        <w:spacing w:after="60"/>
      </w:pPr>
      <w:r>
        <w:rPr>
          <w:b/>
          <w:bCs/>
          <w:color w:val="555555"/>
          <w:sz w:val="24"/>
          <w:szCs w:val="24"/>
        </w:rPr>
        <w:t xml:space="preserve">Chapter 4</w:t>
      </w:r>
    </w:p>
    <w:p>
      <w:pPr>
        <w:pStyle w:val="Title"/>
        <w:spacing w:after="100"/>
      </w:pPr>
      <w:r>
        <w:t xml:space="preserve">Cellular Mess and the L&amp;C Principle</w:t>
      </w:r>
    </w:p>
    <w:p>
      <w:pPr>
        <w:spacing w:after="300"/>
      </w:pPr>
      <w:r>
        <w:rPr>
          <w:i/>
          <w:iCs/>
        </w:rPr>
        <w:t xml:space="preserve">Foundational Synthesis of Framework 1.2</w:t>
      </w:r>
    </w:p>
    <w:p>
      <w:pPr>
        <w:pStyle w:val="Heading1"/>
        <w:spacing w:after="150" w:before="300"/>
      </w:pPr>
      <w:r>
        <w:rPr>
          <w:b/>
          <w:bCs/>
        </w:rPr>
        <w:t xml:space="preserve">Abstract</w:t>
      </w:r>
    </w:p>
    <w:p>
      <w:pPr>
        <w:spacing w:after="200"/>
      </w:pPr>
      <w:r>
        <w:t xml:space="preserve">The classical model of oncogenesis explains tumor progression as a sequence of driver mutations. Framework 1.2 proposes a complementary frame: oncogenesis as the progressive loss of a tissue's capacity to filter cellular heterogeneity and to clear the byproducts of cellular turnover. The model introduces a staged sequence — Cellular Mess → Dormant Cell Pool → Mess Clone → Peripheral Selection → Pathologic Clone → Littering → Cluttering → metastasis as a late stage of clearance overload. This article is the series' foundational synthesis: it establishes the terminology, positions the model relative to previously developed constructs (BGR, the vertical/horizontal suppression axes, the Regeneration Pendulum), assembles independent literature support for each link in the staged cascade, and summarizes the results of the boundary-case program the series subsequently carried out — CHIP, leukemia, lymphoma, granulomas, and gestational choriocarcinoma — each dedicated article referenced here at the point relevant to its findings rather than reproduced in full.</w:t>
      </w:r>
    </w:p>
    <w:p>
      <w:pPr>
        <w:pStyle w:val="Heading1"/>
        <w:spacing w:after="150" w:before="300"/>
      </w:pPr>
      <w:r>
        <w:rPr>
          <w:b/>
          <w:bCs/>
        </w:rPr>
        <w:t xml:space="preserve">1. Introduction</w:t>
      </w:r>
    </w:p>
    <w:p>
      <w:pPr>
        <w:spacing w:after="200"/>
      </w:pPr>
      <w:r>
        <w:t xml:space="preserve">The mutational model leaves several observations unexplained: why precancerous lesions can remain stable for decades despite the presence of atypical clones; why metastasis travels along routes physiologically dedicated to debris clearance; why lesions that are clinically indistinguishable from cancer on imaging (granulomas) arise from an entirely different etiology yet share a similar spatial physics. Framework 1.2 offers an explanation through two coupled axes: accumulation of cellular heterogeneity (Cellular Mess) and an imbalance between the production and removal of tissue debris (L&amp;C).</w:t>
      </w:r>
    </w:p>
    <w:p>
      <w:pPr>
        <w:spacing w:after="200"/>
      </w:pPr>
      <w:r>
        <w:t xml:space="preserve">This foundational article lays out the model in full and then, rather than treating every category of supporting evidence at equal depth, flags the specific points at which the model was pushed to its limit and dispatches those points to dedicated articles: CHIP and leukemia as the clearest confirming instances (Sections 5.5 and 5.9 below; developed fully in Articles 3 and 4), and lymphoma, granulomas, and gestational choriocarcinoma as deliberate boundary-case tests, each chosen specifically to strain a different assumption of the model rather than to confirm it (Sections 5.8, 5.10, and 5.11; developed fully in Article 6, the Granuloma companion article, and Article 7). Section 9 below gives the full series roadmap.</w:t>
      </w:r>
    </w:p>
    <w:p>
      <w:pPr>
        <w:pStyle w:val="Heading1"/>
        <w:spacing w:after="150" w:before="300"/>
      </w:pPr>
      <w:r>
        <w:rPr>
          <w:b/>
          <w:bCs/>
        </w:rPr>
        <w:t xml:space="preserve">2. Positioning within the Framework</w:t>
      </w:r>
    </w:p>
    <w:p>
      <w:pPr>
        <w:spacing w:after="200"/>
      </w:pPr>
      <w:r>
        <w:t xml:space="preserve">Cellular Mess and L&amp;C build on previously established concepts: BGR as the energetic condition of execution, the vertical and horizontal axes of suppression, and the Regeneration Pendulum as a limit cycle in phase space (ΔE, S). The Dormant Cell Pool is the reservoir of cells shifted by vertical suppression into a resting state instead of elimination; horizontal (density-dependent) suppression explains why this reservoir stabilizes in the tumor core rather than continuing to oscillate along the pendulum's orbit.</w:t>
      </w:r>
    </w:p>
    <w:p>
      <w:pPr>
        <w:pStyle w:val="Heading1"/>
        <w:spacing w:after="150" w:before="300"/>
      </w:pPr>
      <w:r>
        <w:rPr>
          <w:b/>
          <w:bCs/>
        </w:rPr>
        <w:t xml:space="preserve">3. Glossary of Operational Definitions</w:t>
      </w:r>
    </w:p>
    <w:p>
      <w:pPr>
        <w:pStyle w:val="ListParagraph"/>
        <w:numPr>
          <w:ilvl w:val="0"/>
          <w:numId w:val="1"/>
        </w:numPr>
        <w:spacing w:after="120"/>
      </w:pPr>
      <w:r>
        <w:rPr>
          <w:b/>
          <w:bCs/>
        </w:rPr>
        <w:t xml:space="preserve">Cellular Mess — </w:t>
      </w:r>
      <w:r>
        <w:t xml:space="preserve">the fraction of tissue cells not eliminated within the physiological clearance window.</w:t>
      </w:r>
    </w:p>
    <w:p>
      <w:pPr>
        <w:pStyle w:val="ListParagraph"/>
        <w:numPr>
          <w:ilvl w:val="0"/>
          <w:numId w:val="1"/>
        </w:numPr>
        <w:spacing w:after="120"/>
      </w:pPr>
      <w:r>
        <w:rPr>
          <w:b/>
          <w:bCs/>
        </w:rPr>
        <w:t xml:space="preserve">Dormant Cell Pool — </w:t>
      </w:r>
      <w:r>
        <w:t xml:space="preserve">the subset of Cellular Mess in reversible G0 (low Ki-67, p21/p27+).</w:t>
      </w:r>
    </w:p>
    <w:p>
      <w:pPr>
        <w:pStyle w:val="ListParagraph"/>
        <w:numPr>
          <w:ilvl w:val="0"/>
          <w:numId w:val="1"/>
        </w:numPr>
        <w:spacing w:after="120"/>
      </w:pPr>
      <w:r>
        <w:rPr>
          <w:b/>
          <w:bCs/>
        </w:rPr>
        <w:t xml:space="preserve">Mess Clone — </w:t>
      </w:r>
      <w:r>
        <w:t xml:space="preserve">a subpopulation showing increased clonal variability relative to the parent Cellular Mess.</w:t>
      </w:r>
    </w:p>
    <w:p>
      <w:pPr>
        <w:pStyle w:val="ListParagraph"/>
        <w:numPr>
          <w:ilvl w:val="0"/>
          <w:numId w:val="1"/>
        </w:numPr>
        <w:spacing w:after="120"/>
      </w:pPr>
      <w:r>
        <w:rPr>
          <w:b/>
          <w:bCs/>
        </w:rPr>
        <w:t xml:space="preserve">Peripheral Selection — </w:t>
      </w:r>
      <w:r>
        <w:t xml:space="preserve">selection driven by the BGR gradient between core and periphery.</w:t>
      </w:r>
    </w:p>
    <w:p>
      <w:pPr>
        <w:pStyle w:val="ListParagraph"/>
        <w:numPr>
          <w:ilvl w:val="0"/>
          <w:numId w:val="1"/>
        </w:numPr>
        <w:spacing w:after="120"/>
      </w:pPr>
      <w:r>
        <w:rPr>
          <w:b/>
          <w:bCs/>
        </w:rPr>
        <w:t xml:space="preserve">Pathologic Clone — </w:t>
      </w:r>
      <w:r>
        <w:t xml:space="preserve">a clone resistant to several independent stressors simultaneously.</w:t>
      </w:r>
    </w:p>
    <w:p>
      <w:pPr>
        <w:pStyle w:val="ListParagraph"/>
        <w:numPr>
          <w:ilvl w:val="0"/>
          <w:numId w:val="1"/>
        </w:numPr>
        <w:spacing w:after="120"/>
      </w:pPr>
      <w:r>
        <w:rPr>
          <w:b/>
          <w:bCs/>
        </w:rPr>
        <w:t xml:space="preserve">Littering — </w:t>
      </w:r>
      <w:r>
        <w:t xml:space="preserve">the physiological rate of cellular/matrix debris generation.</w:t>
      </w:r>
    </w:p>
    <w:p>
      <w:pPr>
        <w:pStyle w:val="ListParagraph"/>
        <w:numPr>
          <w:ilvl w:val="0"/>
          <w:numId w:val="1"/>
        </w:numPr>
        <w:spacing w:after="120"/>
      </w:pPr>
      <w:r>
        <w:rPr>
          <w:b/>
          <w:bCs/>
        </w:rPr>
        <w:t xml:space="preserve">Cluttering — </w:t>
      </w:r>
      <w:r>
        <w:t xml:space="preserve">the state in which Littering rate exceeds Clearance capacity.</w:t>
      </w:r>
    </w:p>
    <w:p>
      <w:pPr>
        <w:pStyle w:val="ListParagraph"/>
        <w:numPr>
          <w:ilvl w:val="0"/>
          <w:numId w:val="1"/>
        </w:numPr>
        <w:spacing w:after="120"/>
      </w:pPr>
      <w:r>
        <w:rPr>
          <w:b/>
          <w:bCs/>
        </w:rPr>
        <w:t xml:space="preserve">L&amp;C — </w:t>
      </w:r>
      <w:r>
        <w:t xml:space="preserve">the systemic property describing the balance between debris production and clearance.</w:t>
      </w:r>
    </w:p>
    <w:p>
      <w:pPr>
        <w:pStyle w:val="ListParagraph"/>
        <w:numPr>
          <w:ilvl w:val="0"/>
          <w:numId w:val="1"/>
        </w:numPr>
        <w:spacing w:after="120"/>
      </w:pPr>
      <w:r>
        <w:rPr>
          <w:b/>
          <w:bCs/>
        </w:rPr>
        <w:t xml:space="preserve">Horizontal Suppression — </w:t>
      </w:r>
      <w:r>
        <w:t xml:space="preserve">density-dependent, quorum-sensing-like control acting within a level (n ↔ n); can act with no vertical axis present at all (demonstrated in the Granuloma companion article).</w:t>
      </w:r>
    </w:p>
    <w:p>
      <w:pPr>
        <w:pStyle w:val="ListParagraph"/>
        <w:numPr>
          <w:ilvl w:val="0"/>
          <w:numId w:val="1"/>
        </w:numPr>
        <w:spacing w:after="120"/>
      </w:pPr>
      <w:r>
        <w:rPr>
          <w:b/>
          <w:bCs/>
        </w:rPr>
        <w:t xml:space="preserve">Vertical Suppression — </w:t>
      </w:r>
      <w:r>
        <w:t xml:space="preserve">hierarchical, level-specific control acting between levels (n−1 ↔ n), mediated by chalone-type pairs.</w:t>
      </w:r>
    </w:p>
    <w:p>
      <w:pPr>
        <w:pStyle w:val="ListParagraph"/>
        <w:numPr>
          <w:ilvl w:val="0"/>
          <w:numId w:val="1"/>
        </w:numPr>
        <w:spacing w:after="120"/>
      </w:pPr>
      <w:r>
        <w:rPr>
          <w:b/>
          <w:bCs/>
        </w:rPr>
        <w:t xml:space="preserve">Graded Capture Gradient — </w:t>
      </w:r>
      <w:r>
        <w:t xml:space="preserve">the model's replacement for a single decisive oncogenic switch — a continuous, trackable gradient from Mess Clone to Pathologic Clone, demonstrated longitudinally in both CHIP variant-allele-fraction data and t(14;18) population cohorts (Articles 3 and 6).</w:t>
      </w:r>
    </w:p>
    <w:p>
      <w:pPr>
        <w:pStyle w:val="Heading1"/>
        <w:spacing w:after="150" w:before="300"/>
      </w:pPr>
      <w:r>
        <w:rPr>
          <w:b/>
          <w:bCs/>
        </w:rPr>
        <w:t xml:space="preserve">4. Model: The Staged Cascade</w:t>
      </w:r>
    </w:p>
    <w:p>
      <w:pPr>
        <w:spacing w:after="200"/>
      </w:pPr>
      <w:r>
        <w:t xml:space="preserve">Cellular Mess → Dormant Cell Pool → Mess Clone → Peripheral Selection (high BGR) → Pathologic Clone → Littering → Cluttering → local clearance-system overload → Metastasis.</w:t>
      </w:r>
    </w:p>
    <w:p>
      <w:pPr>
        <w:spacing w:after="200"/>
      </w:pPr>
      <w:r>
        <w:t xml:space="preserve">Cellular Mess accumulates when Fall events (Article 1) exceed the physiological clearance window; the fraction that enters reversible quiescence rather than being cleared or continuing to cycle constitutes the Dormant Cell Pool, architecturally organized as a two-compartment reserve (an actively regulating shell around a metabolically suppressed core) rather than a uniform population. Within this pool, a Mess Clone emerges when a subpopulation acquires increased clonal variability — a driver lesion individually insufficient for malignancy, as in CHIP or the t(14;18) translocation. Peripheral Selection acts once a BGR gradient forms between a low-energy core and a higher-energy periphery, favoring the clone locally without requiring it to have escaped immune surveillance globally. Repeated passage through this selective pressure, combined with acquisition of resistance to independent stressors (immune, metabolic, cytotoxic), yields a Pathologic Clone — the point at which niche construction becomes active rather than merely exploitative (Article 4). An active or necrotic Pathologic Clone elevates Littering, the local debris-generation rate; when this exceeds the tissue's Clearance capacity, the system enters Cluttering. Sustained Cluttering represents a local clearance-system overload, and metastasis is proposed as a late-stage consequence of this overload — cells and debris overflowing into routes (principally lymphatic) that are physiologically dedicated to clearance rather than to transport of viable clonal material, rather than metastasis being solely a function of acquired invasive capacity.</w:t>
      </w:r>
    </w:p>
    <w:p>
      <w:pPr>
        <w:pStyle w:val="Heading1"/>
        <w:spacing w:after="150" w:before="300"/>
      </w:pPr>
      <w:r>
        <w:rPr>
          <w:b/>
          <w:bCs/>
        </w:rPr>
        <w:t xml:space="preserve">5. Supporting Observations from the Literature</w:t>
      </w:r>
    </w:p>
    <w:p>
      <w:pPr>
        <w:pStyle w:val="Heading2"/>
        <w:spacing w:after="120" w:before="220"/>
      </w:pPr>
      <w:r>
        <w:rPr>
          <w:b/>
          <w:bCs/>
        </w:rPr>
        <w:t xml:space="preserve">5.1 Cellular Mess and Precancerous States</w:t>
      </w:r>
    </w:p>
    <w:p>
      <w:pPr>
        <w:spacing w:after="200"/>
      </w:pPr>
      <w:r>
        <w:t xml:space="preserve">Senescence marker expression escalates progressively from normal to benign, and further to precancerous states [1]. Oncogene-induced senescent cells are found in many precancerous lesions, including lung adenomas, lymphomas, melanocytic nevi, and pancreatic and prostatic intraepithelial neoplasias [2,3], and colon adenoma samples show elevated markers of DNA damage and senescence-associated chromatin remodeling, with p16INK4a, HP1γ, and focal γH2AX expression already detectable at the adenoma stage [4].</w:t>
      </w:r>
    </w:p>
    <w:p>
      <w:pPr>
        <w:pStyle w:val="Heading2"/>
        <w:spacing w:after="120" w:before="220"/>
      </w:pPr>
      <w:r>
        <w:rPr>
          <w:b/>
          <w:bCs/>
        </w:rPr>
        <w:t xml:space="preserve">5.2 Dormant Cell Pool and Expansion of the Generative Layer</w:t>
      </w:r>
    </w:p>
    <w:p>
      <w:pPr>
        <w:spacing w:after="200"/>
      </w:pPr>
      <w:r>
        <w:t xml:space="preserve">A direct morphological precedent exists outside oncology: basal cell hyperplasia in eosinophilic esophagitis arises from an expansion of nonproliferative suprabasal cells retaining stem-like transcriptional programs, without a corresponding increase in proliferation [5,6]. This confirms that a generative layer can thicken through nondividing, stem-like cells — a core testable hypothesis of Framework 1.2 — though direct oncological evidence for this specific mechanism is still lacking. Quiescent intestinal stem cells more broadly act as an effective clonogenic reserve, capable of extensive proliferation upon injury [7].</w:t>
      </w:r>
    </w:p>
    <w:p>
      <w:pPr>
        <w:pStyle w:val="Heading2"/>
        <w:spacing w:after="120" w:before="220"/>
      </w:pPr>
      <w:r>
        <w:rPr>
          <w:b/>
          <w:bCs/>
        </w:rPr>
        <w:t xml:space="preserve">5.3 Chromatin in Dormant Cells</w:t>
      </w:r>
    </w:p>
    <w:p>
      <w:pPr>
        <w:spacing w:after="200"/>
      </w:pPr>
      <w:r>
        <w:t xml:space="preserve">Quiescence entry is accompanied by condensin-dependent chromatin compaction that represses transcription globally, with a measured reduction in chromatin volume upon entry into quiescence, from roughly 1.40 to 0.96 cubic micrometers [8]. Senescent cells form discrete heterochromatin domains (SAHF), with each focus arising from the condensation of a single whole chromosome [9].</w:t>
      </w:r>
    </w:p>
    <w:p>
      <w:pPr>
        <w:spacing w:after="200"/>
      </w:pPr>
      <w:r>
        <w:t xml:space="preserve">However, this compaction is not the whole picture: SAHF formation is preceded by an unraveling of constitutive heterochromatin into extended structures, termed SADS [10]. Dormant-cell chromatin is therefore not simply "compact" — compaction and decompaction occur in different domains simultaneously.</w:t>
      </w:r>
    </w:p>
    <w:p>
      <w:pPr>
        <w:pStyle w:val="Heading2"/>
        <w:spacing w:after="120" w:before="220"/>
      </w:pPr>
      <w:r>
        <w:rPr>
          <w:b/>
          <w:bCs/>
        </w:rPr>
        <w:t xml:space="preserve">5.4 Littering and Cluttering</w:t>
      </w:r>
    </w:p>
    <w:p>
      <w:pPr>
        <w:spacing w:after="200"/>
      </w:pPr>
      <w:r>
        <w:t xml:space="preserve">Impaired clearance of apoptotic cells is documented as a pathogenic driver across chronic inflammatory conditions, while tumors can hijack efferocytosis to build an immunosuppressive microenvironment, creating a therapeutic conundrum since enhancing efferocytosis benefits inflammatory conditions but can worsen cancer outcomes [11,12]. Acute overload provides a direct threshold mechanism: in severe viral infection, massive apoptotic cell numbers combined with impaired macrophage function overwhelm the clearance system, creating a vicious cycle of apoptotic cell overload and clearance deficiency [12].</w:t>
      </w:r>
    </w:p>
    <w:p>
      <w:pPr>
        <w:pStyle w:val="Heading2"/>
        <w:spacing w:after="120" w:before="220"/>
      </w:pPr>
      <w:r>
        <w:rPr>
          <w:b/>
          <w:bCs/>
        </w:rPr>
        <w:t xml:space="preserve">5.5 CHIP as an Illustration of Mess Clone → Peripheral Selection</w:t>
      </w:r>
    </w:p>
    <w:p>
      <w:pPr>
        <w:spacing w:after="200"/>
      </w:pPr>
      <w:r>
        <w:t xml:space="preserve">CHIP offers a well-characterized model of self-reinforcing clonal selection. Loss of Tet2 promotes myeloid skewing and a hyperinflammatory phenotype in myeloid cells carrying the same mutation, which via IL-1 and TNF-α signaling further promotes Tet2-deficient clonal expansion, creating a feed-forward loop that shapes a niche favoring further expansion of the mutant clone [13]. Niche remodeling proceeds in stages: inflammatory mesenchymal stromal cells emerge in CHIP and expand further in MDS, with healthy aged and CHIP hematopoietic cells still able to activate stromal support, while MDS blasts instead suppress that support and trigger inflammation [14]. Article 3 develops this case in full, including the graded, longitudinally tracked capture gradient from healthy variant carriage to CHIP to frank leukemia, and Article 4 follows the transition into active niche construction once the clone becomes pathologic.</w:t>
      </w:r>
    </w:p>
    <w:p>
      <w:pPr>
        <w:pStyle w:val="Heading2"/>
        <w:spacing w:after="120" w:before="220"/>
      </w:pPr>
      <w:r>
        <w:rPr>
          <w:b/>
          <w:bCs/>
        </w:rPr>
        <w:t xml:space="preserve">5.6 Hydrogel Structure of the Solid Tumor (Endo/Exomatrix)</w:t>
      </w:r>
    </w:p>
    <w:p>
      <w:pPr>
        <w:spacing w:after="200"/>
      </w:pPr>
      <w:r>
        <w:t xml:space="preserve">Direct force mapping (AFM) shows a stiffness gradient rising from the tumor core to the periphery, with peak values shifting from roughly 0.74 kPa in the core to 5.51 kPa at the periphery, accompanied by increasing structural heterogeneity toward the periphery; collagen I is essentially absent in the soft core and increases progressively toward the periphery [15]. This mechanical difference maps onto metabolic phenotype: cells grown in core-like stiffness show increased proliferation and glycolysis, while cells grown in peripheral-like stiffness show increased migration and oxidative metabolism [16].</w:t>
      </w:r>
    </w:p>
    <w:p>
      <w:pPr>
        <w:spacing w:after="200"/>
      </w:pPr>
      <w:r>
        <w:t xml:space="preserve">Peripheral hydration follows from two coupled mechanisms. First, vascular/lymphatic: intratumoral lymphatic collapse impairs drainage while peripheral vessels remain hyperpermeable, producing steep interstitial pressure rise at the periphery and outward fluid flow, with pressure plateauing as high as 50 mmHg compared to 0 mmHg in normal tissue [17]. Second, enzymatic: matrix degradation and cell proliferation are functionally coupled at the invasive front, where blocking MMP activity prevents both invasion and escape from the tumor mass [18], converting matrix-bound water into a free, mobile phase. Article 5 develops the full hydrogel formalism (endomatrix/exomatrix, LLPS, synaeresis) this subsection summarizes.</w:t>
      </w:r>
    </w:p>
    <w:p>
      <w:pPr>
        <w:pStyle w:val="Heading2"/>
        <w:spacing w:after="120" w:before="220"/>
      </w:pPr>
      <w:r>
        <w:rPr>
          <w:b/>
          <w:bCs/>
        </w:rPr>
        <w:t xml:space="preserve">5.7 Granulomatous Masses: A Non-Clonal Control Case</w:t>
      </w:r>
    </w:p>
    <w:p>
      <w:pPr>
        <w:spacing w:after="200"/>
      </w:pPr>
      <w:r>
        <w:t xml:space="preserve">Granulomas are clinically indistinguishable from cancer without biopsy because they follow the same mass-transport physics: a hypoxic, avascular necrotic core surrounded by a layer of reduced activity, with maximal proliferative and angiogenic activity confined to the periphery — a convergent architecture arising from a fundamentally different etiology (immune response to a persistent antigen rather than clonal expansion). Because this convergence involves no clone at all, the granuloma functions as the model's cleanest available control case: it isolates Dormant Cell Pool architecture, horizontal-suppression physics, and macrophage-driven niche construction from clonality entirely, rather than testing them bundled together with clonal selection as every oncological case necessarily does.</w:t>
      </w:r>
    </w:p>
    <w:p>
      <w:pPr>
        <w:spacing w:after="200"/>
      </w:pPr>
      <w:r>
        <w:t xml:space="preserve">The companion Granuloma article develops this in full, including a literal structural analog of BGR-gated dormancy in the bacterial DosR hypoxia-response switch inside caseating tuberculous granulomas, and a systematic documentation of granuloma-as-tumor-mimic across three independent infectious etiologies (tuberculoma, deep mycoses, histoid leprosy) on imaging and even histology — directly motivating why the clinical algorithm's imaging steps cannot, on their own, replace targeted biopsy.</w:t>
      </w:r>
    </w:p>
    <w:p>
      <w:pPr>
        <w:pStyle w:val="Heading2"/>
        <w:spacing w:after="120" w:before="220"/>
      </w:pPr>
      <w:r>
        <w:rPr>
          <w:b/>
          <w:bCs/>
        </w:rPr>
        <w:t xml:space="preserve">5.8 Lymphomas — Testing the Boundary of the Model's Applicability</w:t>
      </w:r>
    </w:p>
    <w:p>
      <w:pPr>
        <w:spacing w:after="200"/>
      </w:pPr>
      <w:r>
        <w:t xml:space="preserve">Lymphoid tissue presented the series' first serious methodological stress test. The normal germinal center is not organized along a core/periphery gradient but along zones with an inverted logic: the dark zone is characterized by a higher frequency of mitotic figures and a higher blast-to-centrocyte ratio, while the light zone contains higher frequencies of centrocytes and follicular dendritic cells [19]. In other words, the most proliferative zone (DZ) structurally coincides with sparse, not dense, stroma — a direct inversion relative to the solid tumor. Within the DZ, spatially resolved chromatin-compaction features are linked to T-cell exclusion from that zone [20]. This forces a distinction between two non-equivalent types of chromatin compaction: dormancy-associated (repressive) and proliferation-associated.</w:t>
      </w:r>
    </w:p>
    <w:p>
      <w:pPr>
        <w:spacing w:after="200"/>
      </w:pPr>
      <w:r>
        <w:t xml:space="preserve">The malignant transformation of this structure (follicular lymphoma) resolves part of the contradiction through multicentricity: nodal architecture is effaced by numerous, similarly sized, nonpolarized neoplastic follicles with attenuated or absent mantle zones, typically arranged back-to-back, replacing the normal polarized germinal-center pattern [21,22]. The loss of polarization (disappearance of distinct DZ/LZ compartments) means the unit of physical analysis in lymphoma should be the individual follicle, not the node as a whole — the "one core, one periphery" model does not apply at the organ level.</w:t>
      </w:r>
    </w:p>
    <w:p>
      <w:pPr>
        <w:spacing w:after="200"/>
      </w:pPr>
      <w:r>
        <w:t xml:space="preserve">Article 6 resolves this apparent contradiction rather than merely flagging it: the germinal center is reframed there not as an exception to the model but as a native, physiological instance of the multicentric domain already required by Article 2's Immune Geometry, present before any pathology. That article further develops t(14;18) as a population-scale Mess Clone, watch-and-wait management of follicular lymphoma as clinically pre-existing Dormant Cell Pool practice, MALT lymphoma regression after H. pylori eradication as the clearest human test of horizontal-suppression release, and Richter transformation as the lymphoid analog of the CHIP → AML transition — while explicitly naming two points (baseline apoptotic turnover rate, and niche geometry incompatible with the exomatrix formalism) where the transfer from solid-tumor physics genuinely strains rather than merely appears to strain.</w:t>
      </w:r>
    </w:p>
    <w:p>
      <w:pPr>
        <w:pStyle w:val="Heading2"/>
        <w:spacing w:after="120" w:before="220"/>
      </w:pPr>
      <w:r>
        <w:rPr>
          <w:b/>
          <w:bCs/>
        </w:rPr>
        <w:t xml:space="preserve">5.9 Macrophage Regulation of Dormancy: Recognition and Reversal</w:t>
      </w:r>
    </w:p>
    <w:p>
      <w:pPr>
        <w:spacing w:after="200"/>
      </w:pPr>
      <w:r>
        <w:t xml:space="preserve">Macrophages are not passive observers of the Dormant Cell Pool — they actively set and reset it. M2-polarized macrophages in bone marrow stroma form direct gap-junctional intercellular communication with cancer stem cells, which drives cycling quiescence, reduced proliferation, and chemoresistance; in contrast, M1-polarized macrophages reverse this dormancy back into a proliferative state, and the M2-to-M1 switch itself is achievable via TLR4 activation [23]. This gives dormancy a bidirectional cellular switch rather than a one-way suppression.</w:t>
      </w:r>
    </w:p>
    <w:p>
      <w:pPr>
        <w:spacing w:after="200"/>
      </w:pPr>
      <w:r>
        <w:t xml:space="preserve">This directly bears on the nonspecific immunotherapy question raised in Section 5.10 below: an agent that repolarizes M2 macrophages toward M1 (as TLR agonists or BCG-type stimuli can do) would be expected to simultaneously increase phagocytic clearance and disrupt the gap-junctional signal that maintains dormancy — two effects of a single macrophage-state switch, not two independent processes.</w:t>
      </w:r>
    </w:p>
    <w:p>
      <w:pPr>
        <w:spacing w:after="200"/>
      </w:pPr>
      <w:r>
        <w:t xml:space="preserve">A distinct, CD47-independent escape route has also been described: low-CD47-expressing cancer cells still undergo phagocytosis, but reverse signaling through CD47 acting as a receptor (rather than ligand) delays digestion, producing incomplete engulfment and the formation of tumor-hybrid cells (THCs). These THCs acquire c-Myc from the parental cancer cell and upregulate both M1- and M2-like macrophage polarization genes, allowing them to masquerade as macrophages and evade subsequent immune surveillance [24].</w:t>
      </w:r>
    </w:p>
    <w:p>
      <w:pPr>
        <w:spacing w:after="200"/>
      </w:pPr>
      <w:r>
        <w:t xml:space="preserve">A chromatin-level dormancy marker independent of SAHF/condensin has also been identified: the histone variant macroH2A1 is significantly upregulated in dormant disseminated cancer cells relative to their proliferative counterparts, co-enriched with the dormancy-associated transcription factors NR2F1 and DEC2 [25]. This adds a second, molecularly distinct chromatin signature to the compaction markers discussed in Section 5.3. The Granuloma companion article extends the macrophage-as-architect argument to its logical limit — a system where the macrophage is not reacting to a pre-built niche but is the niche.</w:t>
      </w:r>
    </w:p>
    <w:p>
      <w:pPr>
        <w:pStyle w:val="Heading2"/>
        <w:spacing w:after="120" w:before="220"/>
      </w:pPr>
      <w:r>
        <w:rPr>
          <w:b/>
          <w:bCs/>
        </w:rPr>
        <w:t xml:space="preserve">5.10 Immune Recognition of Normal vs. Pathologic Dormancy</w:t>
      </w:r>
    </w:p>
    <w:p>
      <w:pPr>
        <w:spacing w:after="200"/>
      </w:pPr>
      <w:r>
        <w:t xml:space="preserve">Nonspecific innate immune activation (e.g., BCG, TLR agonists) works by "training" macrophages and NK cells through epigenetic reprogramming, increasing phagocytic and cytotoxic capacity on re-exposure [26]. However, the same class of inflammatory signals can reawaken dormant cells rather than clear them: exogenous IL-6, IL-8, or TGFβ1 induce regrowth of dormant ER+ breast cancer cells, and stromal injury itself induces secretion of these same cytokines [27]. Acute systemic inflammation (e.g., severe viral infection) has similarly been proposed to reawaken disseminated dormant cells via neutrophil extracellular traps [28].</w:t>
      </w:r>
    </w:p>
    <w:p>
      <w:pPr>
        <w:spacing w:after="200"/>
      </w:pPr>
      <w:r>
        <w:t xml:space="preserve">This suggests that Littering/Cluttering-associated inflammation and therapeutic immune activation may share a common cytokine mechanism, such that clearing accumulated debris and reawakening a dormant pathologic clone are two possible outcomes of the same signal, not independent risks.</w:t>
      </w:r>
    </w:p>
    <w:p>
      <w:pPr>
        <w:spacing w:after="200"/>
      </w:pPr>
      <w:r>
        <w:t xml:space="preserve">At the ligand level, normal and pathologic dormancy appear to signal in opposite directions to the innate immune system. Untransformed aneuploid senescent cells activate NF-κB signaling, which is required for their NK-cell-mediated clearance [29]. Pathologic dormant cells, by contrast, learn to suppress the equivalent recognition axis — quiescent disseminated cancer cells downregulate NK-activating ligands (e.g., ULBP) via DKK1 overexpression [30], and oncogenic enhancer-driven transcriptional memory (through SOX9) further entrenches this NK-evasion program in quiescent cells [31]. Some dormant lesions additionally organize a local immune niche and actively inactivate NK surveillance through the CD200–CD200R1 axis [32] — the dormant cell does not merely go unnoticed, but appears to reprogram its immediate immune microenvironment.</w:t>
      </w:r>
    </w:p>
    <w:p>
      <w:pPr>
        <w:pStyle w:val="Heading2"/>
        <w:spacing w:after="120" w:before="220"/>
      </w:pPr>
      <w:r>
        <w:rPr>
          <w:b/>
          <w:bCs/>
        </w:rPr>
        <w:t xml:space="preserve">5.11 Gestational Choriocarcinoma: Inherited Rather Than Acquired Privilege</w:t>
      </w:r>
    </w:p>
    <w:p>
      <w:pPr>
        <w:spacing w:after="200"/>
      </w:pPr>
      <w:r>
        <w:t xml:space="preserve">Every mechanism of local immune tolerance in Sections 5.5–5.10 is acquired by the clone over its own history — built up through inflammatory feedback (CHIP), niche construction (leukemia), or local NK-ligand suppression (Section 5.10). Gestational choriocarcinoma removes this variable entirely: the trophoblast lineage from which it arises carries a cell-autonomous, constitutive immune-privilege program (centered on HLA-G) that precedes any malignant transformation and indeed any pregnancy pathology at all. Article 7 develops this as the series' closing boundary case, documenting Dormant Cell Pool persistence on a multi-decade timescale (rare but unambiguous relapses more than two decades after the antecedent pregnancy), a chemosensitivity gradient across the low-risk/high-risk/PSTT-ETT spectrum consistent with cytotoxic therapy acting specifically on the actively cycling fraction of the clone, and a structural argument that hCG — the field's defining marker — cannot by the biology of its own production detect a non-secretory dormant reservoir, motivating surgical niche removal as a direct clinical corollary in resistant disease. A comparison with non-gestational (testicular) choriocarcinoma is used there to test, and explicitly not resolve, how much of the clinical picture the inherited-privilege variable actually explains.</w:t>
      </w:r>
    </w:p>
    <w:p>
      <w:pPr>
        <w:pStyle w:val="Heading1"/>
        <w:spacing w:after="150" w:before="300"/>
      </w:pPr>
      <w:r>
        <w:rPr>
          <w:b/>
          <w:bCs/>
        </w:rPr>
        <w:t xml:space="preserve">6. Testable Predictions</w:t>
      </w:r>
    </w:p>
    <w:p>
      <w:pPr>
        <w:pStyle w:val="ListParagraph"/>
        <w:numPr>
          <w:ilvl w:val="0"/>
          <w:numId w:val="1"/>
        </w:numPr>
        <w:spacing w:after="120"/>
      </w:pPr>
      <w:r>
        <w:t xml:space="preserve">The fraction of the Dormant Cell Pool in a tissue should correlate with local reduction in ECM stiffness/density (AFM or equivalent), independent of tumor site.</w:t>
      </w:r>
    </w:p>
    <w:p>
      <w:pPr>
        <w:pStyle w:val="ListParagraph"/>
        <w:numPr>
          <w:ilvl w:val="0"/>
          <w:numId w:val="1"/>
        </w:numPr>
        <w:spacing w:after="120"/>
      </w:pPr>
      <w:r>
        <w:t xml:space="preserve">Littering rate (death-product concentration per volume/time) and local clearance capacity (phagocyte density/activity) are independently measurable variables; Cluttering should be predicted by their ratio, not by either alone.</w:t>
      </w:r>
    </w:p>
    <w:p>
      <w:pPr>
        <w:pStyle w:val="ListParagraph"/>
        <w:numPr>
          <w:ilvl w:val="0"/>
          <w:numId w:val="1"/>
        </w:numPr>
        <w:spacing w:after="120"/>
      </w:pPr>
      <w:r>
        <w:t xml:space="preserve">In multicentric growth (lymphomas, multifocal carcinomas), the mitotic/dormant gradient should reproduce at the level of the individual focus, not at the level of the organ as a whole.</w:t>
      </w:r>
    </w:p>
    <w:p>
      <w:pPr>
        <w:pStyle w:val="ListParagraph"/>
        <w:numPr>
          <w:ilvl w:val="0"/>
          <w:numId w:val="1"/>
        </w:numPr>
        <w:spacing w:after="120"/>
      </w:pPr>
      <w:r>
        <w:t xml:space="preserve">The chromatin-compaction state associated with dormancy should be distinguishable, via independent markers, from the chromatin compaction seen in highly proliferative zones (e.g., germinal-center DZ) — these are mechanistically distinct processes that can converge on a superficially similar morphology.</w:t>
      </w:r>
    </w:p>
    <w:p>
      <w:pPr>
        <w:pStyle w:val="ListParagraph"/>
        <w:numPr>
          <w:ilvl w:val="0"/>
          <w:numId w:val="1"/>
        </w:numPr>
        <w:spacing w:after="120"/>
      </w:pPr>
      <w:r>
        <w:t xml:space="preserve">Agents that repolarize tumor-associated macrophages from M2 toward M1 should produce a measurable, time-locked pair of effects in the same tissue: increased phagocytic clearance of the Dormant Cell Pool and a fraction of reawakened (re-proliferating) cells — the ratio between these two outcomes should depend on local NK-ligand and CD200 status, not on the polarizing agent alone.</w:t>
      </w:r>
    </w:p>
    <w:p>
      <w:pPr>
        <w:pStyle w:val="ListParagraph"/>
        <w:numPr>
          <w:ilvl w:val="0"/>
          <w:numId w:val="1"/>
        </w:numPr>
        <w:spacing w:after="120"/>
      </w:pPr>
      <w:r>
        <w:t xml:space="preserve">Reactivation-probability-per-unit-time from a stable Dormant Cell Pool should be low but non-zero and roughly comparable in shape (not magnitude) across unrelated systems — CHIP variant-allele-fraction trajectories, t(14;18) age-prevalence curves, and gestational choriocarcinoma's early-dominant/long-tail relapse distribution — if a single graded capture-gradient mechanism underlies all three, as proposed in Section 3.</w:t>
      </w:r>
    </w:p>
    <w:p>
      <w:pPr>
        <w:pStyle w:val="Heading1"/>
        <w:spacing w:after="150" w:before="300"/>
      </w:pPr>
      <w:r>
        <w:rPr>
          <w:b/>
          <w:bCs/>
        </w:rPr>
        <w:t xml:space="preserve">7. Limitations and Open Questions</w:t>
      </w:r>
    </w:p>
    <w:p>
      <w:pPr>
        <w:pStyle w:val="ListParagraph"/>
        <w:numPr>
          <w:ilvl w:val="0"/>
          <w:numId w:val="1"/>
        </w:numPr>
        <w:spacing w:after="120"/>
      </w:pPr>
      <w:r>
        <w:t xml:space="preserve">Generative layer expansion — No direct evidence yet shows that generative-layer expansion in precancer occurs specifically via Dormant-like cells — only an indirect analogy from an inflammatory model (EoE).</w:t>
      </w:r>
    </w:p>
    <w:p>
      <w:pPr>
        <w:pStyle w:val="ListParagraph"/>
        <w:numPr>
          <w:ilvl w:val="0"/>
          <w:numId w:val="1"/>
        </w:numPr>
        <w:spacing w:after="120"/>
      </w:pPr>
      <w:r>
        <w:t xml:space="preserve">Clearance capacity — The operational measure of "clearance capacity" for Cluttering remains unformalized quantitatively.</w:t>
      </w:r>
    </w:p>
    <w:p>
      <w:pPr>
        <w:pStyle w:val="ListParagraph"/>
        <w:numPr>
          <w:ilvl w:val="0"/>
          <w:numId w:val="1"/>
        </w:numPr>
        <w:spacing w:after="120"/>
      </w:pPr>
      <w:r>
        <w:t xml:space="preserve">ECM stiffness reference frames — The literature uses different reference frames (comparison to normal tissue vs. core-to-periphery within the same tumor) — not a substantive contradiction, but one requiring explicit disambiguation when cited.</w:t>
      </w:r>
    </w:p>
    <w:p>
      <w:pPr>
        <w:pStyle w:val="ListParagraph"/>
        <w:numPr>
          <w:ilvl w:val="0"/>
          <w:numId w:val="1"/>
        </w:numPr>
        <w:spacing w:after="120"/>
      </w:pPr>
      <w:r>
        <w:t xml:space="preserve">Lymphoid applicability — Article 6 substantially resolves the germinal center's apparent contradiction with the core/periphery model by reframing it as a native multicentric domain, but two structural disanalogies (baseline apoptotic turnover, niche geometry) remain genuinely unresolved rather than merely unaddressed, and are stated as such there.</w:t>
      </w:r>
    </w:p>
    <w:p>
      <w:pPr>
        <w:pStyle w:val="ListParagraph"/>
        <w:numPr>
          <w:ilvl w:val="0"/>
          <w:numId w:val="1"/>
        </w:numPr>
        <w:spacing w:after="120"/>
      </w:pPr>
      <w:r>
        <w:t xml:space="preserve">Dual-effect risk of macrophage-targeted therapy — Because M2→M1 repolarization is implicated both in dormancy reversal and in clearance, nonspecific or macrophage-directed immunotherapy carries a mechanistic risk of reawakening rather than eliminating a dormant pathologic clone; this has not been directly measured and is currently inferred by combining separate studies.</w:t>
      </w:r>
    </w:p>
    <w:p>
      <w:pPr>
        <w:pStyle w:val="ListParagraph"/>
        <w:numPr>
          <w:ilvl w:val="0"/>
          <w:numId w:val="1"/>
        </w:numPr>
        <w:spacing w:after="120"/>
      </w:pPr>
      <w:r>
        <w:t xml:space="preserve">Inherited vs. acquired privilege — Article 7's testicular-choriocarcinoma comparison establishes that inherited immune privilege alone is not sufficient to explain gestational choriocarcinoma's favorable clinical behavior, but does not identify what the remaining explanatory factor is; this is an open question rather than a resolved one.</w:t>
      </w:r>
    </w:p>
    <w:p>
      <w:pPr>
        <w:pStyle w:val="ListParagraph"/>
        <w:numPr>
          <w:ilvl w:val="0"/>
          <w:numId w:val="1"/>
        </w:numPr>
        <w:spacing w:after="120"/>
      </w:pPr>
      <w:r>
        <w:t xml:space="preserve">Non-infectious granulomatous disease — The Granuloma companion article's claims are developed specifically for infectious (replicating-organism) granulomas; whether the same architecture applies to non-infectious granulomatous disease (sarcoidosis, foreign-body granulomas), where no dormancy-capable organism is present, is untested.</w:t>
      </w:r>
    </w:p>
    <w:p>
      <w:pPr>
        <w:pStyle w:val="Heading1"/>
        <w:spacing w:after="150" w:before="300"/>
      </w:pPr>
      <w:r>
        <w:rPr>
          <w:b/>
          <w:bCs/>
        </w:rPr>
        <w:t xml:space="preserve">8. Conclusion</w:t>
      </w:r>
    </w:p>
    <w:p>
      <w:pPr>
        <w:spacing w:after="200"/>
      </w:pPr>
      <w:r>
        <w:t xml:space="preserve">Framework 1.2 does not replace the mutational model but adds a physical and organizational axis: oncogenesis as the loss of a tissue's capacity to filter heterogeneity and clear debris. Independent literature findings support individual links in the chain (precancerous senescence, efferocytosis overload, the CHIP niche, the ECM stiffness gradient), but their assembly into a single causal chain remains an original synthesis requiring direct testing rather than an established consensus.</w:t>
      </w:r>
    </w:p>
    <w:p>
      <w:pPr>
        <w:spacing w:after="200"/>
      </w:pPr>
      <w:r>
        <w:t xml:space="preserve">The series' subsequent boundary-case program — lymphoma, granulomas, and gestational choriocarcinoma — was deliberately designed to strain the model rather than illustrate it, each case chosen to remove a different assumption the confirming cases (CHIP, leukemia) could not remove on their own: lymphoma removed the core/periphery geometry, granulomas removed clonality entirely, and choriocarcinoma removed acquired (as opposed to inherited) immune privilege. In each case the model was modified or explicitly bounded rather than either confirmed uncritically or discarded — the germinal center was reframed rather than treated as a counterexample, the granuloma was treated as a control case rather than a disease category, and the testicular-choriocarcinoma comparison was left genuinely open rather than forced to a conclusion. This pattern — modification and honest boundary-marking under stress-testing, rather than either confirmation bias or premature falsification — is offered as the appropriate standard against which any future extension of the series should be measured.</w:t>
      </w:r>
    </w:p>
    <w:p>
      <w:pPr>
        <w:pStyle w:val="Heading1"/>
        <w:spacing w:after="150" w:before="300"/>
      </w:pPr>
      <w:r>
        <w:rPr>
          <w:b/>
          <w:bCs/>
        </w:rPr>
        <w:t xml:space="preserve">9. Series Roadmap</w:t>
      </w:r>
    </w:p>
    <w:p>
      <w:pPr>
        <w:spacing w:after="200"/>
      </w:pPr>
      <w:r>
        <w:t xml:space="preserve">The Framework 1.2 series (working title: Oncogenes &amp; Dormant Cells) comprises this foundational article plus the following dedicated articles:</w:t>
      </w:r>
    </w:p>
    <w:p>
      <w:pPr>
        <w:pStyle w:val="ListParagraph"/>
        <w:numPr>
          <w:ilvl w:val="0"/>
          <w:numId w:val="1"/>
        </w:numPr>
        <w:spacing w:after="120"/>
      </w:pPr>
      <w:r>
        <w:t xml:space="preserve">This article — Foundational Synthesis (Cellular Mess and the L&amp;C Principle)</w:t>
      </w:r>
    </w:p>
    <w:p>
      <w:pPr>
        <w:pStyle w:val="ListParagraph"/>
        <w:numPr>
          <w:ilvl w:val="0"/>
          <w:numId w:val="1"/>
        </w:numPr>
        <w:spacing w:after="120"/>
      </w:pPr>
      <w:r>
        <w:t xml:space="preserve">Article 1 — Cellular Noise, Fall, and Cellular Mess (methodological grounding for the cascade's first stage)</w:t>
      </w:r>
    </w:p>
    <w:p>
      <w:pPr>
        <w:pStyle w:val="ListParagraph"/>
        <w:numPr>
          <w:ilvl w:val="0"/>
          <w:numId w:val="1"/>
        </w:numPr>
        <w:spacing w:after="120"/>
      </w:pPr>
      <w:r>
        <w:t xml:space="preserve">Article 2 — Immune Geometry of the Dormant Pool (Peripheral Selection, cyclical growth, the multicentric domain)</w:t>
      </w:r>
    </w:p>
    <w:p>
      <w:pPr>
        <w:pStyle w:val="ListParagraph"/>
        <w:numPr>
          <w:ilvl w:val="0"/>
          <w:numId w:val="1"/>
        </w:numPr>
        <w:spacing w:after="120"/>
      </w:pPr>
      <w:r>
        <w:t xml:space="preserve">Article 3 — CHIP as a Model System for Mess Clone Selection</w:t>
      </w:r>
    </w:p>
    <w:p>
      <w:pPr>
        <w:pStyle w:val="ListParagraph"/>
        <w:numPr>
          <w:ilvl w:val="0"/>
          <w:numId w:val="1"/>
        </w:numPr>
        <w:spacing w:after="120"/>
      </w:pPr>
      <w:r>
        <w:t xml:space="preserve">Article 4 — Leukemia: The Pathologic Clone Actively Builds Its Niche</w:t>
      </w:r>
    </w:p>
    <w:p>
      <w:pPr>
        <w:pStyle w:val="ListParagraph"/>
        <w:numPr>
          <w:ilvl w:val="0"/>
          <w:numId w:val="1"/>
        </w:numPr>
        <w:spacing w:after="120"/>
      </w:pPr>
      <w:r>
        <w:t xml:space="preserve">Article 5 — Hydrogel Architecture of the Solid Tumor (Endo/Exomatrix)</w:t>
      </w:r>
    </w:p>
    <w:p>
      <w:pPr>
        <w:pStyle w:val="ListParagraph"/>
        <w:numPr>
          <w:ilvl w:val="0"/>
          <w:numId w:val="1"/>
        </w:numPr>
        <w:spacing w:after="120"/>
      </w:pPr>
      <w:r>
        <w:t xml:space="preserve">Article 6 — Lymphomas: Testing the Boundary of the Model's Applicability</w:t>
      </w:r>
    </w:p>
    <w:p>
      <w:pPr>
        <w:pStyle w:val="ListParagraph"/>
        <w:numPr>
          <w:ilvl w:val="0"/>
          <w:numId w:val="1"/>
        </w:numPr>
        <w:spacing w:after="120"/>
      </w:pPr>
      <w:r>
        <w:t xml:space="preserve">Companion Article — Granulomas: A Non-Clonal Control Case for the Dormant Cell Pool</w:t>
      </w:r>
    </w:p>
    <w:p>
      <w:pPr>
        <w:pStyle w:val="ListParagraph"/>
        <w:numPr>
          <w:ilvl w:val="0"/>
          <w:numId w:val="1"/>
        </w:numPr>
        <w:spacing w:after="120"/>
      </w:pPr>
      <w:r>
        <w:t xml:space="preserve">Article 7 — Choriocarcinoma: The Longest-Lived Dormant Cell Pool</w:t>
      </w:r>
    </w:p>
    <w:p>
      <w:pPr>
        <w:pStyle w:val="ListParagraph"/>
        <w:numPr>
          <w:ilvl w:val="0"/>
          <w:numId w:val="1"/>
        </w:numPr>
        <w:spacing w:after="120"/>
      </w:pPr>
      <w:r>
        <w:t xml:space="preserve">Companion Article — Dormant Cell Pool: From Physiological Reserve to Autonomous Clonal Reservoir</w:t>
      </w:r>
    </w:p>
    <w:p>
      <w:pPr>
        <w:pStyle w:val="ListParagraph"/>
        <w:numPr>
          <w:ilvl w:val="0"/>
          <w:numId w:val="1"/>
        </w:numPr>
        <w:spacing w:after="120"/>
      </w:pPr>
      <w:r>
        <w:t xml:space="preserve">Synthesis Note — Vertical and Horizontal Suppression: Two Independent Control Axes</w:t>
      </w:r>
    </w:p>
    <w:p>
      <w:pPr>
        <w:pStyle w:val="Heading1"/>
        <w:spacing w:after="150" w:before="300"/>
      </w:pPr>
      <w:r>
        <w:rPr>
          <w:b/>
          <w:bCs/>
        </w:rPr>
        <w:t xml:space="preserve">References</w:t>
      </w:r>
    </w:p>
    <w:p>
      <w:pPr>
        <w:spacing w:after="200"/>
      </w:pPr>
      <w:r>
        <w:t xml:space="preserve">1. The impact of the senescent microenvironment on tumorigenesis: Insights for cancer therapy. </w:t>
      </w:r>
      <w:hyperlink w:history="1" r:id="rIdkheh6mmlayzfzsyngwb3i">
        <w:r>
          <w:rPr>
            <w:rStyle w:val="Hyperlink"/>
            <w:color w:val="0563C1"/>
            <w:u w:val="single"/>
          </w:rPr>
          <w:t xml:space="preserve">https://pmc.ncbi.nlm.nih.gov/articles/PMC11113271/</w:t>
        </w:r>
      </w:hyperlink>
    </w:p>
    <w:p>
      <w:pPr>
        <w:spacing w:after="200"/>
      </w:pPr>
      <w:r>
        <w:t xml:space="preserve">2. Cellular senescence and the tumour microenvironment. </w:t>
      </w:r>
      <w:hyperlink w:history="1" r:id="rIddsna4yfd7ciof5af4bzia">
        <w:r>
          <w:rPr>
            <w:rStyle w:val="Hyperlink"/>
            <w:color w:val="0563C1"/>
            <w:u w:val="single"/>
          </w:rPr>
          <w:t xml:space="preserve">https://pmc.ncbi.nlm.nih.gov/articles/PMC9490140/</w:t>
        </w:r>
      </w:hyperlink>
    </w:p>
    <w:p>
      <w:pPr>
        <w:spacing w:after="200"/>
      </w:pPr>
      <w:r>
        <w:t xml:space="preserve">3. Targeting senescent cells to reshape the tumor microenvironment and improve anticancer efficacy. </w:t>
      </w:r>
      <w:hyperlink w:history="1" r:id="rId52lbnyp94uaoq1hsht-z_">
        <w:r>
          <w:rPr>
            <w:rStyle w:val="Hyperlink"/>
            <w:color w:val="0563C1"/>
            <w:u w:val="single"/>
          </w:rPr>
          <w:t xml:space="preserve">https://www.sciencedirect.com/science/article/pii/S1044579X24000361</w:t>
        </w:r>
      </w:hyperlink>
    </w:p>
    <w:p>
      <w:pPr>
        <w:spacing w:after="200"/>
      </w:pPr>
      <w:r>
        <w:t xml:space="preserve">4. Senescence and cancer — role and therapeutic opportunities. </w:t>
      </w:r>
      <w:hyperlink w:history="1" r:id="rId9ye6je-pngrlghtuuhydd">
        <w:r>
          <w:rPr>
            <w:rStyle w:val="Hyperlink"/>
            <w:color w:val="0563C1"/>
            <w:u w:val="single"/>
          </w:rPr>
          <w:t xml:space="preserve">https://pmc.ncbi.nlm.nih.gov/articles/PMC9428886/</w:t>
        </w:r>
      </w:hyperlink>
    </w:p>
    <w:p>
      <w:pPr>
        <w:spacing w:after="200"/>
      </w:pPr>
      <w:r>
        <w:t xml:space="preserve">5. Suprabasal cells retaining stem cell identity programs drive basal cell hyperplasia in eosinophilic esophagitis. </w:t>
      </w:r>
      <w:hyperlink w:history="1" r:id="rIdjuy2zmnc7y0eu_chs5vre">
        <w:r>
          <w:rPr>
            <w:rStyle w:val="Hyperlink"/>
            <w:color w:val="0563C1"/>
            <w:u w:val="single"/>
          </w:rPr>
          <w:t xml:space="preserve">https://www.ncbi.nlm.nih.gov/pmc/articles/PMC10153277/</w:t>
        </w:r>
      </w:hyperlink>
    </w:p>
    <w:p>
      <w:pPr>
        <w:spacing w:after="200"/>
      </w:pPr>
      <w:r>
        <w:t xml:space="preserve">6. Suprabasal cells retain progenitor cell identity programs in eosinophilic esophagitis–driven basal cell hyperplasia. </w:t>
      </w:r>
      <w:hyperlink w:history="1" r:id="rIdsijbadphl1oxw2zycu8ci">
        <w:r>
          <w:rPr>
            <w:rStyle w:val="Hyperlink"/>
            <w:color w:val="0563C1"/>
            <w:u w:val="single"/>
          </w:rPr>
          <w:t xml:space="preserve">https://www.ncbi.nlm.nih.gov/pmc/articles/PMC10619442/</w:t>
        </w:r>
      </w:hyperlink>
    </w:p>
    <w:p>
      <w:pPr>
        <w:spacing w:after="200"/>
      </w:pPr>
      <w:r>
        <w:t xml:space="preserve">7. Intestinal label-retaining cells are secretory precursors expressing Lgr5. Nature. </w:t>
      </w:r>
      <w:hyperlink w:history="1" r:id="rIdl-fx2ftvhvpaes3l3n_vf">
        <w:r>
          <w:rPr>
            <w:rStyle w:val="Hyperlink"/>
            <w:color w:val="0563C1"/>
            <w:u w:val="single"/>
          </w:rPr>
          <w:t xml:space="preserve">https://www.nature.com/articles/nature11965</w:t>
        </w:r>
      </w:hyperlink>
    </w:p>
    <w:p>
      <w:pPr>
        <w:spacing w:after="200"/>
      </w:pPr>
      <w:r>
        <w:t xml:space="preserve">8. Condensin-dependent chromatin condensation represses transcription globally during quiescence. </w:t>
      </w:r>
      <w:hyperlink w:history="1" r:id="rIduieeaprqtkms92jqbkkqg">
        <w:r>
          <w:rPr>
            <w:rStyle w:val="Hyperlink"/>
            <w:color w:val="0563C1"/>
            <w:u w:val="single"/>
          </w:rPr>
          <w:t xml:space="preserve">https://www.biorxiv.org/content/10.1101/320895.full.pdf</w:t>
        </w:r>
      </w:hyperlink>
    </w:p>
    <w:p>
      <w:pPr>
        <w:spacing w:after="200"/>
      </w:pPr>
      <w:r>
        <w:t xml:space="preserve">9. Remodeling of chromatin structure in senescent cells and its potential impact on tumor suppression and aging. </w:t>
      </w:r>
      <w:hyperlink w:history="1" r:id="rIdvstth8enh6fd3cf45bkln">
        <w:r>
          <w:rPr>
            <w:rStyle w:val="Hyperlink"/>
            <w:color w:val="0563C1"/>
            <w:u w:val="single"/>
          </w:rPr>
          <w:t xml:space="preserve">https://pmc.ncbi.nlm.nih.gov/articles/PMC2755200/</w:t>
        </w:r>
      </w:hyperlink>
    </w:p>
    <w:p>
      <w:pPr>
        <w:spacing w:after="200"/>
      </w:pPr>
      <w:r>
        <w:t xml:space="preserve">10. Higher-order unfolding of satellite heterochromatin is a consistent and early event in cell senescence. </w:t>
      </w:r>
      <w:hyperlink w:history="1" r:id="rIdqegmoy_psnescvha5irru">
        <w:r>
          <w:rPr>
            <w:rStyle w:val="Hyperlink"/>
            <w:color w:val="0563C1"/>
            <w:u w:val="single"/>
          </w:rPr>
          <w:t xml:space="preserve">https://pmc.ncbi.nlm.nih.gov/articles/PMC3871423/</w:t>
        </w:r>
      </w:hyperlink>
    </w:p>
    <w:p>
      <w:pPr>
        <w:spacing w:after="200"/>
      </w:pPr>
      <w:r>
        <w:t xml:space="preserve">11. Efferocytosis: the art of cellular clearance and novel perspectives in disease therapy. Molecular Cancer. </w:t>
      </w:r>
      <w:hyperlink w:history="1" r:id="rIdlnozctcso0vikogxw8k_h">
        <w:r>
          <w:rPr>
            <w:rStyle w:val="Hyperlink"/>
            <w:color w:val="0563C1"/>
            <w:u w:val="single"/>
          </w:rPr>
          <w:t xml:space="preserve">https://link.springer.com/article/10.1186/s12943-025-02484-7</w:t>
        </w:r>
      </w:hyperlink>
    </w:p>
    <w:p>
      <w:pPr>
        <w:spacing w:after="200"/>
      </w:pPr>
      <w:r>
        <w:t xml:space="preserve">12. Death as rebirth: how efferocytosis drives tissue repair and disease treatment. Frontiers in Immunology. </w:t>
      </w:r>
      <w:hyperlink w:history="1" r:id="rIdgawge9lelzhuto2yjsdqv">
        <w:r>
          <w:rPr>
            <w:rStyle w:val="Hyperlink"/>
            <w:color w:val="0563C1"/>
            <w:u w:val="single"/>
          </w:rPr>
          <w:t xml:space="preserve">https://www.frontiersin.org/journals/immunology/articles/10.3389/fimmu.2025.1712547/full</w:t>
        </w:r>
      </w:hyperlink>
    </w:p>
    <w:p>
      <w:pPr>
        <w:spacing w:after="200"/>
      </w:pPr>
      <w:r>
        <w:t xml:space="preserve">13. CHIP: a clonal odyssey of the bone marrow niche. </w:t>
      </w:r>
      <w:hyperlink w:history="1" r:id="rId1znf3ylsiib2l4wtiu1l9">
        <w:r>
          <w:rPr>
            <w:rStyle w:val="Hyperlink"/>
            <w:color w:val="0563C1"/>
            <w:u w:val="single"/>
          </w:rPr>
          <w:t xml:space="preserve">https://www.ncbi.nlm.nih.gov/pmc/articles/PMC11290965/</w:t>
        </w:r>
      </w:hyperlink>
    </w:p>
    <w:p>
      <w:pPr>
        <w:spacing w:after="200"/>
      </w:pPr>
      <w:r>
        <w:t xml:space="preserve">14. Inflammatory stromal and T cells mediate human bone marrow niche remodeling in clonal hematopoiesis and myelodysplasia. Nature Communications. </w:t>
      </w:r>
      <w:hyperlink w:history="1" r:id="rIdujc1tx_r3hkizcktqvulf">
        <w:r>
          <w:rPr>
            <w:rStyle w:val="Hyperlink"/>
            <w:color w:val="0563C1"/>
            <w:u w:val="single"/>
          </w:rPr>
          <w:t xml:space="preserve">https://www.nature.com/articles/s41467-025-65803-y</w:t>
        </w:r>
      </w:hyperlink>
    </w:p>
    <w:p>
      <w:pPr>
        <w:spacing w:after="200"/>
      </w:pPr>
      <w:r>
        <w:t xml:space="preserve">15. Method for staging cancer progression by AFM (patent application / stiffness mapping data). </w:t>
      </w:r>
      <w:hyperlink w:history="1" r:id="rIdcf0jtpfouiiqrb53dl-h3">
        <w:r>
          <w:rPr>
            <w:rStyle w:val="Hyperlink"/>
            <w:color w:val="0563C1"/>
            <w:u w:val="single"/>
          </w:rPr>
          <w:t xml:space="preserve">https://image-ppubs.uspto.gov/dirsearch-public/print/downloadPdf/8756711</w:t>
        </w:r>
      </w:hyperlink>
    </w:p>
    <w:p>
      <w:pPr>
        <w:spacing w:after="200"/>
      </w:pPr>
      <w:r>
        <w:t xml:space="preserve">16. Tumor matrix stiffness provides fertile soil for cancer stem cells. </w:t>
      </w:r>
      <w:hyperlink w:history="1" r:id="rIdorf0zz1a4kxskivwmvyyz">
        <w:r>
          <w:rPr>
            <w:rStyle w:val="Hyperlink"/>
            <w:color w:val="0563C1"/>
            <w:u w:val="single"/>
          </w:rPr>
          <w:t xml:space="preserve">https://www.ncbi.nlm.nih.gov/pmc/articles/PMC10357884/</w:t>
        </w:r>
      </w:hyperlink>
    </w:p>
    <w:p>
      <w:pPr>
        <w:spacing w:after="200"/>
      </w:pPr>
      <w:r>
        <w:t xml:space="preserve">17. Interstitial fluid pressure regulates collective invasion in engineered human breast tumors via Snail, vimentin, and E-cadherin. </w:t>
      </w:r>
      <w:hyperlink w:history="1" r:id="rIdz2skhoiob-ykgjhqxyvkg">
        <w:r>
          <w:rPr>
            <w:rStyle w:val="Hyperlink"/>
            <w:color w:val="0563C1"/>
            <w:u w:val="single"/>
          </w:rPr>
          <w:t xml:space="preserve">https://pmc.ncbi.nlm.nih.gov/articles/PMC4792648/</w:t>
        </w:r>
      </w:hyperlink>
    </w:p>
    <w:p>
      <w:pPr>
        <w:spacing w:after="200"/>
      </w:pPr>
      <w:r>
        <w:t xml:space="preserve">18. Matrix degradation and cell proliferation are coupled to promote invasion and escape from an engineered human breast microtumor. </w:t>
      </w:r>
      <w:hyperlink w:history="1" r:id="rIdyi8yv38-twskhpw_brzcl">
        <w:r>
          <w:rPr>
            <w:rStyle w:val="Hyperlink"/>
            <w:color w:val="0563C1"/>
            <w:u w:val="single"/>
          </w:rPr>
          <w:t xml:space="preserve">https://pmc.ncbi.nlm.nih.gov/articles/PMC7856634/</w:t>
        </w:r>
      </w:hyperlink>
    </w:p>
    <w:p>
      <w:pPr>
        <w:spacing w:after="200"/>
      </w:pPr>
      <w:r>
        <w:t xml:space="preserve">19. Dark and light zones of germinal centres of the human tonsil: an ultrastructural study with emphasis on heterogeneity of follicular dendritic cells. </w:t>
      </w:r>
      <w:hyperlink w:history="1" r:id="rIdry42r-qtoo9etvef3tdzx">
        <w:r>
          <w:rPr>
            <w:rStyle w:val="Hyperlink"/>
            <w:color w:val="0563C1"/>
            <w:u w:val="single"/>
          </w:rPr>
          <w:t xml:space="preserve">https://link.springer.com/article/10.1007/BF00319629</w:t>
        </w:r>
      </w:hyperlink>
    </w:p>
    <w:p>
      <w:pPr>
        <w:spacing w:after="200"/>
      </w:pPr>
      <w:r>
        <w:t xml:space="preserve">20. Germinal Center Dark Zone harbors ATR-dependent determinants of T-cell exclusion that are also identified in aggressive lymphoma. </w:t>
      </w:r>
      <w:hyperlink w:history="1" r:id="rIdzesuu-ucrk2mizt5nbotb">
        <w:r>
          <w:rPr>
            <w:rStyle w:val="Hyperlink"/>
            <w:color w:val="0563C1"/>
            <w:u w:val="single"/>
          </w:rPr>
          <w:t xml:space="preserve">https://www.ncbi.nlm.nih.gov/pmc/articles/PMC10984086/</w:t>
        </w:r>
      </w:hyperlink>
    </w:p>
    <w:p>
      <w:pPr>
        <w:spacing w:after="200"/>
      </w:pPr>
      <w:r>
        <w:t xml:space="preserve">21. Follicular lymphoma: updates for pathologists. </w:t>
      </w:r>
      <w:hyperlink w:history="1" r:id="rId88t6r8squm585dzk1vhm4">
        <w:r>
          <w:rPr>
            <w:rStyle w:val="Hyperlink"/>
            <w:color w:val="0563C1"/>
            <w:u w:val="single"/>
          </w:rPr>
          <w:t xml:space="preserve">https://www.jpatholtm.org/journal/view.php?doi=10.4132%2Fjptm.2021.09.29</w:t>
        </w:r>
      </w:hyperlink>
    </w:p>
    <w:p>
      <w:pPr>
        <w:spacing w:after="200"/>
      </w:pPr>
      <w:r>
        <w:t xml:space="preserve">22. The follicular lymphoma tumor microenvironment at single-cell and spatial resolution. Blood. </w:t>
      </w:r>
      <w:hyperlink w:history="1" r:id="rIdwfsal-eu_zk4dtft2mfow">
        <w:r>
          <w:rPr>
            <w:rStyle w:val="Hyperlink"/>
            <w:color w:val="0563C1"/>
            <w:u w:val="single"/>
          </w:rPr>
          <w:t xml:space="preserve">https://ashpublications.org/blood/article/143/12/1069/507075/The-follicular-lymphoma-tumor-microenvironment-at</w:t>
        </w:r>
      </w:hyperlink>
    </w:p>
    <w:p>
      <w:pPr>
        <w:spacing w:after="200"/>
      </w:pPr>
      <w:r>
        <w:t xml:space="preserve">23. Exosomes from differentially activated macrophages influence dormancy or resurgence of breast cancer cells within bone marrow stroma. </w:t>
      </w:r>
      <w:hyperlink w:history="1" r:id="rIde_elvda0q0eies2_jfeyh">
        <w:r>
          <w:rPr>
            <w:rStyle w:val="Hyperlink"/>
            <w:color w:val="0563C1"/>
            <w:u w:val="single"/>
          </w:rPr>
          <w:t xml:space="preserve">https://www.ncbi.nlm.nih.gov/pmc/articles/PMC6347644/</w:t>
        </w:r>
      </w:hyperlink>
    </w:p>
    <w:p>
      <w:pPr>
        <w:spacing w:after="200"/>
      </w:pPr>
      <w:r>
        <w:t xml:space="preserve">24. Phagocytosis-initiated tumor hybrid cells acquire a c-Myc-mediated quasi-polarization state for immunoevasion and distant dissemination. </w:t>
      </w:r>
      <w:hyperlink w:history="1" r:id="rIdmmjderg293godmtrxzb38">
        <w:r>
          <w:rPr>
            <w:rStyle w:val="Hyperlink"/>
            <w:color w:val="0563C1"/>
            <w:u w:val="single"/>
          </w:rPr>
          <w:t xml:space="preserve">https://www.ncbi.nlm.nih.gov/pmc/articles/PMC10582093/</w:t>
        </w:r>
      </w:hyperlink>
    </w:p>
    <w:p>
      <w:pPr>
        <w:spacing w:after="200"/>
      </w:pPr>
      <w:r>
        <w:t xml:space="preserve">25. MacroH2A impedes metastatic growth by enforcing a discrete dormancy program in disseminated cancer cells. </w:t>
      </w:r>
      <w:hyperlink w:history="1" r:id="rIddgwnabq47dnjhbj9t5sdv">
        <w:r>
          <w:rPr>
            <w:rStyle w:val="Hyperlink"/>
            <w:color w:val="0563C1"/>
            <w:u w:val="single"/>
          </w:rPr>
          <w:t xml:space="preserve">https://www.biorxiv.org/content/10.1101/2021.12.07.471619.full.pdf</w:t>
        </w:r>
      </w:hyperlink>
    </w:p>
    <w:p>
      <w:pPr>
        <w:spacing w:after="200"/>
      </w:pPr>
      <w:r>
        <w:t xml:space="preserve">26. Bacillus Calmette–Guérin Immunotherapy for Cancer. </w:t>
      </w:r>
      <w:hyperlink w:history="1" r:id="rIdocvxwyrzfii41bemr4grs">
        <w:r>
          <w:rPr>
            <w:rStyle w:val="Hyperlink"/>
            <w:color w:val="0563C1"/>
            <w:u w:val="single"/>
          </w:rPr>
          <w:t xml:space="preserve">https://pmc.ncbi.nlm.nih.gov/articles/PMC8147207/</w:t>
        </w:r>
      </w:hyperlink>
    </w:p>
    <w:p>
      <w:pPr>
        <w:spacing w:after="200"/>
      </w:pPr>
      <w:r>
        <w:t xml:space="preserve">27. Reawakening of dormant estrogen-dependent human breast cancer cells by bone marrow stroma secretory senescence. </w:t>
      </w:r>
      <w:hyperlink w:history="1" r:id="rIdpvwrlzebmfuime2jwrqxq">
        <w:r>
          <w:rPr>
            <w:rStyle w:val="Hyperlink"/>
            <w:color w:val="0563C1"/>
            <w:u w:val="single"/>
          </w:rPr>
          <w:t xml:space="preserve">https://www.ncbi.nlm.nih.gov/pmc/articles/PMC6098600/</w:t>
        </w:r>
      </w:hyperlink>
    </w:p>
    <w:p>
      <w:pPr>
        <w:spacing w:after="200"/>
      </w:pPr>
      <w:r>
        <w:t xml:space="preserve">28. COVID-19–Induced Modifications in the Tumor Microenvironment: Do They Affect Cancer Reawakening and Metastatic Relapse? </w:t>
      </w:r>
      <w:hyperlink w:history="1" r:id="rIdf0hnry23gfmarzvzpmfsd">
        <w:r>
          <w:rPr>
            <w:rStyle w:val="Hyperlink"/>
            <w:color w:val="0563C1"/>
            <w:u w:val="single"/>
          </w:rPr>
          <w:t xml:space="preserve">https://www.ncbi.nlm.nih.gov/pmc/articles/PMC7649335/</w:t>
        </w:r>
      </w:hyperlink>
    </w:p>
    <w:p>
      <w:pPr>
        <w:spacing w:after="200"/>
      </w:pPr>
      <w:r>
        <w:t xml:space="preserve">29. Aneuploid senescent cells activate NF-κB to promote their immune clearance by NK cells. </w:t>
      </w:r>
      <w:hyperlink w:history="1" r:id="rId2tzd0iresceyue-bst_zf">
        <w:r>
          <w:rPr>
            <w:rStyle w:val="Hyperlink"/>
            <w:color w:val="0563C1"/>
            <w:u w:val="single"/>
          </w:rPr>
          <w:t xml:space="preserve">https://www.ncbi.nlm.nih.gov/pmc/articles/PMC8339690/</w:t>
        </w:r>
      </w:hyperlink>
    </w:p>
    <w:p>
      <w:pPr>
        <w:spacing w:after="200"/>
      </w:pPr>
      <w:r>
        <w:t xml:space="preserve">30. Tuning Cancer Fate: Tumor Microenvironment's Role in Cancer Stem Cell Quiescence and Reawakening. </w:t>
      </w:r>
      <w:hyperlink w:history="1" r:id="rIdr5q1lm--cqabykppjya9s">
        <w:r>
          <w:rPr>
            <w:rStyle w:val="Hyperlink"/>
            <w:color w:val="0563C1"/>
            <w:u w:val="single"/>
          </w:rPr>
          <w:t xml:space="preserve">https://www.frontiersin.org/journals/immunology/articles/10.3389/fimmu.2020.02166/full</w:t>
        </w:r>
      </w:hyperlink>
    </w:p>
    <w:p>
      <w:pPr>
        <w:spacing w:after="200"/>
      </w:pPr>
      <w:r>
        <w:t xml:space="preserve">31. Oncogenic enhancers prime quiescent metastatic cells to escape NK immune surveillance by eliciting transcriptional memory. Nature Communications. </w:t>
      </w:r>
      <w:hyperlink w:history="1" r:id="rIdbw1vcfdaor1suhdbcycuz">
        <w:r>
          <w:rPr>
            <w:rStyle w:val="Hyperlink"/>
            <w:color w:val="0563C1"/>
            <w:u w:val="single"/>
          </w:rPr>
          <w:t xml:space="preserve">https://www.nature.com/articles/s41467-024-46524-0</w:t>
        </w:r>
      </w:hyperlink>
    </w:p>
    <w:p>
      <w:pPr>
        <w:spacing w:after="200"/>
      </w:pPr>
      <w:r>
        <w:t xml:space="preserve">32. Immune Niche Formation Reveals Mechanisms of Tumor Dormancy and Targeting Opportunities. </w:t>
      </w:r>
      <w:hyperlink w:history="1" r:id="rIdb2ks8yatkxinlbmyqczmb">
        <w:r>
          <w:rPr>
            <w:rStyle w:val="Hyperlink"/>
            <w:color w:val="0563C1"/>
            <w:u w:val="single"/>
          </w:rPr>
          <w:t xml:space="preserve">https://www.ncbi.nlm.nih.gov/pmc/articles/PMC12889818/</w:t>
        </w:r>
      </w:hyperlink>
    </w:p>
    <w:p>
      <w:r>
        <w:br w:type="page"/>
      </w:r>
    </w:p>
    <w:p>
      <w:pPr>
        <w:spacing w:after="3000"/>
      </w:pPr>
      <w:r>
        <w:t xml:space="preserve"/>
      </w:r>
    </w:p>
    <w:p>
      <w:pPr>
        <w:spacing w:after="200"/>
        <w:jc w:val="center"/>
      </w:pPr>
      <w:r>
        <w:rPr>
          <w:b/>
          <w:bCs/>
          <w:color w:val="888888"/>
          <w:sz w:val="32"/>
          <w:szCs w:val="32"/>
        </w:rPr>
        <w:t xml:space="preserve">Part II</w:t>
      </w:r>
    </w:p>
    <w:p>
      <w:pPr>
        <w:spacing w:after="0"/>
        <w:jc w:val="center"/>
      </w:pPr>
      <w:r>
        <w:rPr>
          <w:b/>
          <w:bCs/>
          <w:sz w:val="44"/>
          <w:szCs w:val="44"/>
        </w:rPr>
        <w:t xml:space="preserve">Formation of the Pathological Reserve</w:t>
      </w:r>
    </w:p>
    <w:p>
      <w:r>
        <w:br w:type="page"/>
      </w:r>
    </w:p>
    <w:p>
      <w:pPr>
        <w:spacing w:after="60"/>
      </w:pPr>
      <w:r>
        <w:rPr>
          <w:i/>
          <w:iCs/>
          <w:color w:val="666666"/>
        </w:rPr>
        <w:t xml:space="preserve">Framework 1.2 — Part II</w:t>
      </w:r>
    </w:p>
    <w:p>
      <w:pPr>
        <w:spacing w:after="60"/>
      </w:pPr>
      <w:r>
        <w:rPr>
          <w:b/>
          <w:bCs/>
          <w:color w:val="555555"/>
          <w:sz w:val="24"/>
          <w:szCs w:val="24"/>
        </w:rPr>
        <w:t xml:space="preserve">Chapter 5</w:t>
      </w:r>
    </w:p>
    <w:p>
      <w:pPr>
        <w:pStyle w:val="Title"/>
        <w:spacing w:after="100"/>
      </w:pPr>
      <w:r>
        <w:t xml:space="preserve">Dormant Cell Pool</w:t>
      </w:r>
    </w:p>
    <w:p>
      <w:pPr>
        <w:spacing w:after="300"/>
      </w:pPr>
      <w:r>
        <w:rPr>
          <w:i/>
          <w:iCs/>
        </w:rPr>
        <w:t xml:space="preserve">From Physiological Reserve to Autonomous Clonal Reservoir</w:t>
      </w:r>
    </w:p>
    <w:p>
      <w:pPr>
        <w:pStyle w:val="Heading1"/>
        <w:spacing w:after="150" w:before="300"/>
      </w:pPr>
      <w:r>
        <w:rPr>
          <w:b/>
          <w:bCs/>
        </w:rPr>
        <w:t xml:space="preserve">Abstract</w:t>
      </w:r>
    </w:p>
    <w:p>
      <w:pPr>
        <w:spacing w:after="200"/>
      </w:pPr>
      <w:r>
        <w:t xml:space="preserve">One of the central propositions of Framework 1.2 is that dormant cells should not be treated as a descriptive category — cells that happen to have stopped cycling — but as a functional reserve, structurally analogous to the reserve programs that maintain long-term regenerative capacity in normal tissues: hematopoietic stem cells in bone marrow, satellite cells in skeletal muscle, basalis progenitors in the endometrium. This article develops the proposition that oncogenesis does not invent a new biological principle of dormancy; it progressively redirects an already-existing, evolutionarily conserved reserve mechanism away from the tissue and toward the clone. As clonal evolution proceeds, the Dormant Cell Pool detaches from tissue-level regulatory control and becomes committed to sustaining the survival of the pathological clone itself, while the actively proliferating periphery remains expendable and is continuously replenished from the protected reserve. Building on the LLPS-condensation / synaeresis distinction established in the preceding article of this series, we argue that only the physically reversible fraction of the "dormant core" qualifies as true reserve; the rest is misclassified residue. We further argue, against a purely binary reading, that clonal capture of the reserve mechanism is better modeled as a graded, measurable transition — paralleling clonal hematopoiesis of indeterminate potential — than as a single discrete event, and we derive testable predictions from this reframing. A closing section reports how three later case studies in this series (CHIP, lymphoma, and gestational choriocarcinoma) independently supplied exactly the kind of longitudinal, quantitative evidence this article's own predictions called for.</w:t>
      </w:r>
    </w:p>
    <w:p>
      <w:pPr>
        <w:pStyle w:val="Heading1"/>
        <w:spacing w:after="150" w:before="300"/>
      </w:pPr>
      <w:r>
        <w:rPr>
          <w:b/>
          <w:bCs/>
        </w:rPr>
        <w:t xml:space="preserve">1. From Descriptive State to Functional Reserve</w:t>
      </w:r>
    </w:p>
    <w:p>
      <w:pPr>
        <w:spacing w:after="200"/>
      </w:pPr>
      <w:r>
        <w:t xml:space="preserve">Dormant cells are conventionally defined by what they are not doing: not cycling, not synthesizing DNA, not visible on proliferation markers. This is a negative definition. It is adequate for identification but silent on function — it treats dormancy as an absence rather than a role.</w:t>
      </w:r>
    </w:p>
    <w:p>
      <w:pPr>
        <w:spacing w:after="200"/>
      </w:pPr>
      <w:r>
        <w:t xml:space="preserve">A more productive starting point is the concept of the reserve tissue program: a latent regenerative module maintained in a poised, metabolically engaged state by dedicated niche signaling, capable of redeployment when tissue conditions require it, and explicitly distinguished from two superficially similar states — passive quiescence, in which cells simply fail to receive a proliferative signal, and terminal differentiation, in which cells have permanently exited the regenerative pool [1]. Reserve programs are not idle. Their apparent stillness conceals ongoing molecular activity — suppression of translation, metabolic rewiring toward oxidative phosphorylation, stress resistance — whose purpose is readiness rather than rest [2].</w:t>
      </w:r>
    </w:p>
    <w:p>
      <w:pPr>
        <w:spacing w:after="200"/>
      </w:pPr>
      <w:r>
        <w:t xml:space="preserve">Framework 1.2 proposes that the Dormant Cell Pool inside a tumor belongs to this same structural category, operating under the same organizational logic, with one term substituted: the entity the reserve ultimately serves.</w:t>
      </w:r>
    </w:p>
    <w:p>
      <w:pPr>
        <w:pStyle w:val="Heading1"/>
        <w:spacing w:after="150" w:before="300"/>
      </w:pPr>
      <w:r>
        <w:rPr>
          <w:b/>
          <w:bCs/>
        </w:rPr>
        <w:t xml:space="preserve">2. The Physiological Template: Reserve Programs Across Normal Tissues</w:t>
      </w:r>
    </w:p>
    <w:p>
      <w:pPr>
        <w:spacing w:after="200"/>
      </w:pPr>
      <w:r>
        <w:t xml:space="preserve">The reserve-program logic recurs across unrelated organ systems with a consistent architecture. Hematopoietic stem cells (HSCs) are held in stable quiescence within the bone-marrow endosteal niche for decades, retained by Tie2/angiopoietin-1 signaling from osteoblasts and by CXCL12/CXCR4 retention from perivascular stromal cells; disruption of this quiescence causes premature exhaustion of the stem-cell pool and eventual hematopoietic failure [3,4]. Skeletal-muscle satellite cells occupy an analogous niche between the sarcolemma and basal lamina, held in reversible G0 by Notch ligands and extracellular-matrix cues, and are capable of rapid activation, asymmetric division, and return to quiescence across repeated cycles of injury and repair [5]. Endometrial basalis progenitors persist in deep quiescence for years to decades after menopause without hormonal stimulation, and retain full reactivation competence — exogenous estrogen restores premenopausal endometrial thickness regardless of how much time has elapsed [1].</w:t>
      </w:r>
    </w:p>
    <w:p>
      <w:pPr>
        <w:spacing w:after="200"/>
      </w:pPr>
      <w:r>
        <w:t xml:space="preserve">Across these systems, five properties recur, and Framework 1.2 treats them as the operational signature of a true reserve rather than of ordinary quiescence: continuous replenishment of the reserve compartment; continuous mobilization of a fraction of it into active function; a dynamic equilibrium between the reserve and the active compartment rather than a static partition; activation specifically in response to tissue injury or demand; and restoration of reserve numbers after experimental or pathological depletion. Each property is actively maintained by niche signaling — it is not a passive default, and it is lost when niche integrity is lost [1,4].</w:t>
      </w:r>
    </w:p>
    <w:p>
      <w:pPr>
        <w:pStyle w:val="Heading1"/>
        <w:spacing w:after="150" w:before="300"/>
      </w:pPr>
      <w:r>
        <w:rPr>
          <w:b/>
          <w:bCs/>
        </w:rPr>
        <w:t xml:space="preserve">3. Capture Rather than Invention: Oncogenesis as Redirection of a Conserved Mechanism</w:t>
      </w:r>
    </w:p>
    <w:p>
      <w:pPr>
        <w:spacing w:after="200"/>
      </w:pPr>
      <w:r>
        <w:t xml:space="preserve">The hydrogel-architecture article of this series established that the physical substrate of cellular dormancy in the tumor — crowding-induced LLPS condensation, held in place by horizontal, density-dependent suppression at the tissue scale — is not a pathology-specific invention. It is the same class of mechanism, operating on the same physical variables, that holds physiological reserve cells in a poised, low-flux state. What changes across the transition from normal tissue to an established clone is not the arrest mechanism itself but the addressee of reactivation.</w:t>
      </w:r>
    </w:p>
    <w:p>
      <w:pPr>
        <w:spacing w:after="200"/>
      </w:pPr>
      <w:r>
        <w:t xml:space="preserve">In normal tissue, reactivation signals originate in, and serve, the organism: injury, mechanical demand, hormonal cues. Within an established malignant clone, the same category of signal — local depletion of the peripheral proliferative compartment, loss of cells to immune attack or cytotoxic therapy — increasingly originates in, and serves, the clone itself. Oncogenesis, on this reading, is not the invention of a dormancy program. It is the redirection of an already-existing one — a change in which system the reserve is loyal to, not a change in the physics that holds it in reserve.</w:t>
      </w:r>
    </w:p>
    <w:p>
      <w:pPr>
        <w:pStyle w:val="Heading1"/>
        <w:spacing w:after="150" w:before="300"/>
      </w:pPr>
      <w:r>
        <w:rPr>
          <w:b/>
          <w:bCs/>
        </w:rPr>
        <w:t xml:space="preserve">4. From Passive Quiescence to an Active Systemic Property in Malignancy</w:t>
      </w:r>
    </w:p>
    <w:p>
      <w:pPr>
        <w:spacing w:after="200"/>
      </w:pPr>
      <w:r>
        <w:t xml:space="preserve">If the Dormant Cell Pool is a captured reserve program rather than a residual population, its five systemic properties should be traceable in malignancy in the same operational sense as in normal tissue, not merely as a metaphor.</w:t>
      </w:r>
    </w:p>
    <w:p>
      <w:pPr>
        <w:spacing w:after="200"/>
      </w:pPr>
      <w:r>
        <w:t xml:space="preserve">Continuous replenishment is documented directly: disseminated tumor cells (DTCs) that reach a protective niche such as bone marrow can persist there, undetected, for years to decades, continuously available as a substrate for later recurrence [6,7]. Continuous mobilization is the clinical basis of late recurrence itself — hormone-receptor-positive breast cancer can relapse ten, twenty, or more years after apparently curative treatment, a pattern that is difficult to explain by residual growth alone and is instead attributed to episodic reactivation of a dormant compartment [8,9]. Dynamic equilibrium is visible in the coexistence of an actively cycling primary or metastatic lesion with a parallel, non-growing DTC compartment that is neither expanding nor disappearing under standard surveillance [7].</w:t>
      </w:r>
    </w:p>
    <w:p>
      <w:pPr>
        <w:spacing w:after="200"/>
      </w:pPr>
      <w:r>
        <w:t xml:space="preserve">Activation in response to injury has a specific and unsettling literature of its own: the same wound-healing program that reactivates a physiological reserve after tissue damage can reactivate a dormant tumor cell reserve after surgery or systemic stress. Neutrophils activated by tissue injury or infection generate modified lipid mediators that have been shown to convert dormant disseminated tumor cells back into a proliferative state [10]. Restoration after depletion is the mechanistic core of therapy resistance: cytotoxic and targeted therapies deplete the actively cycling compartment efficiently, and the persistence of minimal residual disease afterward is now understood specifically as the survival of a cellular-dormancy compartment, distinct from tumor-mass dormancy, that is by construction the least affected by proliferation-directed therapy [11,12].</w:t>
      </w:r>
    </w:p>
    <w:p>
      <w:pPr>
        <w:pStyle w:val="Heading1"/>
        <w:spacing w:after="150" w:before="300"/>
      </w:pPr>
      <w:r>
        <w:rPr>
          <w:b/>
          <w:bCs/>
        </w:rPr>
        <w:t xml:space="preserve">5. The Two-Compartment Architecture of Clonal Continuity</w:t>
      </w:r>
    </w:p>
    <w:p>
      <w:pPr>
        <w:spacing w:after="200"/>
      </w:pPr>
      <w:r>
        <w:t xml:space="preserve">The preceding article in this series established that the tumor's dense core is not a single population. It separates into a living, physically reversible fraction (crowding-induced LLPS condensation, the true dormant reserve) and an already-dead fraction (synaeresis, reclassified as Littering rather than as a dormant subpopulation with its own prognostic weight). That distinction is the physical anchor of the argument developed here: only the LLPS-reversible fraction can, by definition, serve as a reserve. Synaeretic material cannot be recruited, cannot be mobilized, and cannot restore anything after depletion — it is not part of the reserve under any operational definition of the term, however it is scored histologically.</w:t>
      </w:r>
    </w:p>
    <w:p>
      <w:pPr>
        <w:spacing w:after="200"/>
      </w:pPr>
      <w:r>
        <w:t xml:space="preserve">The tumor periphery, by contrast, is structurally sacrificial. It is mechanically stiffer, metabolically BGR-active, and — as established previously — kinetically chemosensitive: the same CDK1-driven condensate dissolution that keeps peripheral cytoplasm in an active, dividing state also keeps it vulnerable to cytotoxic attack. Immune clearance, chemotherapy, hypoxia, and spontaneous cell death continuously remove peripheral cells as a matter of course, not as a treatment failure. The clone tolerates this loss because it is compensated by recruitment from the protected reserve, in the same way muscle tolerates the loss of activated satellite cells to differentiation because the niche continuously replaces them from the quiescent pool [5]. Peripheral expendability is therefore not an incidental observation about tumor biology; it is the direct, load-bearing counterpart of a protected reserve, and neither compartment is intelligible without the other.</w:t>
      </w:r>
    </w:p>
    <w:p>
      <w:pPr>
        <w:pStyle w:val="Heading1"/>
        <w:spacing w:after="150" w:before="300"/>
      </w:pPr>
      <w:r>
        <w:rPr>
          <w:b/>
          <w:bCs/>
        </w:rPr>
        <w:t xml:space="preserve">6. Niche Capture and Competitive Exclusion: The Clone as Reserve Parasite</w:t>
      </w:r>
    </w:p>
    <w:p>
      <w:pPr>
        <w:spacing w:after="200"/>
      </w:pPr>
      <w:r>
        <w:t xml:space="preserve">The capture proposed here is not only physiological but also spatial and competitive, and this has independent support outside the dormancy literature specifically. Malignant cells frequently occupy the same anatomical niches, and exploit the same homing and retention machinery, that physiological reserve cells use: leukemic and myeloma cells use CXCR4 to home into the hematopoietic stem-cell niche and physically displace resident HSCs from it, while the same CXCR4-dependent quiescence that protects normal HSCs from cycle-dependent chemotherapy is acquired by the cancer cells that have taken their place [13]. In bone metastasis specifically, disseminated tumor cells co-opt the hematopoietic niche as a survival sanctuary, with megakaryocytes and perivascular stromal cells providing physical shielding and dormancy-promoting signaling that were not evolved for this purpose but are appropriated by the clone regardless [14]. More broadly, the molecular machinery that normal stem cells use for niche homing and mobilization is described in the stem-cell literature, independently of this framework, as being "hijacked" by cancer stem cells for their own maintenance and for invasion [15].</w:t>
      </w:r>
    </w:p>
    <w:p>
      <w:pPr>
        <w:spacing w:after="200"/>
      </w:pPr>
      <w:r>
        <w:t xml:space="preserve">Clonal hematopoiesis of indeterminate potential (CHIP) offers an instructive intermediate case that the model should account for rather than avoid. In CHIP, a clone bearing a driver mutation (commonly in DNMT3A, TET2, or ASXL1) expands gradually to dominate the hematopoietic reserve compartment without producing overt hematologic disease and, critically, without any pre-malignant transformation of the reserve cells themselves [16,17]. This is capture already in progress — an existing reserve architecture increasingly occupied by a single clonal lineage — well before it produces a clinically recognizable malignancy. CHIP therefore demonstrates that reserve capture is separable from transformation, and that it can be a slow, partial, and clinically silent process rather than a threshold event, which has direct consequences for how the "decisive moment" in oncogenesis should be modeled. Article 3 of this series develops CHIP in full as a dedicated case.</w:t>
      </w:r>
    </w:p>
    <w:p>
      <w:pPr>
        <w:pStyle w:val="Heading1"/>
        <w:spacing w:after="150" w:before="300"/>
      </w:pPr>
      <w:r>
        <w:rPr>
          <w:b/>
          <w:bCs/>
        </w:rPr>
        <w:t xml:space="preserve">7. Unifying Clinical Phenomena Under One Organizational Principle</w:t>
      </w:r>
    </w:p>
    <w:p>
      <w:pPr>
        <w:spacing w:after="200"/>
      </w:pPr>
      <w:r>
        <w:t xml:space="preserve">Several clinical phenomena that are usually discussed as separate problems become expressions of the same underlying architecture once the Dormant Cell Pool is treated as a captured reserve.</w:t>
      </w:r>
    </w:p>
    <w:p>
      <w:pPr>
        <w:spacing w:after="200"/>
      </w:pPr>
      <w:r>
        <w:t xml:space="preserve">Tumor dormancy and minimal residual disease are, on this view, the same object described at different scales: a population maintained in a reversible, low-proliferative state at a protected site, continuously available for reactivation [11,12]. Late recurrence after apparently curative therapy — documented directly through the detection of disseminated tumor cells in bone marrow that predict relapse ten to twenty years later — follows naturally from a reserve that restores itself after depletion of the periphery rather than from unusually slow residual growth [6,9]. Spatial heterogeneity across a tumor mass is the expected signature of a system in which different regions sit at different points along the same LLPS-condensation → synaeresis axis, layered by the time since the proliferative front passed over them, as developed in the preceding article. Therapy resistance acquires a structural, rather than purely mutational, explanation: the compartment most protected from proliferation-directed therapy is, by construction, the reserve, and CXCR4-dependent quiescence has been shown directly to shield leukemic and myeloma cells from chemotherapies that act preferentially on cycling cells [13]. Continuous clonal evolution, in Nowell's original formulation, proceeds through stepwise selection of increasingly aggressive sublines within a single clone of origin [18]; a protected reserve compartment is exactly the structure that would allow such selection to continue across therapeutic bottlenecks that eliminate the exposed periphery, since the sublines under selection persist in the one compartment that treatment does not efficiently reach.</w:t>
      </w:r>
    </w:p>
    <w:p>
      <w:pPr>
        <w:pStyle w:val="Heading1"/>
        <w:spacing w:after="150" w:before="300"/>
      </w:pPr>
      <w:r>
        <w:rPr>
          <w:b/>
          <w:bCs/>
        </w:rPr>
        <w:t xml:space="preserve">8. Redefining the Decisive Event: A Graded Capture Rather Than a Single Switch</w:t>
      </w:r>
    </w:p>
    <w:p>
      <w:pPr>
        <w:spacing w:after="200"/>
      </w:pPr>
      <w:r>
        <w:t xml:space="preserve">The strongest form of the reserve-capture proposition treats the decisive event in oncogenesis as a moment: the point at which a physiological reserve, built to preserve the organism, becomes an autonomous reserve serving only the pathological clone. The CHIP precedent argues for revising this into a graded rather than a binary claim. If a clonal lineage can occupy an increasing share of a reserve compartment for years, under full physiological regulation and without malignant transformation, then "capture" is more accurately modeled as a continuous variable — the fraction of the reserve compartment whose recruitment and maintenance signaling has been rerouted to serve one clonal lineage — than as a discrete switch flipped at a single identifiable moment.</w:t>
      </w:r>
    </w:p>
    <w:p>
      <w:pPr>
        <w:spacing w:after="200"/>
      </w:pPr>
      <w:r>
        <w:t xml:space="preserve">This revision does not weaken the central claim; it makes it measurable. It predicts a staging structure: an early stage in which a clone is overrepresented in the reserve compartment but reserve behavior remains organism-directed (the CHIP-like stage); an intermediate stage in which reserve recruitment begins to preferentially replenish the clone's own peripheral losses rather than responding to organismal demand; and a late stage in which the reserve is functionally inseparable from the clone, as described for established solid tumors in the preceding sections. Under this reframing, what should be sought experimentally is not a single capture event but a capture gradient, with the transition between stages as the object of study rather than the endpoint alone.</w:t>
      </w:r>
    </w:p>
    <w:p>
      <w:pPr>
        <w:pStyle w:val="Heading1"/>
        <w:spacing w:after="150" w:before="300"/>
      </w:pPr>
      <w:r>
        <w:rPr>
          <w:b/>
          <w:bCs/>
        </w:rPr>
        <w:t xml:space="preserve">9. Downstream Confirmation: The Capture Gradient and the Reserve Signature in Later Case Studies</w:t>
      </w:r>
    </w:p>
    <w:p>
      <w:pPr>
        <w:spacing w:after="200"/>
      </w:pPr>
      <w:r>
        <w:t xml:space="preserve">This article's central methodological move — replacing a discrete capture switch with a measurable capture gradient, and treating reserve status as an active signaling property rather than a passive absence of cycling — generated specific, falsifiable expectations (Section 8; Testable Predictions below) that this article, drawing only on the 2014-era CHIP literature and general reserve-tissue biology, could not itself test at population scale. Three later case studies in this series independently supplied exactly this kind of evidence.</w:t>
      </w:r>
    </w:p>
    <w:p>
      <w:pPr>
        <w:spacing w:after="200"/>
      </w:pPr>
      <w:r>
        <w:t xml:space="preserve">Article 3 extends the CHIP precedent used in Section 6 from a qualitative existence proof into a longitudinally tracked, quantitative capture gradient, directly confirming that reserve capture can be measured continuously rather than inferred from a single time point. Article 6 (lymphoma) supplied a second, independent instance at true population scale: the t(14;18) BCL2 translocation, tracked in a prospective cohort of over half a million healthy individuals, showed a measurably rising Mess Clone frequency detectable up to fifteen years before clinical diagnosis of follicular lymphoma — a direct, human, population-level demonstration of the graded capture gradient this article could previously motivate only by analogy to CHIP. That same article's account of watch-and-wait management in indolent lymphoma independently confirms Section 7's unifying claim that tumor dormancy and minimal residual disease are the same object at different clinical scales: oncologists have been managing a malignant reserve compartment as a monitored, stable entity, in named clinical practice, without describing it in these terms.</w:t>
      </w:r>
    </w:p>
    <w:p>
      <w:pPr>
        <w:spacing w:after="200"/>
      </w:pPr>
      <w:r>
        <w:t xml:space="preserve">Article 7 (gestational choriocarcinoma) sharpens Section 1's distinction between passive quiescence and an actively maintained, metabolically engaged reserve into a specific, mechanistic clinical argument: because hCG is a differentiation-linked secretory output of the actively cycling syncytiotrophoblast rather than a passive marker of cell number, a normalized hCG level is direct evidence against the actively secreting fraction of a clone, but is structurally incapable of ruling out a reserve held in the readiness-without-output state this article's Section 1 describes. This is the clearest available clinical instance of the distinction Section 1 draws in the abstract — reserve cells are not idle, but their activity is not the same activity a differentiation-linked marker is built to detect. Article 7's surgical corollary, in turn, directly operationalizes Section 5's claim that the protected reserve compartment is "by construction the least affected by proliferation-directed therapy": where the reserve resists cytotoxic clearance because it is not in cycle, removing the anatomical niche is the one intervention that does not depend on that assumption.</w:t>
      </w:r>
    </w:p>
    <w:p>
      <w:pPr>
        <w:spacing w:after="200"/>
      </w:pPr>
      <w:r>
        <w:t xml:space="preserve">None of these three articles was designed as a direct test of this document's specific predictions; the convergence is retrospective. It is nonetheless the strongest evidence assembled so far in this series that the reserve-capture framework generalizes across tissue types (bone marrow, lymph node, trophoblast) that share no developmental lineage with one another, constrained only by the shared logic of a physiological reserve program with its addressee redirected.</w:t>
      </w:r>
    </w:p>
    <w:p>
      <w:pPr>
        <w:pStyle w:val="Heading1"/>
        <w:spacing w:after="150" w:before="300"/>
      </w:pPr>
      <w:r>
        <w:rPr>
          <w:b/>
          <w:bCs/>
        </w:rPr>
        <w:t xml:space="preserve">Testable Predictions</w:t>
      </w:r>
    </w:p>
    <w:p>
      <w:pPr>
        <w:pStyle w:val="ListParagraph"/>
        <w:numPr>
          <w:ilvl w:val="0"/>
          <w:numId w:val="1"/>
        </w:numPr>
        <w:spacing w:after="120"/>
      </w:pPr>
      <w:r>
        <w:t xml:space="preserve">The fraction of the LLPS-reversible dormant core that is clonally homogeneous should increase with tumor age and with number of prior treatment cycles, tracking the proposed capture gradient rather than remaining constant.</w:t>
      </w:r>
    </w:p>
    <w:p>
      <w:pPr>
        <w:pStyle w:val="ListParagraph"/>
        <w:numPr>
          <w:ilvl w:val="0"/>
          <w:numId w:val="1"/>
        </w:numPr>
        <w:spacing w:after="120"/>
      </w:pPr>
      <w:r>
        <w:t xml:space="preserve">Disseminated tumor cells recovered from protected niches (bone marrow, in particular) should show markers of active, niche-dependent maintenance signaling — not merely cell-cycle arrest — distinguishing them from passively quiescent cells that have simply failed to receive a proliferative cue.</w:t>
      </w:r>
    </w:p>
    <w:p>
      <w:pPr>
        <w:pStyle w:val="ListParagraph"/>
        <w:numPr>
          <w:ilvl w:val="0"/>
          <w:numId w:val="1"/>
        </w:numPr>
        <w:spacing w:after="120"/>
      </w:pPr>
      <w:r>
        <w:t xml:space="preserve">Clonal diversity should be measurably lower within the protected dormant reserve than at the proliferative periphery of the same tumor at a matched time point, since reserve occupancy is expected to favor a narrower set of lineages than the exposed, rapidly turning-over periphery.</w:t>
      </w:r>
    </w:p>
    <w:p>
      <w:pPr>
        <w:pStyle w:val="ListParagraph"/>
        <w:numPr>
          <w:ilvl w:val="0"/>
          <w:numId w:val="1"/>
        </w:numPr>
        <w:spacing w:after="120"/>
      </w:pPr>
      <w:r>
        <w:t xml:space="preserve">Experimental depletion of the peripheral proliferative compartment (by debulking, radiotherapy, or targeted cytotoxicity) should trigger measurable recruitment from the LLPS-reversible reserve within a defined time window, analogous to satellite-cell mobilization after muscle injury.</w:t>
      </w:r>
    </w:p>
    <w:p>
      <w:pPr>
        <w:pStyle w:val="ListParagraph"/>
        <w:numPr>
          <w:ilvl w:val="0"/>
          <w:numId w:val="1"/>
        </w:numPr>
        <w:spacing w:after="120"/>
      </w:pPr>
      <w:r>
        <w:t xml:space="preserve">Niche-competition markers already described for hematopoietic malignancies (CXCR4-dependent homing, physical displacement of resident stem/progenitor cells) should be detectable, at lower magnitude, in the peri-necrotic or peri-vascular niches occupied by dormant solid-tumor cells.</w:t>
      </w:r>
    </w:p>
    <w:p>
      <w:pPr>
        <w:pStyle w:val="ListParagraph"/>
        <w:numPr>
          <w:ilvl w:val="0"/>
          <w:numId w:val="1"/>
        </w:numPr>
        <w:spacing w:after="120"/>
      </w:pPr>
      <w:r>
        <w:t xml:space="preserve">Wound-healing or injury signaling in a treated patient (surgical intervention, infection, unrelated tissue trauma) should correlate with an elevated short-term hazard of detectable reactivation from a previously stable dormant compartment, mirroring the neutrophil-lipid reactivation mechanism documented in animal models.</w:t>
      </w:r>
    </w:p>
    <w:p>
      <w:pPr>
        <w:pStyle w:val="ListParagraph"/>
        <w:numPr>
          <w:ilvl w:val="0"/>
          <w:numId w:val="1"/>
        </w:numPr>
        <w:spacing w:after="120"/>
      </w:pPr>
      <w:r>
        <w:t xml:space="preserve">A staged CHIP-like intermediate should be identifiable in solid-tumor precursor states (e.g., field cancerization, premalignant lesions): clonal overrepresentation within a tissue's normal reserve compartment, without transformation of the reserve cells themselves, preceding overt malignancy by a measurable interval.</w:t>
      </w:r>
    </w:p>
    <w:p>
      <w:pPr>
        <w:pStyle w:val="ListParagraph"/>
        <w:numPr>
          <w:ilvl w:val="0"/>
          <w:numId w:val="1"/>
        </w:numPr>
        <w:spacing w:after="120"/>
      </w:pPr>
      <w:r>
        <w:t xml:space="preserve">Late recurrences arising after a longer dormancy interval should show, on average, position further along the LLPS-condensation → synaeresis axis at reactivation than recurrences arising after a shorter interval, if reserve layering accumulates with time as proposed in the preceding article of this series.</w:t>
      </w:r>
    </w:p>
    <w:p>
      <w:pPr>
        <w:pStyle w:val="ListParagraph"/>
        <w:numPr>
          <w:ilvl w:val="0"/>
          <w:numId w:val="1"/>
        </w:numPr>
        <w:spacing w:after="120"/>
      </w:pPr>
      <w:r>
        <w:t xml:space="preserve">The secretory-silence pattern identified for hCG in gestational choriocarcinoma (Section 9) should generalize to other reserve-derived malignancies with a well-characterized, differentiation-linked secreted marker (e.g., PSA in prostate cancer bone marrow micrometastases): marker normalization should predict clearance of the actively secreting fraction without predicting clearance of a non-secretory reserve, testable by comparing marker-negative remission rates against direct tissue or niche sampling.</w:t>
      </w:r>
    </w:p>
    <w:p>
      <w:pPr>
        <w:pStyle w:val="Heading1"/>
        <w:spacing w:after="150" w:before="300"/>
      </w:pPr>
      <w:r>
        <w:rPr>
          <w:b/>
          <w:bCs/>
        </w:rPr>
        <w:t xml:space="preserve">Limitations</w:t>
      </w:r>
    </w:p>
    <w:p>
      <w:pPr>
        <w:pStyle w:val="ListParagraph"/>
        <w:numPr>
          <w:ilvl w:val="0"/>
          <w:numId w:val="1"/>
        </w:numPr>
        <w:spacing w:after="120"/>
      </w:pPr>
      <w:r>
        <w:t xml:space="preserve">Reserve-Program Analogy — The mapping from physiological reserve programs (HSC, satellite cell, endometrial) onto the tumor Dormant Cell Pool is an explicit structural analogy. It is supported by shared operational properties and, in places, by shared molecular machinery (CXCR4, niche competition), but it has not been demonstrated that the same regulatory circuitry is reused wholesale rather than convergently re-derived.</w:t>
      </w:r>
    </w:p>
    <w:p>
      <w:pPr>
        <w:pStyle w:val="ListParagraph"/>
        <w:numPr>
          <w:ilvl w:val="0"/>
          <w:numId w:val="1"/>
        </w:numPr>
        <w:spacing w:after="120"/>
      </w:pPr>
      <w:r>
        <w:t xml:space="preserve">Capture Gradient — The staged, graded model of reserve capture proposed in Section 8 is presented as a refinement motivated by the CHIP precedent, not as an established finding in solid tumors; direct evidence for intermediate capture stages in solid-tumor dormancy specifically remains to be generated, notwithstanding the population-scale confirmation Article 6 supplies for hematolymphoid disease specifically.</w:t>
      </w:r>
    </w:p>
    <w:p>
      <w:pPr>
        <w:pStyle w:val="ListParagraph"/>
        <w:numPr>
          <w:ilvl w:val="0"/>
          <w:numId w:val="1"/>
        </w:numPr>
        <w:spacing w:after="120"/>
      </w:pPr>
      <w:r>
        <w:t xml:space="preserve">Injury-Reactivation Generality — The neutrophil-lipid reactivation mechanism cited in Section 4 is documented in specific experimental models; its generalizability across tumor types and injury contexts, and its quantitative contribution to clinical recurrence rates, is not yet established.</w:t>
      </w:r>
    </w:p>
    <w:p>
      <w:pPr>
        <w:pStyle w:val="ListParagraph"/>
        <w:numPr>
          <w:ilvl w:val="0"/>
          <w:numId w:val="1"/>
        </w:numPr>
        <w:spacing w:after="120"/>
      </w:pPr>
      <w:r>
        <w:t xml:space="preserve">Retrospective Convergence — Section 9's confirmation from Articles 3, 6, and 7 is observed rather than pre-registered: none of those articles was designed as a direct test of this document's specific predictions, and the convergence, while methodologically meaningful across three unrelated tissue systems, should be weighted accordingly rather than treated as equivalent to a prospectively designed validation study.</w:t>
      </w:r>
    </w:p>
    <w:p>
      <w:pPr>
        <w:pStyle w:val="Heading1"/>
        <w:spacing w:after="150" w:before="300"/>
      </w:pPr>
      <w:r>
        <w:rPr>
          <w:b/>
          <w:bCs/>
        </w:rPr>
        <w:t xml:space="preserve">References</w:t>
      </w:r>
    </w:p>
    <w:p>
      <w:pPr>
        <w:spacing w:after="200"/>
      </w:pPr>
      <w:r>
        <w:t xml:space="preserve">1. de Morree A, Rando TA. Regulation of adult stem cell quiescence and its functions in the maintenance of tissue integrity. Nat Rev Mol Cell Biol. 2023. </w:t>
      </w:r>
      <w:hyperlink w:history="1" r:id="rIdliwxfpnzr7thxtmqksg_t">
        <w:r>
          <w:rPr>
            <w:rStyle w:val="Hyperlink"/>
            <w:color w:val="0563C1"/>
            <w:u w:val="single"/>
          </w:rPr>
          <w:t xml:space="preserve">https://www.nature.com/articles/s41580-022-00568-6</w:t>
        </w:r>
      </w:hyperlink>
    </w:p>
    <w:p>
      <w:pPr>
        <w:spacing w:after="200"/>
      </w:pPr>
      <w:r>
        <w:t xml:space="preserve">2. Tümpel S, Rudolph KL. Quiescence: Good and Bad of Stem Cell Aging. Trends Cell Biol. 2019. </w:t>
      </w:r>
      <w:hyperlink w:history="1" r:id="rIdcj6fc_stzdm8tewjksvbk">
        <w:r>
          <w:rPr>
            <w:rStyle w:val="Hyperlink"/>
            <w:color w:val="0563C1"/>
            <w:u w:val="single"/>
          </w:rPr>
          <w:t xml:space="preserve">https://www.cell.com/trends/cell-biology/fulltext/S0962-8924(19)30079-0</w:t>
        </w:r>
      </w:hyperlink>
    </w:p>
    <w:p>
      <w:pPr>
        <w:spacing w:after="200"/>
      </w:pPr>
      <w:r>
        <w:t xml:space="preserve">3. Arai F, et al. Tie2/angiopoietin-1 signaling regulates hematopoietic stem cell quiescence in the bone marrow niche. Cell. 2004. </w:t>
      </w:r>
      <w:hyperlink w:history="1" r:id="rId_2fjmpb7pivvrknzt6-jt">
        <w:r>
          <w:rPr>
            <w:rStyle w:val="Hyperlink"/>
            <w:color w:val="0563C1"/>
            <w:u w:val="single"/>
          </w:rPr>
          <w:t xml:space="preserve">https://pubmed.ncbi.nlm.nih.gov/15260986/</w:t>
        </w:r>
      </w:hyperlink>
    </w:p>
    <w:p>
      <w:pPr>
        <w:spacing w:after="200"/>
      </w:pPr>
      <w:r>
        <w:t xml:space="preserve">4. Rettkowski J, Cabezas-Wallscheid N. Regulation of Hematopoietic Stem Cell Dormancy and Quiescence: Insights into Regeneration and Disease. Annu Rev Cell Dev Biol. 2025. </w:t>
      </w:r>
      <w:hyperlink w:history="1" r:id="rIdm8u0fsvlu5qcvvqhw6bz6">
        <w:r>
          <w:rPr>
            <w:rStyle w:val="Hyperlink"/>
            <w:color w:val="0563C1"/>
            <w:u w:val="single"/>
          </w:rPr>
          <w:t xml:space="preserve">https://www.annualreviews.org/content/journals/10.1146/annurev-cellbio-101323-023806</w:t>
        </w:r>
      </w:hyperlink>
    </w:p>
    <w:p>
      <w:pPr>
        <w:spacing w:after="200"/>
      </w:pPr>
      <w:r>
        <w:t xml:space="preserve">5. Sousa-Victor P, et al. Geriatric muscle stem cells switch reversible quiescence into senescence. Nature. 2014. </w:t>
      </w:r>
      <w:hyperlink w:history="1" r:id="rIdd2gbgwccsaqowcztgqpri">
        <w:r>
          <w:rPr>
            <w:rStyle w:val="Hyperlink"/>
            <w:color w:val="0563C1"/>
            <w:u w:val="single"/>
          </w:rPr>
          <w:t xml:space="preserve">https://pubmed.ncbi.nlm.nih.gov/24522534/</w:t>
        </w:r>
      </w:hyperlink>
    </w:p>
    <w:p>
      <w:pPr>
        <w:spacing w:after="200"/>
      </w:pPr>
      <w:r>
        <w:t xml:space="preserve">6. Werner-Klein M, et al. Detection of disseminated tumor cells in bone marrow predicts late recurrences in operable breast cancer patients. </w:t>
      </w:r>
      <w:hyperlink w:history="1" r:id="rId0syjgwo3nljutqsatdxyx">
        <w:r>
          <w:rPr>
            <w:rStyle w:val="Hyperlink"/>
            <w:color w:val="0563C1"/>
            <w:u w:val="single"/>
          </w:rPr>
          <w:t xml:space="preserve">https://pmc.ncbi.nlm.nih.gov/articles/PMC6873493/</w:t>
        </w:r>
      </w:hyperlink>
    </w:p>
    <w:p>
      <w:pPr>
        <w:spacing w:after="200"/>
      </w:pPr>
      <w:r>
        <w:t xml:space="preserve">7. Minimal residual disease in breast cancer: an overview of circulating and disseminated tumour cells. Clin Exp Metastasis. </w:t>
      </w:r>
      <w:hyperlink w:history="1" r:id="rIdyrgdqzyunksdqdmiichyb">
        <w:r>
          <w:rPr>
            <w:rStyle w:val="Hyperlink"/>
            <w:color w:val="0563C1"/>
            <w:u w:val="single"/>
          </w:rPr>
          <w:t xml:space="preserve">https://pmc.ncbi.nlm.nih.gov/articles/PMC4947105/</w:t>
        </w:r>
      </w:hyperlink>
    </w:p>
    <w:p>
      <w:pPr>
        <w:spacing w:after="200"/>
      </w:pPr>
      <w:r>
        <w:t xml:space="preserve">8. Therapeutic Targeting of Minimal Residual Disease to Prevent Late Recurrence in Hormone-Receptor Positive Breast Cancer. </w:t>
      </w:r>
      <w:hyperlink w:history="1" r:id="rIdzxw5y2q4cyj6p8ispu-n3">
        <w:r>
          <w:rPr>
            <w:rStyle w:val="Hyperlink"/>
            <w:color w:val="0563C1"/>
            <w:u w:val="single"/>
          </w:rPr>
          <w:t xml:space="preserve">https://pmc.ncbi.nlm.nih.gov/articles/PMC8867255/</w:t>
        </w:r>
      </w:hyperlink>
    </w:p>
    <w:p>
      <w:pPr>
        <w:spacing w:after="200"/>
      </w:pPr>
      <w:r>
        <w:t xml:space="preserve">9. Liquid biopsy for monitoring of tumor dormancy and early detection of disease recurrence in solid tumors. </w:t>
      </w:r>
      <w:hyperlink w:history="1" r:id="rIdple1fktyeg1iu_hhjay43">
        <w:r>
          <w:rPr>
            <w:rStyle w:val="Hyperlink"/>
            <w:color w:val="0563C1"/>
            <w:u w:val="single"/>
          </w:rPr>
          <w:t xml:space="preserve">https://www.ncbi.nlm.nih.gov/pmc/articles/PMC10014694/</w:t>
        </w:r>
      </w:hyperlink>
    </w:p>
    <w:p>
      <w:pPr>
        <w:spacing w:after="200"/>
      </w:pPr>
      <w:r>
        <w:t xml:space="preserve">10. Reactivation of dormant tumor cells by modified lipids derived from stress-activated neutrophils. Science Translational Medicine. </w:t>
      </w:r>
      <w:hyperlink w:history="1" r:id="rIdmcgsnhtupehmqwkdepvll">
        <w:r>
          <w:rPr>
            <w:rStyle w:val="Hyperlink"/>
            <w:color w:val="0563C1"/>
            <w:u w:val="single"/>
          </w:rPr>
          <w:t xml:space="preserve">https://www.science.org/doi/10.1126/scitranslmed.abb5817</w:t>
        </w:r>
      </w:hyperlink>
    </w:p>
    <w:p>
      <w:pPr>
        <w:spacing w:after="200"/>
      </w:pPr>
      <w:r>
        <w:t xml:space="preserve">11. Aguirre-Ghiso JA. Models, mechanisms and clinical evidence for cancer dormancy. Nat Rev Cancer. 2007. </w:t>
      </w:r>
      <w:hyperlink w:history="1" r:id="rIdgs3k8ttrbe_c-6uxam8ia">
        <w:r>
          <w:rPr>
            <w:rStyle w:val="Hyperlink"/>
            <w:color w:val="0563C1"/>
            <w:u w:val="single"/>
          </w:rPr>
          <w:t xml:space="preserve">https://pmc.ncbi.nlm.nih.gov/articles/PMC2519109/</w:t>
        </w:r>
      </w:hyperlink>
    </w:p>
    <w:p>
      <w:pPr>
        <w:spacing w:after="200"/>
      </w:pPr>
      <w:r>
        <w:t xml:space="preserve">12. Cellular dormancy in minimal residual disease following targeted therapy. Breast Cancer Research. </w:t>
      </w:r>
      <w:hyperlink w:history="1" r:id="rId--mkfwvvk0i6mgrkeusgi">
        <w:r>
          <w:rPr>
            <w:rStyle w:val="Hyperlink"/>
            <w:color w:val="0563C1"/>
            <w:u w:val="single"/>
          </w:rPr>
          <w:t xml:space="preserve">https://breast-cancer-research.biomedcentral.com/articles/10.1186/s13058-021-01416-9</w:t>
        </w:r>
      </w:hyperlink>
    </w:p>
    <w:p>
      <w:pPr>
        <w:spacing w:after="200"/>
      </w:pPr>
      <w:r>
        <w:t xml:space="preserve">13. Stem Cell Competition: Finding Balance in the Niche. </w:t>
      </w:r>
      <w:hyperlink w:history="1" r:id="rIdhbj_souiygyln6k-jxun7">
        <w:r>
          <w:rPr>
            <w:rStyle w:val="Hyperlink"/>
            <w:color w:val="0563C1"/>
            <w:u w:val="single"/>
          </w:rPr>
          <w:t xml:space="preserve">https://pmc.ncbi.nlm.nih.gov/articles/PMC3729747/</w:t>
        </w:r>
      </w:hyperlink>
    </w:p>
    <w:p>
      <w:pPr>
        <w:spacing w:after="200"/>
      </w:pPr>
      <w:r>
        <w:t xml:space="preserve">14. Hematopoietic Niche Hijacking in Bone Metastases: Roles of Megakaryocytes, Erythroid Lineage Cells, and Perivascular Stromal Subsets. </w:t>
      </w:r>
      <w:hyperlink w:history="1" r:id="rIdotoh_jgie1hjoomvs-vit">
        <w:r>
          <w:rPr>
            <w:rStyle w:val="Hyperlink"/>
            <w:color w:val="0563C1"/>
            <w:u w:val="single"/>
          </w:rPr>
          <w:t xml:space="preserve">https://www.ncbi.nlm.nih.gov/pmc/articles/PMC12838584/</w:t>
        </w:r>
      </w:hyperlink>
    </w:p>
    <w:p>
      <w:pPr>
        <w:spacing w:after="200"/>
      </w:pPr>
      <w:r>
        <w:t xml:space="preserve">15. Normal Stem Cells and Cancer Stem Cells: The Niche Matters. Cancer Research. </w:t>
      </w:r>
      <w:hyperlink w:history="1" r:id="rId-uog03w6ye-v5ky7drlf-">
        <w:r>
          <w:rPr>
            <w:rStyle w:val="Hyperlink"/>
            <w:color w:val="0563C1"/>
            <w:u w:val="single"/>
          </w:rPr>
          <w:t xml:space="preserve">https://aacrjournals.org/cancerres/article/66/9/4553/532836/Normal-Stem-Cells-and-Cancer-Stem-Cells-The-Niche</w:t>
        </w:r>
      </w:hyperlink>
    </w:p>
    <w:p>
      <w:pPr>
        <w:spacing w:after="200"/>
      </w:pPr>
      <w:r>
        <w:t xml:space="preserve">16. Genovese G, et al. Clonal hematopoiesis and blood-cancer risk inferred from blood DNA sequence. N Engl J Med. 2014. </w:t>
      </w:r>
      <w:hyperlink w:history="1" r:id="rIdjsrbb6gookctc41he1mav">
        <w:r>
          <w:rPr>
            <w:rStyle w:val="Hyperlink"/>
            <w:color w:val="0563C1"/>
            <w:u w:val="single"/>
          </w:rPr>
          <w:t xml:space="preserve">https://pubmed.ncbi.nlm.nih.gov/25426838/</w:t>
        </w:r>
      </w:hyperlink>
    </w:p>
    <w:p>
      <w:pPr>
        <w:spacing w:after="200"/>
      </w:pPr>
      <w:r>
        <w:t xml:space="preserve">17. Jaiswal S, et al. Age-related clonal hematopoiesis associated with adverse outcomes. N Engl J Med. 2014. </w:t>
      </w:r>
      <w:hyperlink w:history="1" r:id="rIdtumfpneejxea9khrubszx">
        <w:r>
          <w:rPr>
            <w:rStyle w:val="Hyperlink"/>
            <w:color w:val="0563C1"/>
            <w:u w:val="single"/>
          </w:rPr>
          <w:t xml:space="preserve">https://pubmed.ncbi.nlm.nih.gov/25426837/</w:t>
        </w:r>
      </w:hyperlink>
    </w:p>
    <w:p>
      <w:pPr>
        <w:spacing w:after="200"/>
      </w:pPr>
      <w:r>
        <w:t xml:space="preserve">18. Nowell PC. The clonal evolution of tumor cell populations. Science. 1976. </w:t>
      </w:r>
      <w:hyperlink w:history="1" r:id="rId2ymzidcv1o7r0c0xsr3q8">
        <w:r>
          <w:rPr>
            <w:rStyle w:val="Hyperlink"/>
            <w:color w:val="0563C1"/>
            <w:u w:val="single"/>
          </w:rPr>
          <w:t xml:space="preserve">https://www.science.org/doi/10.1126/science.959840</w:t>
        </w:r>
      </w:hyperlink>
    </w:p>
    <w:p>
      <w:r>
        <w:br w:type="page"/>
      </w:r>
    </w:p>
    <w:p>
      <w:pPr>
        <w:spacing w:after="60"/>
      </w:pPr>
      <w:r>
        <w:rPr>
          <w:i/>
          <w:iCs/>
          <w:color w:val="666666"/>
        </w:rPr>
        <w:t xml:space="preserve">Framework 1.2 — Part II</w:t>
      </w:r>
    </w:p>
    <w:p>
      <w:pPr>
        <w:spacing w:after="60"/>
      </w:pPr>
      <w:r>
        <w:rPr>
          <w:b/>
          <w:bCs/>
          <w:color w:val="555555"/>
          <w:sz w:val="24"/>
          <w:szCs w:val="24"/>
        </w:rPr>
        <w:t xml:space="preserve">Chapter 6</w:t>
      </w:r>
    </w:p>
    <w:p>
      <w:pPr>
        <w:pStyle w:val="Title"/>
        <w:spacing w:after="100"/>
      </w:pPr>
      <w:r>
        <w:t xml:space="preserve">CHIP</w:t>
      </w:r>
    </w:p>
    <w:p>
      <w:pPr>
        <w:spacing w:after="300"/>
      </w:pPr>
      <w:r>
        <w:rPr>
          <w:i/>
          <w:iCs/>
        </w:rPr>
        <w:t xml:space="preserve">The Earliest Stage of Reserve Capture</w:t>
      </w:r>
    </w:p>
    <w:p>
      <w:pPr>
        <w:pStyle w:val="Heading1"/>
        <w:spacing w:after="150" w:before="300"/>
      </w:pPr>
      <w:r>
        <w:rPr>
          <w:b/>
          <w:bCs/>
        </w:rPr>
        <w:t xml:space="preserve">Abstract</w:t>
      </w:r>
    </w:p>
    <w:p>
      <w:pPr>
        <w:spacing w:after="200"/>
      </w:pPr>
      <w:r>
        <w:t xml:space="preserve">Clonal hematopoiesis of indeterminate potential (CHIP) offers the clearest available human model of the Mess Clone → Peripheral Selection stage of Framework 1.2: a genetically defined, epidemiologically common, longitudinally trackable clonal expansion that proceeds without malignant transformation in the majority of carriers. This article assembles the literature on CHIP's self-reinforcing inflammatory feedback loop, its niche remodeling in the bone marrow, and its systemic (multi-organ) consequences, and maps these findings onto the Cellular Mess / L&amp;C framework.</w:t>
      </w:r>
    </w:p>
    <w:p>
      <w:pPr>
        <w:pStyle w:val="Heading1"/>
        <w:spacing w:after="150" w:before="300"/>
      </w:pPr>
      <w:r>
        <w:rPr>
          <w:b/>
          <w:bCs/>
        </w:rPr>
        <w:t xml:space="preserve">1. CHIP as an Observable Instance of Mess Clone</w:t>
      </w:r>
    </w:p>
    <w:p>
      <w:pPr>
        <w:spacing w:after="200"/>
      </w:pPr>
      <w:r>
        <w:t xml:space="preserve">CHIP is defined as clonal expansion of hematopoietic stem and progenitor cells (HSPCs) carrying a driver mutation, most commonly in the epigenetic regulators DNMT3A, TET2, or ASXL1, in an individual with no morphological evidence of a hematological neoplasm and a mutant allele fraction of at least 2% in peripheral blood. In Framework 1.2 terms, this is a Mess Clone captured mid-selection: a population already showing increased clonal variability relative to the surrounding normal hematopoietic compartment, not yet a Pathologic Clone, and trackable over years without biopsy.</w:t>
      </w:r>
    </w:p>
    <w:p>
      <w:pPr>
        <w:pStyle w:val="Heading1"/>
        <w:spacing w:after="150" w:before="300"/>
      </w:pPr>
      <w:r>
        <w:rPr>
          <w:b/>
          <w:bCs/>
        </w:rPr>
        <w:t xml:space="preserve">2. The Self-Reinforcing Loop: Inflammaging Meets Clonal Selection</w:t>
      </w:r>
    </w:p>
    <w:p>
      <w:pPr>
        <w:spacing w:after="200"/>
      </w:pPr>
      <w:r>
        <w:t xml:space="preserve">The most consequential finding for the model is bidirectional: inflammaging causes functional impairment of normal HSCs, including reduced self-renewal potential, while CHIP-mutant HSCs are not only resistant to this inflammaging-induced decline but actively gain a selective expansion advantage in an inflammatory environment. This is a closed feed-forward loop rather than a one-way cause: chronic inflammation exerts selective pressure that promotes aberrant expansion of CHIP-mutant HSPCs, and this is further reinforced by mutant myeloid progeny that sustain or amplify the inflammatory response itself.</w:t>
      </w:r>
    </w:p>
    <w:p>
      <w:pPr>
        <w:spacing w:after="200"/>
      </w:pPr>
      <w:r>
        <w:t xml:space="preserve">This maps directly onto Peripheral Selection as formulated for solid tumors: a locally elevated signal (there, BGR; here, inflammatory cytokine tone) does not merely tolerate the abnormal clone but actively favors it over the normal population occupying the same niche, while the clone's own output sustains the very signal that favors it.</w:t>
      </w:r>
    </w:p>
    <w:p>
      <w:pPr>
        <w:pStyle w:val="Heading1"/>
        <w:spacing w:after="150" w:before="300"/>
      </w:pPr>
      <w:r>
        <w:rPr>
          <w:b/>
          <w:bCs/>
        </w:rPr>
        <w:t xml:space="preserve">3. The Molecular Content of the Loop</w:t>
      </w:r>
    </w:p>
    <w:p>
      <w:pPr>
        <w:spacing w:after="200"/>
      </w:pPr>
      <w:r>
        <w:t xml:space="preserve">Mutant myeloid progeny in CHIP secrete elevated IL-1β, IL-6, and TNF-α and show a skew toward M1 macrophage polarization, driving systemic immune dysregulation. This connects directly to the macrophage-dormancy material developed elsewhere in the series: the same M1 polarization state shown to reverse dormancy back to proliferation is here shown to be a downstream product of the CHIP clone itself — meaning the clone may be actively reshaping its macrophage environment away from the dormancy-supporting M2 state, in its own favor.</w:t>
      </w:r>
    </w:p>
    <w:p>
      <w:pPr>
        <w:spacing w:after="200"/>
      </w:pPr>
      <w:r>
        <w:t xml:space="preserve">Notably, the metabolic signature of this inflammatory state does not resemble an energy-deficient (low-BGR) condition. Activated M1 macrophages characteristically show increased glycolysis and pentose phosphate pathway activity — a Warburg-like shift consistent with the "active state" of the three-cellular-states model, not a dormant or energy-starved one. At the clonal level, the DNMT3A mutation itself drives NAMPT overexpression, reprogramming NAD metabolism to support abnormal proliferation, and alters glutathione metabolism — changes that support proliferative activity rather than reflecting energetic deficit.</w:t>
      </w:r>
    </w:p>
    <w:p>
      <w:pPr>
        <w:pStyle w:val="Heading1"/>
        <w:spacing w:after="150" w:before="300"/>
      </w:pPr>
      <w:r>
        <w:rPr>
          <w:b/>
          <w:bCs/>
        </w:rPr>
        <w:t xml:space="preserve">4. Systemic, Not Local, Consequences</w:t>
      </w:r>
    </w:p>
    <w:p>
      <w:pPr>
        <w:spacing w:after="200"/>
      </w:pPr>
      <w:r>
        <w:t xml:space="preserve">CHIP is not confined to the marrow compartment. It is now recognized as a multisystem hub, with mechanistic links extended well beyond hematological malignancy to cardiovascular disease, chronic kidney disease, metabolic disorders, and neurodegenerative conditions, through the shared route of chronic low-grade inflammation. In cardiovascular disease specifically, CHIP-induced systemic inflammation amplifies vascular endothelial damage and complement activation, promoting platelet activation, fibrin deposition, and neutrophil extracellular trap release. In the kidney, mutated macrophages elevate inflammatory cytokines and induce chronic inflammation that epigenetically downregulates renal and macrophage klotho levels.</w:t>
      </w:r>
    </w:p>
    <w:p>
      <w:pPr>
        <w:spacing w:after="200"/>
      </w:pPr>
      <w:r>
        <w:t xml:space="preserve">This systemic reach gives CHIP a property the solid-tumor dormant core lacks: because the clone's output circulates, its selective and inflammatory effects are not confined by the geometric shielding discussed in the Immune Geometry paper (Article 2) — the CHIP clone's local niche advantage and its distant systemic effects are two separable, independently measurable phenomena.</w:t>
      </w:r>
    </w:p>
    <w:p>
      <w:pPr>
        <w:pStyle w:val="Heading1"/>
        <w:spacing w:after="150" w:before="300"/>
      </w:pPr>
      <w:r>
        <w:rPr>
          <w:b/>
          <w:bCs/>
        </w:rPr>
        <w:t xml:space="preserve">5. Weak Single-Mutation Phenotypes: A Caution Against Overfitting</w:t>
      </w:r>
    </w:p>
    <w:p>
      <w:pPr>
        <w:spacing w:after="200"/>
      </w:pPr>
      <w:r>
        <w:t xml:space="preserve">Mouse models recapitulating individual CHIP driver mutations generally show weak phenotypes in hematopoiesis and are, singly, insufficient for myeloid transformation. Single-cell sequencing of AML patients shows that cells carrying single DNMT3A, TET2, or ASXL1 mutations are frequently detected in AML alongside leukemic cells harboring multiple mutations — consistent with a multi-hit, combinatorial-selective progression rather than a single deterministic trigger.</w:t>
      </w:r>
    </w:p>
    <w:p>
      <w:pPr>
        <w:pStyle w:val="Heading1"/>
        <w:spacing w:after="150" w:before="300"/>
      </w:pPr>
      <w:r>
        <w:rPr>
          <w:b/>
          <w:bCs/>
        </w:rPr>
        <w:t xml:space="preserve">6. Directionality Remains Genuinely Contested</w:t>
      </w:r>
    </w:p>
    <w:p>
      <w:pPr>
        <w:spacing w:after="200"/>
      </w:pPr>
      <w:r>
        <w:t xml:space="preserve">Directionality of the CHIP–cardiovascular disease association remains actively debated, and mouse CHIP studies are discordant for clonal expansion and inflammation even for common driver mutations, with disparate effects on macrophage cytokines depending on which driver is studied. The feed-forward loop described in Sections 2–3 is well supported for some mutations and contexts and considerably less settled for others.</w:t>
      </w:r>
    </w:p>
    <w:p>
      <w:pPr>
        <w:pStyle w:val="Heading1"/>
        <w:spacing w:after="150" w:before="300"/>
      </w:pPr>
      <w:r>
        <w:rPr>
          <w:b/>
          <w:bCs/>
        </w:rPr>
        <w:t xml:space="preserve">7. The Bone Marrow Niche in CHIP: Passive Degradation</w:t>
      </w:r>
    </w:p>
    <w:p>
      <w:pPr>
        <w:spacing w:after="200"/>
      </w:pPr>
      <w:r>
        <w:t xml:space="preserve">The bone marrow is physiologically hypoxic even where well vascularized, owing to its high cellular density and oxygen consumption, with oxygen tension falling from endosteal regions toward the center of the marrow cavity. HSCs normally rely on glycolytic metabolism precisely within this hypoxic niche.</w:t>
      </w:r>
    </w:p>
    <w:p>
      <w:pPr>
        <w:spacing w:after="200"/>
      </w:pPr>
      <w:r>
        <w:t xml:space="preserve">With aging and CHIP, the niche degrades along several independent axes at once rather than a single parameter: vascular (declining arteriolar density, increased endothelial permeability, reduced CXCL12/SCF expression), stromal (expansion of aged mesenchymal stromal cells with elevated secretion of pro-inflammatory IL-1α/β and IL-6, impairing HSC self-renewal and inducing myeloid skewing), and cellular (expansion of bone marrow adipocytes with an altered secretory profile — reduced leptin/adiponectin, increased pro-inflammatory signaling).</w:t>
      </w:r>
    </w:p>
    <w:p>
      <w:pPr>
        <w:spacing w:after="200"/>
      </w:pPr>
      <w:r>
        <w:t xml:space="preserve">Specific to CHIP/MDS, a more precise, staged remodeling has been demonstrated: loss of CXCL12-positive adipogenic stromal cells and the emergence of a distinct population of inflammatory mesenchymal stromal cells (iMSCs). Healthy aged individuals and CHIP carriers still activate stromal support, whereas MDS blasts no longer do so and instead actively suppress HSC support.</w:t>
      </w:r>
    </w:p>
    <w:p>
      <w:pPr>
        <w:spacing w:after="200"/>
      </w:pPr>
      <w:r>
        <w:t xml:space="preserve">The defining characteristic of this stage is passivity: the niche deteriorates on its own, a background, undirected process, and the clone merely exploits an already-worsening environment, gaining relative selective advantage through greater resilience to degradation rather than through active construction of an environment favoring itself. This stands in direct contrast to the actively engineered niche seen in frank leukemia (Article 4), and marks the operational boundary between Mess Clone and Pathologic Clone in spatial, niche-level terms.</w:t>
      </w:r>
    </w:p>
    <w:p>
      <w:pPr>
        <w:pStyle w:val="Heading1"/>
        <w:spacing w:after="150" w:before="300"/>
      </w:pPr>
      <w:r>
        <w:rPr>
          <w:b/>
          <w:bCs/>
        </w:rPr>
        <w:t xml:space="preserve">8. Testable Predictions</w:t>
      </w:r>
    </w:p>
    <w:p>
      <w:pPr>
        <w:pStyle w:val="ListParagraph"/>
        <w:numPr>
          <w:ilvl w:val="0"/>
          <w:numId w:val="1"/>
        </w:numPr>
        <w:spacing w:after="120"/>
      </w:pPr>
      <w:r>
        <w:t xml:space="preserve">Longitudinal CHIP clone size should correlate with a measurable, mutation-specific shift in local macrophage M1/M2 ratio, tracked in the same individuals over time.</w:t>
      </w:r>
    </w:p>
    <w:p>
      <w:pPr>
        <w:pStyle w:val="ListParagraph"/>
        <w:numPr>
          <w:ilvl w:val="0"/>
          <w:numId w:val="1"/>
        </w:numPr>
        <w:spacing w:after="120"/>
      </w:pPr>
      <w:r>
        <w:t xml:space="preserve">Systemic inflammatory markers (IL-6, TNF-α) should predict subsequent CHIP clonal expansion rate independent of the specific driver mutation, if the inflammatory loop rather than the mutation itself is the primary selective engine.</w:t>
      </w:r>
    </w:p>
    <w:p>
      <w:pPr>
        <w:pStyle w:val="ListParagraph"/>
        <w:numPr>
          <w:ilvl w:val="0"/>
          <w:numId w:val="1"/>
        </w:numPr>
        <w:spacing w:after="120"/>
      </w:pPr>
      <w:r>
        <w:t xml:space="preserve">Interventions that reduce systemic inflammation (independent of direct hematological targeting) should measurably slow CHIP clonal expansion.</w:t>
      </w:r>
    </w:p>
    <w:p>
      <w:pPr>
        <w:pStyle w:val="ListParagraph"/>
        <w:numPr>
          <w:ilvl w:val="0"/>
          <w:numId w:val="1"/>
        </w:numPr>
        <w:spacing w:after="120"/>
      </w:pPr>
      <w:r>
        <w:t xml:space="preserve">The niche-degradation signature of CHIP (vascular attrition, adipogenic stromal loss, iMSC emergence) should remain passive and non-directional throughout the CHIP stage, and any detected shift toward directional, clone-favoring remodeling (as defined in Article 4) should mark transition toward frank malignancy rather than stable CHIP.</w:t>
      </w:r>
    </w:p>
    <w:p>
      <w:pPr>
        <w:pStyle w:val="Heading1"/>
        <w:spacing w:after="150" w:before="300"/>
      </w:pPr>
      <w:r>
        <w:rPr>
          <w:b/>
          <w:bCs/>
        </w:rPr>
        <w:t xml:space="preserve">References</w:t>
      </w:r>
    </w:p>
    <w:p>
      <w:pPr>
        <w:spacing w:after="200"/>
      </w:pPr>
      <w:r>
        <w:t xml:space="preserve">1. Clonal Hematopoiesis of Indeterminate Potential and Atrial Fibrillation. </w:t>
      </w:r>
      <w:hyperlink w:history="1" r:id="rId0szwfcvdhq6rfnsz0x7yn">
        <w:r>
          <w:rPr>
            <w:rStyle w:val="Hyperlink"/>
            <w:color w:val="0563C1"/>
            <w:u w:val="single"/>
          </w:rPr>
          <w:t xml:space="preserve">https://www.mdpi.com/1422-0067/26/6/2739</w:t>
        </w:r>
      </w:hyperlink>
    </w:p>
    <w:p>
      <w:pPr>
        <w:spacing w:after="200"/>
      </w:pPr>
      <w:r>
        <w:t xml:space="preserve">2. Clonal hematopoiesis and thromboembolic diseases: a review. </w:t>
      </w:r>
      <w:hyperlink w:history="1" r:id="rId5dpyyblve82okyuyisqem">
        <w:r>
          <w:rPr>
            <w:rStyle w:val="Hyperlink"/>
            <w:color w:val="0563C1"/>
            <w:u w:val="single"/>
          </w:rPr>
          <w:t xml:space="preserve">https://www.jthjournal.org/article/S1538-7836(25)00359-9/fulltext</w:t>
        </w:r>
      </w:hyperlink>
    </w:p>
    <w:p>
      <w:pPr>
        <w:spacing w:after="200"/>
      </w:pPr>
      <w:r>
        <w:t xml:space="preserve">3. Common clonal hematopoiesis driver mutations have disparate effects on macrophage cytokines, clonal expansion, and atherogenesis. </w:t>
      </w:r>
      <w:hyperlink w:history="1" r:id="rIdid4tsjibd9xtmcgfnzrrd">
        <w:r>
          <w:rPr>
            <w:rStyle w:val="Hyperlink"/>
            <w:color w:val="0563C1"/>
            <w:u w:val="single"/>
          </w:rPr>
          <w:t xml:space="preserve">https://pmc.ncbi.nlm.nih.gov/articles/PMC12892922/</w:t>
        </w:r>
      </w:hyperlink>
    </w:p>
    <w:p>
      <w:pPr>
        <w:spacing w:after="200"/>
      </w:pPr>
      <w:r>
        <w:t xml:space="preserve">4. Clonal hematopoiesis and associated diseases: A review of recent findings. </w:t>
      </w:r>
      <w:hyperlink w:history="1" r:id="rIdq7awrwo9-9yry3pyiu5x_">
        <w:r>
          <w:rPr>
            <w:rStyle w:val="Hyperlink"/>
            <w:color w:val="0563C1"/>
            <w:u w:val="single"/>
          </w:rPr>
          <w:t xml:space="preserve">https://pmc.ncbi.nlm.nih.gov/articles/PMC8486184/</w:t>
        </w:r>
      </w:hyperlink>
    </w:p>
    <w:p>
      <w:pPr>
        <w:spacing w:after="200"/>
      </w:pPr>
      <w:r>
        <w:t xml:space="preserve">5. Clonal hematopoiesis of indeterminate potential (CHIP): Linking somatic mutations, hematopoiesis, chronic inflammation and cardiovascular disease. </w:t>
      </w:r>
      <w:hyperlink w:history="1" r:id="rIdmxtkitxhx_onj74mlt0l7">
        <w:r>
          <w:rPr>
            <w:rStyle w:val="Hyperlink"/>
            <w:color w:val="0563C1"/>
            <w:u w:val="single"/>
          </w:rPr>
          <w:t xml:space="preserve">https://pubmed.ncbi.nlm.nih.gov/34298011/</w:t>
        </w:r>
      </w:hyperlink>
    </w:p>
    <w:p>
      <w:pPr>
        <w:spacing w:after="200"/>
      </w:pPr>
      <w:r>
        <w:t xml:space="preserve">6. Clonal hematopoiesis of indeterminate potential: contribution to disease and promising interventions. </w:t>
      </w:r>
      <w:hyperlink w:history="1" r:id="rId6pkvhkvonlvihrj_vggnj">
        <w:r>
          <w:rPr>
            <w:rStyle w:val="Hyperlink"/>
            <w:color w:val="0563C1"/>
            <w:u w:val="single"/>
          </w:rPr>
          <w:t xml:space="preserve">https://link.springer.com/article/10.1007/s11010-025-05261-8</w:t>
        </w:r>
      </w:hyperlink>
    </w:p>
    <w:p>
      <w:pPr>
        <w:spacing w:after="200"/>
      </w:pPr>
      <w:r>
        <w:t xml:space="preserve">7. Clonal hematopoiesis of indeterminate potential: a multisystem hub bridging hematopoietic dysfunction with non-hematopoietic diseases. </w:t>
      </w:r>
      <w:hyperlink w:history="1" r:id="rIddsej_1wofp3k5nvolnzkk">
        <w:r>
          <w:rPr>
            <w:rStyle w:val="Hyperlink"/>
            <w:color w:val="0563C1"/>
            <w:u w:val="single"/>
          </w:rPr>
          <w:t xml:space="preserve">https://mmrjournal.biomedcentral.com/articles/10.1186/s40779-025-00654-8</w:t>
        </w:r>
      </w:hyperlink>
    </w:p>
    <w:p>
      <w:pPr>
        <w:spacing w:after="200"/>
      </w:pPr>
      <w:r>
        <w:t xml:space="preserve">8. Inflammaging and clonal hematopoiesis interplay and their impact on human disease. </w:t>
      </w:r>
      <w:hyperlink w:history="1" r:id="rIddc0yy468iaaeszluz_bwf">
        <w:r>
          <w:rPr>
            <w:rStyle w:val="Hyperlink"/>
            <w:color w:val="0563C1"/>
            <w:u w:val="single"/>
          </w:rPr>
          <w:t xml:space="preserve">https://pmc.ncbi.nlm.nih.gov/articles/PMC12795708/</w:t>
        </w:r>
      </w:hyperlink>
    </w:p>
    <w:p>
      <w:pPr>
        <w:spacing w:after="200"/>
      </w:pPr>
      <w:r>
        <w:t xml:space="preserve">9. Epigenetic roles in clonal hematopoiesis and aging kidney-related chronic kidney disease. </w:t>
      </w:r>
      <w:hyperlink w:history="1" r:id="rIdb_fo41rwpgmtgjqyt4sna">
        <w:r>
          <w:rPr>
            <w:rStyle w:val="Hyperlink"/>
            <w:color w:val="0563C1"/>
            <w:u w:val="single"/>
          </w:rPr>
          <w:t xml:space="preserve">https://www.ncbi.nlm.nih.gov/pmc/articles/PMC10623128/</w:t>
        </w:r>
      </w:hyperlink>
    </w:p>
    <w:p>
      <w:pPr>
        <w:spacing w:after="200"/>
      </w:pPr>
      <w:r>
        <w:t xml:space="preserve">10. Glycolytic reprogramming fuels myeloid cell-driven hypercoagulability. </w:t>
      </w:r>
      <w:hyperlink w:history="1" r:id="rIdv5xaayplnxafnvoxhs76w">
        <w:r>
          <w:rPr>
            <w:rStyle w:val="Hyperlink"/>
            <w:color w:val="0563C1"/>
            <w:u w:val="single"/>
          </w:rPr>
          <w:t xml:space="preserve">https://www.biorxiv.org/content/10.1101/2023.04.20.537683.full.pdf</w:t>
        </w:r>
      </w:hyperlink>
    </w:p>
    <w:p>
      <w:pPr>
        <w:spacing w:after="200"/>
      </w:pPr>
      <w:r>
        <w:t xml:space="preserve">11. DNMT3A mutation promotes leukemia development through NAM-NAD metabolic reprogramming. </w:t>
      </w:r>
      <w:hyperlink w:history="1" r:id="rIdpyt68ftizqz6objdnjs3b">
        <w:r>
          <w:rPr>
            <w:rStyle w:val="Hyperlink"/>
            <w:color w:val="0563C1"/>
            <w:u w:val="single"/>
          </w:rPr>
          <w:t xml:space="preserve">https://www.ncbi.nlm.nih.gov/pmc/articles/PMC10355022/</w:t>
        </w:r>
      </w:hyperlink>
    </w:p>
    <w:p>
      <w:pPr>
        <w:spacing w:after="200"/>
      </w:pPr>
      <w:r>
        <w:t xml:space="preserve">12. Novel impact of the DNMT3A R882H mutation on GSH metabolism. </w:t>
      </w:r>
      <w:hyperlink w:history="1" r:id="rId5tpjeuvs0dv8obf461tiw">
        <w:r>
          <w:rPr>
            <w:rStyle w:val="Hyperlink"/>
            <w:color w:val="0563C1"/>
            <w:u w:val="single"/>
          </w:rPr>
          <w:t xml:space="preserve">https://www.ncbi.nlm.nih.gov/pmc/articles/PMC5444751/</w:t>
        </w:r>
      </w:hyperlink>
    </w:p>
    <w:p>
      <w:pPr>
        <w:spacing w:after="200"/>
      </w:pPr>
      <w:r>
        <w:t xml:space="preserve">13. Where Hematopoietic Stem Cells Live: The Bone Marrow Niche. </w:t>
      </w:r>
      <w:hyperlink w:history="1" r:id="rId7qj0asnupzvhfkze3hsty">
        <w:r>
          <w:rPr>
            <w:rStyle w:val="Hyperlink"/>
            <w:color w:val="0563C1"/>
            <w:u w:val="single"/>
          </w:rPr>
          <w:t xml:space="preserve">https://pmc.ncbi.nlm.nih.gov/articles/PMC6016729/</w:t>
        </w:r>
      </w:hyperlink>
    </w:p>
    <w:p>
      <w:pPr>
        <w:spacing w:after="200"/>
      </w:pPr>
      <w:r>
        <w:t xml:space="preserve">14. Bone Marrow Niche Aging: Are Adipocytes Detrimental Cells in the Bone Marrow? </w:t>
      </w:r>
      <w:hyperlink w:history="1" r:id="rId0wntizd3qbuagmzzdggsf">
        <w:r>
          <w:rPr>
            <w:rStyle w:val="Hyperlink"/>
            <w:color w:val="0563C1"/>
            <w:u w:val="single"/>
          </w:rPr>
          <w:t xml:space="preserve">https://pmc.ncbi.nlm.nih.gov/articles/PMC12153897/</w:t>
        </w:r>
      </w:hyperlink>
    </w:p>
    <w:p>
      <w:pPr>
        <w:spacing w:after="200"/>
      </w:pPr>
      <w:r>
        <w:t xml:space="preserve">15. Bone marrow niches for hematopoietic stem cells: life span dynamics and adaptation to acute stress. Blood. </w:t>
      </w:r>
      <w:hyperlink w:history="1" r:id="rIdl196o7ekq3zkhatmjrqzk">
        <w:r>
          <w:rPr>
            <w:rStyle w:val="Hyperlink"/>
            <w:color w:val="0563C1"/>
            <w:u w:val="single"/>
          </w:rPr>
          <w:t xml:space="preserve">https://ashpublications.org/blood/article/144/1/21/515641/Bone-marrow-niches-for-hematopoietic-stem-cells</w:t>
        </w:r>
      </w:hyperlink>
    </w:p>
    <w:p>
      <w:pPr>
        <w:spacing w:after="200"/>
      </w:pPr>
      <w:r>
        <w:t xml:space="preserve">16. Inflammatory stromal and T cells mediate human bone marrow niche remodeling in clonal hematopoiesis and myelodysplasia. </w:t>
      </w:r>
      <w:hyperlink w:history="1" r:id="rIdvyohjdammy3j5iwzofktj">
        <w:r>
          <w:rPr>
            <w:rStyle w:val="Hyperlink"/>
            <w:color w:val="0563C1"/>
            <w:u w:val="single"/>
          </w:rPr>
          <w:t xml:space="preserve">https://www.ncbi.nlm.nih.gov/pmc/articles/PMC12627676/</w:t>
        </w:r>
      </w:hyperlink>
    </w:p>
    <w:p>
      <w:r>
        <w:br w:type="page"/>
      </w:r>
    </w:p>
    <w:p>
      <w:pPr>
        <w:spacing w:after="60"/>
      </w:pPr>
      <w:r>
        <w:rPr>
          <w:i/>
          <w:iCs/>
          <w:color w:val="666666"/>
        </w:rPr>
        <w:t xml:space="preserve">Framework 1.2 — Part II</w:t>
      </w:r>
    </w:p>
    <w:p>
      <w:pPr>
        <w:spacing w:after="60"/>
      </w:pPr>
      <w:r>
        <w:rPr>
          <w:b/>
          <w:bCs/>
          <w:color w:val="555555"/>
          <w:sz w:val="24"/>
          <w:szCs w:val="24"/>
        </w:rPr>
        <w:t xml:space="preserve">Chapter 7</w:t>
      </w:r>
    </w:p>
    <w:p>
      <w:pPr>
        <w:pStyle w:val="Title"/>
        <w:spacing w:after="100"/>
      </w:pPr>
      <w:r>
        <w:t xml:space="preserve">Leukemia</w:t>
      </w:r>
    </w:p>
    <w:p>
      <w:pPr>
        <w:spacing w:after="300"/>
      </w:pPr>
      <w:r>
        <w:rPr>
          <w:i/>
          <w:iCs/>
        </w:rPr>
        <w:t xml:space="preserve">From Reserve Capture to Autonomous Clonal Maintenance</w:t>
      </w:r>
    </w:p>
    <w:p>
      <w:pPr>
        <w:pStyle w:val="Heading1"/>
        <w:spacing w:after="150" w:before="300"/>
      </w:pPr>
      <w:r>
        <w:rPr>
          <w:b/>
          <w:bCs/>
        </w:rPr>
        <w:t xml:space="preserve">Abstract</w:t>
      </w:r>
    </w:p>
    <w:p>
      <w:pPr>
        <w:spacing w:after="200"/>
      </w:pPr>
      <w:r>
        <w:t xml:space="preserve">Acute myeloid leukemia (AML) offers a complete, clinically well-characterized picture of what Framework 1.2 calls the Pathologic Clone stage: a clone that no longer merely tolerates its niche but actively constructs, defends, colonizes, and reconstructs it across multiple anatomical sites. This article traces that construction from the bone marrow through extramedullary reservoirs to the limits of current curative strategies, treating dormancy, niche remodeling, and metastatic-like spread as expressions of a single underlying logic rather than separate phenomena.</w:t>
      </w:r>
    </w:p>
    <w:p>
      <w:pPr>
        <w:pStyle w:val="Heading1"/>
        <w:spacing w:after="150" w:before="300"/>
      </w:pPr>
      <w:r>
        <w:rPr>
          <w:b/>
          <w:bCs/>
        </w:rPr>
        <w:t xml:space="preserve">1. From Passive Advantage to Active Construction</w:t>
      </w:r>
    </w:p>
    <w:p>
      <w:pPr>
        <w:spacing w:after="200"/>
      </w:pPr>
      <w:r>
        <w:t xml:space="preserve">CHIP illustrates a clone that survives a degrading niche. AML illustrates something categorically different: leukemic cells actively remodel the bone marrow niche to create an environment that promotes leukemia — not adaptation to decline, but construction of infrastructure. This is the operational marker separating Mess Clone from Pathologic Clone in Framework 1.2: whether the niche is merely tolerated or actively engineered.</w:t>
      </w:r>
    </w:p>
    <w:p>
      <w:pPr>
        <w:pStyle w:val="Heading1"/>
        <w:spacing w:after="150" w:before="300"/>
      </w:pPr>
      <w:r>
        <w:rPr>
          <w:b/>
          <w:bCs/>
        </w:rPr>
        <w:t xml:space="preserve">2. Vascular Architecture: Reversed Direction</w:t>
      </w:r>
    </w:p>
    <w:p>
      <w:pPr>
        <w:spacing w:after="200"/>
      </w:pPr>
      <w:r>
        <w:t xml:space="preserve">Where CHIP/aging shows vascular attrition, AML shows the opposite: bone marrow microvascular density increases, promoting proliferation and mobilization of AML blasts into circulation, while reduced pericyte coverage produces leaky, barrier-compromised vessels. Endothelial cells secrete CXCL8, CXCL1, and CXCL6, driving angiogenesis and vascular remodeling specifically in leukemic marrow. This is not vascular loss but pathological, leaky over-vascularization — a different process, not a more advanced version of the same one.</w:t>
      </w:r>
    </w:p>
    <w:p>
      <w:pPr>
        <w:pStyle w:val="Heading1"/>
        <w:spacing w:after="150" w:before="300"/>
      </w:pPr>
      <w:r>
        <w:rPr>
          <w:b/>
          <w:bCs/>
        </w:rPr>
        <w:t xml:space="preserve">3. Hypoxia From a Different Source</w:t>
      </w:r>
    </w:p>
    <w:p>
      <w:pPr>
        <w:spacing w:after="200"/>
      </w:pPr>
      <w:r>
        <w:t xml:space="preserve">Rapid leukemic cell growth increases oxygen consumption, creating more hypoxic regions despite — not because of — increased vascularity. HIF stabilization under this hypoxia further amplifies the same angiogenic chemokine production, closing a self-sustaining loop between growth, hypoxia, and vascular remodeling.</w:t>
      </w:r>
    </w:p>
    <w:p>
      <w:pPr>
        <w:pStyle w:val="Heading1"/>
        <w:spacing w:after="150" w:before="300"/>
      </w:pPr>
      <w:r>
        <w:rPr>
          <w:b/>
          <w:bCs/>
        </w:rPr>
        <w:t xml:space="preserve">4. ECM: Accumulation, Not Depletion</w:t>
      </w:r>
    </w:p>
    <w:p>
      <w:pPr>
        <w:spacing w:after="200"/>
      </w:pPr>
      <w:r>
        <w:t xml:space="preserve">The preleukemic niche shows a gain in ECM-secreting osteolineage cells, with increased collagen deposition (Col11a1, Col11a2, Col12a1), suggested to be important for leukemogenesis itself. This inverts the solid-tumor dormant-core picture (depleted ECM at the center) — here the pathologic clone actively builds matrix rather than depleting it, consistent with construction rather than passive occupation.</w:t>
      </w:r>
    </w:p>
    <w:p>
      <w:pPr>
        <w:pStyle w:val="Heading1"/>
        <w:spacing w:after="150" w:before="300"/>
      </w:pPr>
      <w:r>
        <w:rPr>
          <w:b/>
          <w:bCs/>
        </w:rPr>
        <w:t xml:space="preserve">5. Dormancy Serves Two Opposite Functions Simultaneously</w:t>
      </w:r>
    </w:p>
    <w:p>
      <w:pPr>
        <w:spacing w:after="200"/>
      </w:pPr>
      <w:r>
        <w:t xml:space="preserve">This is one of the clearest illustrations in the whole series of dormancy acting on both ends of the same cascade at once.</w:t>
      </w:r>
    </w:p>
    <w:p>
      <w:pPr>
        <w:spacing w:after="200"/>
      </w:pPr>
      <w:r>
        <w:t xml:space="preserve">As a reservoir feeding the clone: leukemic stem cells acquire transient quiescence, dormancy, and senescence states that mediate resistance to therapy, regulated in hypoxic niches by HIF1α-dependent gene expression. Bone-marrow-resident leukemic cells, present before any treatment, are maintained in a low-proliferative or quiescent state and represent pre-adapted precursors of future minimal residual disease.</w:t>
      </w:r>
    </w:p>
    <w:p>
      <w:pPr>
        <w:spacing w:after="200"/>
      </w:pPr>
      <w:r>
        <w:t xml:space="preserve">As a weapon against the competing normal population: residual normal HSPCs in AML-infiltrated marrow are actively suppressed into quiescence by secreted factors from transcriptionally remodeled MSCs — differentiation and proliferation of normal HSPCs are impeded without affecting their viability, meaning the leukemic niche does not kill the competing normal population but disables it by forcing dormancy.</w:t>
      </w:r>
    </w:p>
    <w:p>
      <w:pPr>
        <w:pStyle w:val="Heading1"/>
        <w:spacing w:after="150" w:before="300"/>
      </w:pPr>
      <w:r>
        <w:rPr>
          <w:b/>
          <w:bCs/>
        </w:rPr>
        <w:t xml:space="preserve">6. A Genuine Contradiction Worth Preserving</w:t>
      </w:r>
    </w:p>
    <w:p>
      <w:pPr>
        <w:spacing w:after="200"/>
      </w:pPr>
      <w:r>
        <w:t xml:space="preserve">Not all evidence supports a simple "dormancy equals chemoresistance" model. A patient-derived xenograft study found that cytarabine depleted quiescent G0 AML cells and proliferating blasts similarly, with resistant cells neither enriched in immature quiescent cells nor in LSCs after treatment — resistance instead traced to a distinct, transient molecular state of "leukemia-regenerating cells" unrelated to baseline dormancy. This should stand as stated, not resolved: dormancy is clearly implicated in some resistance mechanisms and clearly not sufficient to explain others.</w:t>
      </w:r>
    </w:p>
    <w:p>
      <w:pPr>
        <w:pStyle w:val="Heading1"/>
        <w:spacing w:after="150" w:before="300"/>
      </w:pPr>
      <w:r>
        <w:rPr>
          <w:b/>
          <w:bCs/>
        </w:rPr>
        <w:t xml:space="preserve">7. Therapeutic Corollary: Restoring the Niche Rather Than Only Attacking the Clone</w:t>
      </w:r>
    </w:p>
    <w:p>
      <w:pPr>
        <w:spacing w:after="200"/>
      </w:pPr>
      <w:r>
        <w:t xml:space="preserve">If the niche itself is actively constructed rather than passively occupied, disrupting the construction should be therapeutically tractable independent of targeting the clone directly. This has already been demonstrated: enhancing HIF-1α stability to induce endosteal vascular expansion (via deferoxamine) rescues normal HSC loss during AML chemotherapy — restoring the physiological (rather than pathological) niche architecture protects the competing normal population, without directly targeting leukemic cells at all.</w:t>
      </w:r>
    </w:p>
    <w:p>
      <w:pPr>
        <w:pStyle w:val="Heading1"/>
        <w:spacing w:after="150" w:before="300"/>
      </w:pPr>
      <w:r>
        <w:rPr>
          <w:b/>
          <w:bCs/>
        </w:rPr>
        <w:t xml:space="preserve">8. Chemotherapy Alone Versus Full Clonal Replacement</w:t>
      </w:r>
    </w:p>
    <w:p>
      <w:pPr>
        <w:spacing w:after="200"/>
      </w:pPr>
      <w:r>
        <w:t xml:space="preserve">Allogeneic stem cell transplantation (allo-SCT) reduces relapse risk by more than 60% compared with intensive chemotherapy alone in AML, and remains the only potentially curative option for chemotherapy-resistant disease, with a magnitude of benefit similar across all biological AML subtypes. This directly supports the view that chemotherapy alone is frequently insufficient once a clone has built its own niche — durable control instead requires full replacement of the hematopoietic system with a non-pathologic (donor) population.</w:t>
      </w:r>
    </w:p>
    <w:p>
      <w:pPr>
        <w:spacing w:after="200"/>
      </w:pPr>
      <w:r>
        <w:t xml:space="preserve">The mechanism, however, is not replacement alone. The augmented anti-leukemic activity of allo-SCT arises from two combined sources: dose intensification from conditioning, and the generation of a graft-versus-leukemia (GVL) effect — meaning donor-derived immunity continues to actively hunt residual clone cells after transplantation, rather than replacement being a one-time, static event.</w:t>
      </w:r>
    </w:p>
    <w:p>
      <w:pPr>
        <w:spacing w:after="200"/>
      </w:pPr>
      <w:r>
        <w:t xml:space="preserve">This benefit is conditional, not universal, and should not be overstated. For patients with good-risk cytogenetics and low predicted relapse risk on chemotherapy alone, studies have failed to demonstrate an overall survival benefit from allo-SCT, since any reduction in relapse risk is offset by transplant-related mortality — indicating that not every clone has built its niche deeply enough to require full systemic replacement. Even full replacement is not fully reliable: up to 50% of AML patients eventually relapse even after allo-SCT depending on disease status, and post-transplant relapse carries a dismal prognosis, with two-year survival below 20% regardless of salvage strategy chosen — consistent with the existence of a residual dormant fraction resilient even to full conditioning.</w:t>
      </w:r>
    </w:p>
    <w:p>
      <w:pPr>
        <w:pStyle w:val="Heading1"/>
        <w:spacing w:after="150" w:before="300"/>
      </w:pPr>
      <w:r>
        <w:rPr>
          <w:b/>
          <w:bCs/>
        </w:rPr>
        <w:t xml:space="preserve">9. Extramedullary Niches as a Reserve Sanctuary</w:t>
      </w:r>
    </w:p>
    <w:p>
      <w:pPr>
        <w:spacing w:after="200"/>
      </w:pPr>
      <w:r>
        <w:t xml:space="preserve">Hematopoiesis occurred in the liver and spleen during embryonic development before shifting to bone marrow; in disease, these sites are not built from scratch but reactivated, drawing on stromal programs (Tcf21+ perivascular cells producing SCF and CXCL12) that persist dormant into adulthood.</w:t>
      </w:r>
    </w:p>
    <w:p>
      <w:pPr>
        <w:spacing w:after="200"/>
      </w:pPr>
      <w:r>
        <w:t xml:space="preserve">In a murine AML model, leukemic progression induces extramedullary hematopoiesis (EMH) in the spleen specifically through upregulation of the transcription factor Tlx1 in splenic mesenchymal stromal/progenitor cells; this Tlx1-dependent remodeling facilitates recruitment and retention specifically of leukemic cells, and ablating Tlx1 in these stromal cells significantly reduces leukemic cell accumulation in the spleen. This is active, clone-directed induction of a second niche, not passive overflow from a full bone marrow.</w:t>
      </w:r>
    </w:p>
    <w:p>
      <w:pPr>
        <w:spacing w:after="200"/>
      </w:pPr>
      <w:r>
        <w:t xml:space="preserve">The functional purpose of this niche extends beyond additional growth capacity to active immune shelter. Tumor-induced EMH promotes progression through direct or indirect suppression of antitumor immune responses, angiogenesis, and camouflaging of cells as normal HSPCs; EMH generates immunosuppressive erythroid-lineage progenitor cells that inhibit CD8+ T-cell proliferation and function via overexpression of ROS, PD-L1, and Arg1. Whether tumor cells can hijack extramedullary niches specifically to escape immune surveillance remains an open question the literature flags explicitly for future work; blockade of EMH or depletion of its immunosuppressive derivative cells is proposed as a potential therapeutic strategy on this basis.</w:t>
      </w:r>
    </w:p>
    <w:p>
      <w:pPr>
        <w:pStyle w:val="Heading1"/>
        <w:spacing w:after="150" w:before="300"/>
      </w:pPr>
      <w:r>
        <w:rPr>
          <w:b/>
          <w:bCs/>
        </w:rPr>
        <w:t xml:space="preserve">10. Splenectomy: Removing the Niche Without Removing the Clone — A Metastasis-Like Process</w:t>
      </w:r>
    </w:p>
    <w:p>
      <w:pPr>
        <w:spacing w:after="200"/>
      </w:pPr>
      <w:r>
        <w:t xml:space="preserve">Splenectomy is used in myeloproliferative disease, but for symptomatic indications (refractory splenomegaly, portal hypertension, transfusion-dependent cytopenias) rather than as a strategy to eliminate the clonal reservoir. The relevant finding for this model is that removing the extramedullary niche does not reliably reduce — and in several cohorts appears to increase — the risk of subsequent blast transformation: one series found blast transformation in 16.3% of splenectomized patients; a larger comparison found 5-year transformation-free survival of 43% without splenectomy versus 17% with it (hazard ratio 2.17); another cohort found AML at 4 years in 23% of splenectomized patients versus 13% of controls, though this association did not remain independent after adjusting for baseline circulating blast percentage.</w:t>
      </w:r>
    </w:p>
    <w:p>
      <w:pPr>
        <w:spacing w:after="200"/>
      </w:pPr>
      <w:r>
        <w:t xml:space="preserve">The process this resembles is metastatic seeding, not simple compensatory overflow. The clone does not merely spill over into the spleen because the bone marrow is full — Tlx1-dependent stromal reprogramming actively recruits and retains leukemic cells there, and the resulting niche independently suppresses antitumor immunity through PD-L1/Arg1/ROS-expressing erythroid-lineage cells. This is structurally the same logic already developed elsewhere in the series for lymphatic spread: a clone does not invent a new mechanism to colonize a distant site, it co-opts an existing physiological transport/niche pathway — there, the lymphatic clearance route; here, the embryonic hematopoietic program dormant in spleen and liver since birth. Splenic extramedullary hematopoiesis is, in this reading, best treated as a second, independently constructed metastatic-like deposit rather than an overflow reservoir of the same single tumor mass.</w:t>
      </w:r>
    </w:p>
    <w:p>
      <w:pPr>
        <w:spacing w:after="200"/>
      </w:pPr>
      <w:r>
        <w:t xml:space="preserve">This reframes why splenectomy fails to prevent transformation, offering two non-exclusive explanations that should be kept separate rather than merged. First, a causal route: removing the spleen eliminates one colonized site, but the clone — like a metastatic clone with multiple seeded deposits — persists in the bone marrow and can re-seed or progress there once the spleen's buffering capacity is gone, exactly as removing one metastatic deposit does not address others already established elsewhere. Second, a selection-bias route: histopathologic studies suggest subclinical blast transformation within the spleen itself may be what drives the clinical need for splenectomy in the first place — meaning the apparent post-splenectomy transformation risk may reflect that the operated population was already biologically further advanced, not that the surgery caused progression. Other cohorts found no such association, and this should be held as an open, unresolved contradiction rather than smoothed toward either reading.</w:t>
      </w:r>
    </w:p>
    <w:p>
      <w:pPr>
        <w:spacing w:after="200"/>
      </w:pPr>
      <w:r>
        <w:t xml:space="preserve">Consistent with the metastasis analogy, the operative implication is the same one already drawn for the bone marrow niche: addressing a single constructed niche — whether by chemotherapy targeting the marrow or surgery removing the spleen — is insufficient if the clone has already established a second, independently self-sufficient deposit elsewhere. Curative strategies would need to address the clone itself, as with the marrow-replacement logic of allo-SCT, rather than any one of its colonized sites individually.</w:t>
      </w:r>
    </w:p>
    <w:p>
      <w:pPr>
        <w:pStyle w:val="Heading1"/>
        <w:spacing w:after="150" w:before="300"/>
      </w:pPr>
      <w:r>
        <w:rPr>
          <w:b/>
          <w:bCs/>
        </w:rPr>
        <w:t xml:space="preserve">11. Testable Predictions</w:t>
      </w:r>
    </w:p>
    <w:p>
      <w:pPr>
        <w:pStyle w:val="ListParagraph"/>
        <w:numPr>
          <w:ilvl w:val="0"/>
          <w:numId w:val="1"/>
        </w:numPr>
        <w:spacing w:after="120"/>
      </w:pPr>
      <w:r>
        <w:t xml:space="preserve">The transition from Mess Clone to Pathologic Clone should be detectable as a shift from passive niche occupancy to directional niche remodeling (vascular density, ECM deposition, chemokine profile) — measurable before formal blast-count diagnostic thresholds are met.</w:t>
      </w:r>
    </w:p>
    <w:p>
      <w:pPr>
        <w:pStyle w:val="ListParagraph"/>
        <w:numPr>
          <w:ilvl w:val="0"/>
          <w:numId w:val="1"/>
        </w:numPr>
        <w:spacing w:after="120"/>
      </w:pPr>
      <w:r>
        <w:t xml:space="preserve">Pre-treatment BM-resident dormant leukemic cells should be distinguishable from post-treatment leukemia-regenerating cells by independent molecular markers, given evidence that these may be non-identical populations.</w:t>
      </w:r>
    </w:p>
    <w:p>
      <w:pPr>
        <w:pStyle w:val="ListParagraph"/>
        <w:numPr>
          <w:ilvl w:val="0"/>
          <w:numId w:val="1"/>
        </w:numPr>
        <w:spacing w:after="120"/>
      </w:pPr>
      <w:r>
        <w:t xml:space="preserve">Niche-restorative interventions (e.g., HIF-1α stabilization) should preserve normal HSC competitiveness during chemotherapy across AML subtypes, independent of the specific driver mutation — a test of whether niche reconstruction is a generalizable strategy rather than a mutation-specific one.</w:t>
      </w:r>
    </w:p>
    <w:p>
      <w:pPr>
        <w:pStyle w:val="ListParagraph"/>
        <w:numPr>
          <w:ilvl w:val="0"/>
          <w:numId w:val="1"/>
        </w:numPr>
        <w:spacing w:after="120"/>
      </w:pPr>
      <w:r>
        <w:t xml:space="preserve">Relapse risk reduction from allo-SCT should track independently with two separable components — conditioning intensity and measurable graft-versus-leukemia immune activity — rather than with donor engraftment alone, since replacement without ongoing surveillance is predicted to be less durable.</w:t>
      </w:r>
    </w:p>
    <w:p>
      <w:pPr>
        <w:pStyle w:val="ListParagraph"/>
        <w:numPr>
          <w:ilvl w:val="0"/>
          <w:numId w:val="1"/>
        </w:numPr>
        <w:spacing w:after="120"/>
      </w:pPr>
      <w:r>
        <w:t xml:space="preserve">Tlx1 (or an analogous stromal reprogramming factor) expression in splenic tissue should predict leukemic recurrence at that site independent of bone marrow disease burden, testing whether extramedullary niches behave as autonomous reservoirs rather than passive overflow.</w:t>
      </w:r>
    </w:p>
    <w:p>
      <w:pPr>
        <w:pStyle w:val="ListParagraph"/>
        <w:numPr>
          <w:ilvl w:val="0"/>
          <w:numId w:val="1"/>
        </w:numPr>
        <w:spacing w:after="120"/>
      </w:pPr>
      <w:r>
        <w:t xml:space="preserve">Pre-splenectomy histopathologic evidence of subclinical blast transformation within the spleen should account for most or all of the apparent post-splenectomy transformation-risk signal, distinguishing the selection-bias explanation from the causal one in Section 10.</w:t>
      </w:r>
    </w:p>
    <w:p>
      <w:pPr>
        <w:pStyle w:val="Heading1"/>
        <w:spacing w:after="150" w:before="300"/>
      </w:pPr>
      <w:r>
        <w:rPr>
          <w:b/>
          <w:bCs/>
        </w:rPr>
        <w:t xml:space="preserve">References</w:t>
      </w:r>
    </w:p>
    <w:p>
      <w:pPr>
        <w:spacing w:after="200"/>
      </w:pPr>
      <w:r>
        <w:t xml:space="preserve">1. Crosstalk of factors underlying bone marrow niche-mediated chemoprotection in acute myeloid leukemia. </w:t>
      </w:r>
      <w:hyperlink w:history="1" r:id="rIdnch9qs2v0nzvdzs7ipyoe">
        <w:r>
          <w:rPr>
            <w:rStyle w:val="Hyperlink"/>
            <w:color w:val="0563C1"/>
            <w:u w:val="single"/>
          </w:rPr>
          <w:t xml:space="preserve">https://www.frontiersin.org/journals/hematology/articles/10.3389/frhem.2026.1850831/full</w:t>
        </w:r>
      </w:hyperlink>
    </w:p>
    <w:p>
      <w:pPr>
        <w:spacing w:after="200"/>
      </w:pPr>
      <w:r>
        <w:t xml:space="preserve">2. Remodeling of the bone marrow microenvironment during acute myeloid leukemia progression. </w:t>
      </w:r>
      <w:hyperlink w:history="1" r:id="rIdpoiu00hlwtnis2dugf9b8">
        <w:r>
          <w:rPr>
            <w:rStyle w:val="Hyperlink"/>
            <w:color w:val="0563C1"/>
            <w:u w:val="single"/>
          </w:rPr>
          <w:t xml:space="preserve">https://pmc.ncbi.nlm.nih.gov/articles/PMC11304419/</w:t>
        </w:r>
      </w:hyperlink>
    </w:p>
    <w:p>
      <w:pPr>
        <w:spacing w:after="200"/>
      </w:pPr>
      <w:r>
        <w:t xml:space="preserve">3. Cellular taxonomy of the preleukemic bone marrow niche of acute myeloid leukemia. Leukemia. </w:t>
      </w:r>
      <w:hyperlink w:history="1" r:id="rIdzgiihar0xy38nefqyat4x">
        <w:r>
          <w:rPr>
            <w:rStyle w:val="Hyperlink"/>
            <w:color w:val="0563C1"/>
            <w:u w:val="single"/>
          </w:rPr>
          <w:t xml:space="preserve">https://www.nature.com/articles/s41375-024-02415-3</w:t>
        </w:r>
      </w:hyperlink>
    </w:p>
    <w:p>
      <w:pPr>
        <w:spacing w:after="200"/>
      </w:pPr>
      <w:r>
        <w:t xml:space="preserve">4. Reversing pathological remodelling of the bone marrow microenvironment in acute myeloid leukemia. </w:t>
      </w:r>
      <w:hyperlink w:history="1" r:id="rIdkg3z9qf3r5y2fbjr_kunh">
        <w:r>
          <w:rPr>
            <w:rStyle w:val="Hyperlink"/>
            <w:color w:val="0563C1"/>
            <w:u w:val="single"/>
          </w:rPr>
          <w:t xml:space="preserve">https://pmc.ncbi.nlm.nih.gov/articles/PMC6182008/</w:t>
        </w:r>
      </w:hyperlink>
    </w:p>
    <w:p>
      <w:pPr>
        <w:spacing w:after="200"/>
      </w:pPr>
      <w:r>
        <w:t xml:space="preserve">5. Mesenchymal niche remodeling impairs hematopoiesis via stanniocalcin 1 in acute myeloid leukemia. </w:t>
      </w:r>
      <w:hyperlink w:history="1" r:id="rIdzyag5oxqibraigmouydrv">
        <w:r>
          <w:rPr>
            <w:rStyle w:val="Hyperlink"/>
            <w:color w:val="0563C1"/>
            <w:u w:val="single"/>
          </w:rPr>
          <w:t xml:space="preserve">https://www.ncbi.nlm.nih.gov/pmc/articles/PMC7260026/</w:t>
        </w:r>
      </w:hyperlink>
    </w:p>
    <w:p>
      <w:pPr>
        <w:spacing w:after="200"/>
      </w:pPr>
      <w:r>
        <w:t xml:space="preserve">6. Leukemic stem cells as drivers of therapeutic resistance in acute myeloid leukemia. </w:t>
      </w:r>
      <w:hyperlink w:history="1" r:id="rId5ty0bfpcbbxcl_ygjmlbi">
        <w:r>
          <w:rPr>
            <w:rStyle w:val="Hyperlink"/>
            <w:color w:val="0563C1"/>
            <w:u w:val="single"/>
          </w:rPr>
          <w:t xml:space="preserve">https://www.sciencedirect.com/science/article/pii/S0753332226003288</w:t>
        </w:r>
      </w:hyperlink>
    </w:p>
    <w:p>
      <w:pPr>
        <w:spacing w:after="200"/>
      </w:pPr>
      <w:r>
        <w:t xml:space="preserve">7. Leukemic stem cells and therapy resistance in acute myeloid leukemia. </w:t>
      </w:r>
      <w:hyperlink w:history="1" r:id="rIdwcwh2kjfbfhiubkkwpb2-">
        <w:r>
          <w:rPr>
            <w:rStyle w:val="Hyperlink"/>
            <w:color w:val="0563C1"/>
            <w:u w:val="single"/>
          </w:rPr>
          <w:t xml:space="preserve">https://pmc.ncbi.nlm.nih.gov/articles/PMC9890038/</w:t>
        </w:r>
      </w:hyperlink>
    </w:p>
    <w:p>
      <w:pPr>
        <w:spacing w:after="200"/>
      </w:pPr>
      <w:r>
        <w:t xml:space="preserve">8. Pre-therapeutic bone marrow-resident leukemic cells in acute myeloid leukemia exhibit a distinct dysregulated calcium signature. </w:t>
      </w:r>
      <w:hyperlink w:history="1" r:id="rIdzq-zfk9q4wamuoao7x0ar">
        <w:r>
          <w:rPr>
            <w:rStyle w:val="Hyperlink"/>
            <w:color w:val="0563C1"/>
            <w:u w:val="single"/>
          </w:rPr>
          <w:t xml:space="preserve">https://www.ncbi.nlm.nih.gov/pmc/articles/PMC12911078/</w:t>
        </w:r>
      </w:hyperlink>
    </w:p>
    <w:p>
      <w:pPr>
        <w:spacing w:after="200"/>
      </w:pPr>
      <w:r>
        <w:t xml:space="preserve">9. Acute Myeloid Leukemia Stem Cells in Minimal/Measurable Residual Disease Detection. </w:t>
      </w:r>
      <w:hyperlink w:history="1" r:id="rIdx1nkq0jbotdipc-swo4sf">
        <w:r>
          <w:rPr>
            <w:rStyle w:val="Hyperlink"/>
            <w:color w:val="0563C1"/>
            <w:u w:val="single"/>
          </w:rPr>
          <w:t xml:space="preserve">https://pmc.ncbi.nlm.nih.gov/articles/PMC10216329/</w:t>
        </w:r>
      </w:hyperlink>
    </w:p>
    <w:p>
      <w:pPr>
        <w:spacing w:after="200"/>
      </w:pPr>
      <w:r>
        <w:t xml:space="preserve">10. Allogeneic Stem Cell Transplantation for Acute Myeloid Leukemia: Who, When, and How? </w:t>
      </w:r>
      <w:hyperlink w:history="1" r:id="rIdpt4ebgu6tbtky_1blnphk">
        <w:r>
          <w:rPr>
            <w:rStyle w:val="Hyperlink"/>
            <w:color w:val="0563C1"/>
            <w:u w:val="single"/>
          </w:rPr>
          <w:t xml:space="preserve">https://www.ncbi.nlm.nih.gov/pmc/articles/PMC8126705/</w:t>
        </w:r>
      </w:hyperlink>
    </w:p>
    <w:p>
      <w:pPr>
        <w:spacing w:after="200"/>
      </w:pPr>
      <w:r>
        <w:t xml:space="preserve">11. Allogeneic stem cell transplantation for acute myeloid leukemia in first complete remission: a systematic review and meta-analysis of prospective clinical trials. </w:t>
      </w:r>
      <w:hyperlink w:history="1" r:id="rIdezgtehv4jwzqp2fnpvlsc">
        <w:r>
          <w:rPr>
            <w:rStyle w:val="Hyperlink"/>
            <w:color w:val="0563C1"/>
            <w:u w:val="single"/>
          </w:rPr>
          <w:t xml:space="preserve">https://pmc.ncbi.nlm.nih.gov/articles/PMC3163846/</w:t>
        </w:r>
      </w:hyperlink>
    </w:p>
    <w:p>
      <w:pPr>
        <w:spacing w:after="200"/>
      </w:pPr>
      <w:r>
        <w:t xml:space="preserve">12. The role of allogeneic stem cell transplantation in the management of acute myeloid leukaemia: a triumph of hope and experience. </w:t>
      </w:r>
      <w:hyperlink w:history="1" r:id="rIdst5dk4earthvtdhcmggfi">
        <w:r>
          <w:rPr>
            <w:rStyle w:val="Hyperlink"/>
            <w:color w:val="0563C1"/>
            <w:u w:val="single"/>
          </w:rPr>
          <w:t xml:space="preserve">https://pmc.ncbi.nlm.nih.gov/articles/PMC6972492/</w:t>
        </w:r>
      </w:hyperlink>
    </w:p>
    <w:p>
      <w:pPr>
        <w:spacing w:after="200"/>
      </w:pPr>
      <w:r>
        <w:t xml:space="preserve">13. Relapse of Acute Myeloid Leukemia after Allogeneic Stem Cell Transplantation: Prevention, Detection, and Treatment. </w:t>
      </w:r>
      <w:hyperlink w:history="1" r:id="rIdaye101sufrlekr0-o8txv">
        <w:r>
          <w:rPr>
            <w:rStyle w:val="Hyperlink"/>
            <w:color w:val="0563C1"/>
            <w:u w:val="single"/>
          </w:rPr>
          <w:t xml:space="preserve">https://www.ncbi.nlm.nih.gov/pmc/articles/PMC6337734/</w:t>
        </w:r>
      </w:hyperlink>
    </w:p>
    <w:p>
      <w:pPr>
        <w:spacing w:after="200"/>
      </w:pPr>
      <w:r>
        <w:t xml:space="preserve">14. Extramedullary Hematopoiesis of the Liver and Spleen. </w:t>
      </w:r>
      <w:hyperlink w:history="1" r:id="rIdgacamjucxdzor3pedmuq0">
        <w:r>
          <w:rPr>
            <w:rStyle w:val="Hyperlink"/>
            <w:color w:val="0563C1"/>
            <w:u w:val="single"/>
          </w:rPr>
          <w:t xml:space="preserve">https://pmc.ncbi.nlm.nih.gov/articles/PMC8707658/</w:t>
        </w:r>
      </w:hyperlink>
    </w:p>
    <w:p>
      <w:pPr>
        <w:spacing w:after="200"/>
      </w:pPr>
      <w:r>
        <w:t xml:space="preserve">15. The mechanisms of pathological extramedullary hematopoiesis in diseases. </w:t>
      </w:r>
      <w:hyperlink w:history="1" r:id="rIdbkzy64ja4u2uvuldargtt">
        <w:r>
          <w:rPr>
            <w:rStyle w:val="Hyperlink"/>
            <w:color w:val="0563C1"/>
            <w:u w:val="single"/>
          </w:rPr>
          <w:t xml:space="preserve">https://pmc.ncbi.nlm.nih.gov/articles/PMC11104806/</w:t>
        </w:r>
      </w:hyperlink>
    </w:p>
    <w:p>
      <w:pPr>
        <w:spacing w:after="200"/>
      </w:pPr>
      <w:r>
        <w:t xml:space="preserve">16. Extramedullary hematopoiesis in cancer. Experimental &amp; Molecular Medicine. </w:t>
      </w:r>
      <w:hyperlink w:history="1" r:id="rIdtxvi-mo83tf8kx6tqxbhj">
        <w:r>
          <w:rPr>
            <w:rStyle w:val="Hyperlink"/>
            <w:color w:val="0563C1"/>
            <w:u w:val="single"/>
          </w:rPr>
          <w:t xml:space="preserve">https://www.nature.com/articles/s12276-024-01192-4</w:t>
        </w:r>
      </w:hyperlink>
    </w:p>
    <w:p>
      <w:pPr>
        <w:spacing w:after="200"/>
      </w:pPr>
      <w:r>
        <w:t xml:space="preserve">17. Extramedullary hematopoietic niches support the initiation and progression of myeloid malignancy in the murine spleen. Scientific Reports. </w:t>
      </w:r>
      <w:hyperlink w:history="1" r:id="rIdvjjqxtxrbtodbforz7xxl">
        <w:r>
          <w:rPr>
            <w:rStyle w:val="Hyperlink"/>
            <w:color w:val="0563C1"/>
            <w:u w:val="single"/>
          </w:rPr>
          <w:t xml:space="preserve">https://www.nature.com/articles/s41598-026-41461-y</w:t>
        </w:r>
      </w:hyperlink>
    </w:p>
    <w:p>
      <w:pPr>
        <w:spacing w:after="200"/>
      </w:pPr>
      <w:r>
        <w:t xml:space="preserve">18. Mechanism and effects of extramedullary hematopoiesis on anti-tumor immunity. </w:t>
      </w:r>
      <w:hyperlink w:history="1" r:id="rIdekbizadwow4lfjrhen9rt">
        <w:r>
          <w:rPr>
            <w:rStyle w:val="Hyperlink"/>
            <w:color w:val="0563C1"/>
            <w:u w:val="single"/>
          </w:rPr>
          <w:t xml:space="preserve">https://pmc.ncbi.nlm.nih.gov/articles/PMC10466439/</w:t>
        </w:r>
      </w:hyperlink>
    </w:p>
    <w:p>
      <w:pPr>
        <w:spacing w:after="200"/>
      </w:pPr>
      <w:r>
        <w:t xml:space="preserve">19. Splenectomy in Myelofibrosis: Indications, Efficacy, and Complications. </w:t>
      </w:r>
      <w:hyperlink w:history="1" r:id="rId7kadf9nripo7wmjm9kabo">
        <w:r>
          <w:rPr>
            <w:rStyle w:val="Hyperlink"/>
            <w:color w:val="0563C1"/>
            <w:u w:val="single"/>
          </w:rPr>
          <w:t xml:space="preserve">https://www.sciencedirect.com/science/article/pii/S215226502030210X</w:t>
        </w:r>
      </w:hyperlink>
    </w:p>
    <w:p>
      <w:pPr>
        <w:spacing w:after="200"/>
      </w:pPr>
      <w:r>
        <w:t xml:space="preserve">20. Risk Factors in Myelofibrosis Linked With Poor Outcome After Splenectomy. </w:t>
      </w:r>
      <w:hyperlink w:history="1" r:id="rIdll1_avwnzhq6vzw39iyim">
        <w:r>
          <w:rPr>
            <w:rStyle w:val="Hyperlink"/>
            <w:color w:val="0563C1"/>
            <w:u w:val="single"/>
          </w:rPr>
          <w:t xml:space="preserve">https://www.cancernetwork.com/view/risk-factors-myelofibrosis-linked-poor-outcome-after-splenectomy</w:t>
        </w:r>
      </w:hyperlink>
    </w:p>
    <w:p>
      <w:pPr>
        <w:spacing w:after="200"/>
      </w:pPr>
      <w:r>
        <w:t xml:space="preserve">21. Splenectomy in patients with Myeloproliferative Neoplasms: efficacy, complications and impact on survival and transformation. </w:t>
      </w:r>
      <w:hyperlink w:history="1" r:id="rIdnaxbpowgav8eqmijlanko">
        <w:r>
          <w:rPr>
            <w:rStyle w:val="Hyperlink"/>
            <w:color w:val="0563C1"/>
            <w:u w:val="single"/>
          </w:rPr>
          <w:t xml:space="preserve">https://pmc.ncbi.nlm.nih.gov/articles/PMC3874259/</w:t>
        </w:r>
      </w:hyperlink>
    </w:p>
    <w:p>
      <w:pPr>
        <w:spacing w:after="200"/>
      </w:pPr>
      <w:r>
        <w:t xml:space="preserve">22. Splenectomy in myelofibrosis with myeloid metaplasia: a single-institution experience with 223 patients. </w:t>
      </w:r>
      <w:hyperlink w:history="1" r:id="rId6jf7lulecupfv4pzdu4f8">
        <w:r>
          <w:rPr>
            <w:rStyle w:val="Hyperlink"/>
            <w:color w:val="0563C1"/>
            <w:u w:val="single"/>
          </w:rPr>
          <w:t xml:space="preserve">https://www.sciencedirect.com/science/article/pii/S0006497120641805</w:t>
        </w:r>
      </w:hyperlink>
    </w:p>
    <w:p>
      <w:pPr>
        <w:spacing w:after="200"/>
      </w:pPr>
      <w:r>
        <w:t xml:space="preserve">23. Splenectomy in Patients with Chronic Myeloid Leukemia or Myeloproliferative Diseases: Outcomes, Complications and Prognostic Implications. </w:t>
      </w:r>
      <w:hyperlink w:history="1" r:id="rIdxnkbrg38qd1ckfmdjgtul">
        <w:r>
          <w:rPr>
            <w:rStyle w:val="Hyperlink"/>
            <w:color w:val="0563C1"/>
            <w:u w:val="single"/>
          </w:rPr>
          <w:t xml:space="preserve">https://ashpublications.org/blood/article/110/11/2553/57368/Splenectomy-in-Patients-with-Chronic-Myeloid</w:t>
        </w:r>
      </w:hyperlink>
    </w:p>
    <w:p>
      <w:r>
        <w:br w:type="page"/>
      </w:r>
    </w:p>
    <w:p>
      <w:pPr>
        <w:spacing w:after="60"/>
      </w:pPr>
      <w:r>
        <w:rPr>
          <w:i/>
          <w:iCs/>
          <w:color w:val="666666"/>
        </w:rPr>
        <w:t xml:space="preserve">Framework 1.2 — Part II</w:t>
      </w:r>
    </w:p>
    <w:p>
      <w:pPr>
        <w:spacing w:after="60"/>
      </w:pPr>
      <w:r>
        <w:rPr>
          <w:b/>
          <w:bCs/>
          <w:color w:val="555555"/>
          <w:sz w:val="24"/>
          <w:szCs w:val="24"/>
        </w:rPr>
        <w:t xml:space="preserve">Chapter 8</w:t>
      </w:r>
    </w:p>
    <w:p>
      <w:pPr>
        <w:pStyle w:val="Title"/>
        <w:spacing w:after="100"/>
      </w:pPr>
      <w:r>
        <w:t xml:space="preserve">Hydrogel Architecture of the Solid Tumor</w:t>
      </w:r>
    </w:p>
    <w:p>
      <w:pPr>
        <w:spacing w:after="300"/>
      </w:pPr>
      <w:r>
        <w:rPr>
          <w:i/>
          <w:iCs/>
        </w:rPr>
        <w:t xml:space="preserve">Physical Organization of the Dormant Cell Pool</w:t>
      </w:r>
    </w:p>
    <w:p>
      <w:pPr>
        <w:pStyle w:val="Heading1"/>
        <w:spacing w:after="150" w:before="300"/>
      </w:pPr>
      <w:r>
        <w:rPr>
          <w:b/>
          <w:bCs/>
        </w:rPr>
        <w:t xml:space="preserve">Abstract</w:t>
      </w:r>
    </w:p>
    <w:p>
      <w:pPr>
        <w:spacing w:after="200"/>
      </w:pPr>
      <w:r>
        <w:t xml:space="preserve">Framework 1.2 treats the solid tumor as a physical hydrogel system, in which the states of water organization — in the extracellular matrix (exomatrix) and in the cytoplasm (endomatrix) — determine the transition between the active, dormant, and functioning states of the cell. This version of the article introduces a key refinement: the morphologically uniform "dense dormant core" of the tumor is physically heterogeneous and consists of at least two components differing in nature and clinical significance — a reversible living reserve (crowding-induced LLPS condensation) and irreversibly dead cells (synaeresis), which should be assigned not to the Dormant Cell Pool but to Littering. The article then formalizes the tumor periphery as a moving proliferative front that generates a layered structure of the dormant core over time, and concludes with clinical verification via MRI, Doppler, and biopsy.</w:t>
      </w:r>
    </w:p>
    <w:p>
      <w:pPr>
        <w:pStyle w:val="Heading1"/>
        <w:spacing w:after="150" w:before="300"/>
      </w:pPr>
      <w:r>
        <w:rPr>
          <w:b/>
          <w:bCs/>
        </w:rPr>
        <w:t xml:space="preserve">1. The Exomatrix — Not a Metaphor, but Literally Modeled as a Hydrogel</w:t>
      </w:r>
    </w:p>
    <w:p>
      <w:pPr>
        <w:spacing w:after="200"/>
      </w:pPr>
      <w:r>
        <w:t xml:space="preserve">The ECM is directly formalized in the biophysical literature as a poroelastic biopolymer network, in which stiffness, viscoelasticity, and plasticity independently regulate cancer cell mechanobiology. Engineered hydrogel–nanofiber composites reproduce the stiffness range of real tumor tissue, 1.51–10.77 kPa, spanning the already-discussed center-to-periphery AFM gradient (0.74 kPa at the center versus 5.51 kPa at the periphery).</w:t>
      </w:r>
    </w:p>
    <w:p>
      <w:pPr>
        <w:pStyle w:val="Heading1"/>
        <w:spacing w:after="150" w:before="300"/>
      </w:pPr>
      <w:r>
        <w:rPr>
          <w:b/>
          <w:bCs/>
        </w:rPr>
        <w:t xml:space="preserve">2. Viscoelasticity and Viscoplasticity as Additional Variables</w:t>
      </w:r>
    </w:p>
    <w:p>
      <w:pPr>
        <w:spacing w:after="200"/>
      </w:pPr>
      <w:r>
        <w:t xml:space="preserve">The matrix exhibits viscoplasticity — irreversible deformation from the breaking of weak bonds within the fiber network; remodeled fiber tracks form invasive "corridors" that facilitate cell migration — a physical memory of the matrix's past mechanical events. Hydrogel viscosity, independent of elasticity, regulates the cell's deposition of new ECM, creating a feedback loop.</w:t>
      </w:r>
    </w:p>
    <w:p>
      <w:pPr>
        <w:pStyle w:val="Heading1"/>
        <w:spacing w:after="150" w:before="300"/>
      </w:pPr>
      <w:r>
        <w:rPr>
          <w:b/>
          <w:bCs/>
        </w:rPr>
        <w:t xml:space="preserve">3. A Predictive Link Between Matrix Physics and Cell State</w:t>
      </w:r>
    </w:p>
    <w:p>
      <w:pPr>
        <w:spacing w:after="200"/>
      </w:pPr>
      <w:r>
        <w:t xml:space="preserve">A minimum-energy theoretical model, validated on breast cancer cells, predicts three morphological cell states — rounded, elongated, clustered — based on local matrix mechanics. This maps onto the three cell states of Framework 1.1: rounded/soft matrix → dormant; clustered/intermediate conditions → active; elongated/aligned, viscoplastically remodeled matrix → the migratory phenotype of the periphery. This is a first-principles physical model, not a correlation — directly testable by matching AFM mapping to phenotyping at the same coordinates.</w:t>
      </w:r>
    </w:p>
    <w:p>
      <w:pPr>
        <w:pStyle w:val="Heading1"/>
        <w:spacing w:after="150" w:before="300"/>
      </w:pPr>
      <w:r>
        <w:rPr>
          <w:b/>
          <w:bCs/>
        </w:rPr>
        <w:t xml:space="preserve">4. The Endomatrix: LLPS as the Molecular Mechanism of Cytoplasmic Hydrogel States</w:t>
      </w:r>
    </w:p>
    <w:p>
      <w:pPr>
        <w:spacing w:after="200"/>
      </w:pPr>
      <w:r>
        <w:t xml:space="preserve">The "dense, low-metabolic cytoplasm" of the dormant state and the "fluid, low-viscosity cytoplasm" of the active state correspond to a specific molecular mechanism — liquid–liquid phase separation (LLPS) and biomolecular condensates. Multiple weak interactions among macromolecules with intrinsically disordered regions drive the cytoplasm to separate into phases of higher density and slower molecular motion. There is a distinct body of literature specifically on LLPS in cellular quiescence, describing quiescence as an environment-triggered survival mechanism with tight control over entry, maintenance, and exit — a parallel to the active regulation of the stable-dormant state in Framework 1.1.</w:t>
      </w:r>
    </w:p>
    <w:p>
      <w:pPr>
        <w:spacing w:after="200"/>
      </w:pPr>
      <w:r>
        <w:t xml:space="preserve">On the active side, the oncoprotein MYC — the driver of the glycolytic Warburg phenotype — undergoes phase separation into transcriptionally active condensates that promote proliferation; phosphorylated HDAC6 forms condensates that alter chromatin accessibility in triple-negative breast cancer. Both sides of the model thus obtain a molecular mechanism within a single physical system.</w:t>
      </w:r>
    </w:p>
    <w:p>
      <w:pPr>
        <w:pStyle w:val="Heading1"/>
        <w:spacing w:after="150" w:before="300"/>
      </w:pPr>
      <w:r>
        <w:rPr>
          <w:b/>
          <w:bCs/>
        </w:rPr>
        <w:t xml:space="preserve">5. What Crowding Is, and the Bridge Between Density and Gelation</w:t>
      </w:r>
    </w:p>
    <w:p>
      <w:pPr>
        <w:spacing w:after="200"/>
      </w:pPr>
      <w:r>
        <w:t xml:space="preserve">Crowding (macromolecular crowding) is intracellular tightness: the total volume occupied by all macromolecules at once, regardless of their identity (20–40% of cytoplasmic volume in a real cell, in contrast to dilute laboratory solutions). Tightness alone, purely entropically, pushes molecules toward one another (reducing the system's free volume) and slows diffusion — without any specific chemistry.</w:t>
      </w:r>
    </w:p>
    <w:p>
      <w:pPr>
        <w:spacing w:after="200"/>
      </w:pPr>
      <w:r>
        <w:t xml:space="preserve">At high crowding, LLPS kinetics change: droplet formation shows accelerated growth followed by a late arrest, producing labyrinth-like morphologies functionally equivalent to protein gelation. That is, high local macromolecular density alone pushes the cytoplasm toward a gel-like, arrested state — a molecular analogue of the same principle already established at the tissue level (horizontal suppression, quorum sensing): density generates arrest as a direct physical consequence at two scales of organization simultaneously.</w:t>
      </w:r>
    </w:p>
    <w:p>
      <w:pPr>
        <w:pStyle w:val="Heading1"/>
        <w:spacing w:after="150" w:before="300"/>
      </w:pPr>
      <w:r>
        <w:rPr>
          <w:b/>
          <w:bCs/>
        </w:rPr>
        <w:t xml:space="preserve">6. Two Physically Distinct Paths to One Morphological Picture: Reversible Rest versus Irreversible Death</w:t>
      </w:r>
    </w:p>
    <w:p>
      <w:pPr>
        <w:spacing w:after="200"/>
      </w:pPr>
      <w:r>
        <w:t xml:space="preserve">The dense cytoplasm of a dormant cell can arise via at least two different paths, indistinguishable under ordinary microscopy but fundamentally different in the cell's fate.</w:t>
      </w:r>
    </w:p>
    <w:p>
      <w:pPr>
        <w:spacing w:after="200"/>
      </w:pPr>
      <w:r>
        <w:t xml:space="preserve">Crowding-induced LLPS condensation — an ordered, reversible self-assembly without water loss and without disruption of the network structure; the same mechanism that forms physiological membraneless organelles, long known to be reversibly disassembled when conditions change.</w:t>
      </w:r>
    </w:p>
    <w:p>
      <w:pPr>
        <w:spacing w:after="200"/>
      </w:pPr>
      <w:r>
        <w:t xml:space="preserve">Synaeresis — an irreversible structural rearrangement involving the active expulsion of bound water, which disrupts the gel's architecture. This underscores that dehydration (the synaeresis path) and crowding under preserved water are adjacent but non-identical physical mechanisms of restricting molecular mobility.</w:t>
      </w:r>
    </w:p>
    <w:p>
      <w:pPr>
        <w:spacing w:after="200"/>
      </w:pPr>
      <w:r>
        <w:t xml:space="preserve">The operational criterion for distinguishing them is the direction of the transition, not morphology: Active ⇄ LLPS condensation is a bidirectional, physiologically reversible transition; Active → Synaeresis is a one-way path that converges with necrosis.</w:t>
      </w:r>
    </w:p>
    <w:p>
      <w:pPr>
        <w:spacing w:after="200"/>
      </w:pPr>
      <w:r>
        <w:t xml:space="preserve">A key classification refinement: synaeretic cells are not a dormant subpopulation with their own prognostic weight, but already-dead cells — that is, Littering material in the terms of the core Framework 1.2 model. The only true dormant fraction that deserves inclusion in the Dormant Cell Pool is the LLPS-condensed, living, and potentially reactivatable cells.</w:t>
      </w:r>
    </w:p>
    <w:p>
      <w:pPr>
        <w:pStyle w:val="Heading1"/>
        <w:spacing w:after="150" w:before="300"/>
      </w:pPr>
      <w:r>
        <w:rPr>
          <w:b/>
          <w:bCs/>
        </w:rPr>
        <w:t xml:space="preserve">7. Independent Structural Confirmation: The Glioblastoma Peri-Necrotic Niche</w:t>
      </w:r>
    </w:p>
    <w:p>
      <w:pPr>
        <w:spacing w:after="200"/>
      </w:pPr>
      <w:r>
        <w:t xml:space="preserve">Although no source formulates the distinction in terms of LLPS/synaeresis physics, the spatial architecture has already been described. In glioblastoma, a specific zone has been identified around a large ischemic necrosis — the "peri-necrotic niche" — where quiescent stem-like cells with high tumorigenic potential localize, spatially separate from the necrotic core itself. The quiescent phenotype is found inside the niche, the proliferative phenotype outside it, with proliferation correlating with expression of the GINS complex; reactivation after reoxygenation or serum addition was suppressed by PSF1 knockdown (a GINS component), demonstrating a fully controllable, reversible quiescence/proliferation switch.</w:t>
      </w:r>
    </w:p>
    <w:p>
      <w:pPr>
        <w:spacing w:after="200"/>
      </w:pPr>
      <w:r>
        <w:t xml:space="preserve">A separate molecular pathway of reversible rest has also been documented: cancer cells enter quiescence through intracellular acidification (reduced pHi via NHE1 downregulation), activating the ubiquitin-proteasome system; upon reactivation, the E2F1 factor does not recover, whereas MCM7 returns to baseline and is required to resume proliferation.</w:t>
      </w:r>
    </w:p>
    <w:p>
      <w:pPr>
        <w:pStyle w:val="Heading1"/>
        <w:spacing w:after="150" w:before="300"/>
      </w:pPr>
      <w:r>
        <w:rPr>
          <w:b/>
          <w:bCs/>
        </w:rPr>
        <w:t xml:space="preserve">8. The Super-Active Tumor Periphery: Converging Tissue and Molecular Levels</w:t>
      </w:r>
    </w:p>
    <w:p>
      <w:pPr>
        <w:spacing w:after="200"/>
      </w:pPr>
      <w:r>
        <w:t xml:space="preserve">In this model, the tumor periphery is not merely a zone of high Ki-67; it is a point of convergence of several independently established characteristics at once: mechanically — maximal stiffness and collagen density, shifting cells toward an elongated morphotype; metabolically — a BGR-active, glycolytic zone; immunologically — the only zone physically accessible for contact with immune cells; molecularly — a zone where cell cytoplasm is actively held in a dissolved LLPS state.</w:t>
      </w:r>
    </w:p>
    <w:p>
      <w:pPr>
        <w:spacing w:after="200"/>
      </w:pPr>
      <w:r>
        <w:t xml:space="preserve">Key membraneless organelles — the nucleolus, Cajal bodies, splicing speckles, paraspeckles, PML bodies, P-bodies — must be dissolved during mitosis and reassembled afterward. Nuclear speckles undergo a dissolution cycle in early mitosis via the activity of the kinases CLK1 and DYRK3. This is governed by phosphorylation — CDK1 phosphorylates the protein components of condensates, destabilizing weak interactions. This means that the "active state" is not the absence of LLPS organization but its actively maintained dissolved state, governed by the same regulatory language (post-translational modifications) as condensate assembly in the dormant state, only in the opposite direction.</w:t>
      </w:r>
    </w:p>
    <w:p>
      <w:pPr>
        <w:spacing w:after="200"/>
      </w:pPr>
      <w:r>
        <w:t xml:space="preserve">The super-activity of the periphery is a coordinated, mutually reinforcing package of conditions: a stiff, collagen-rich matrix mechanically favors the proliferative phenotype → which requires high glycolytic flux (BGR) → which supplies the energy for mitotic activity → which, via CDK1, keeps cytoplasmic condensates dissolved, preventing the cell from slipping into LLPS-dormancy. This creates a self-sustaining loop at the periphery, symmetric to the density/dormancy loop in the core — two different but mutually stable attractors on the same axis, as in the Regeneration Pendulum model. This is precisely why the periphery is chemosensitive not only statistically (more dividing cells) but also kinetically — the active dissolution of condensates keeps these cells in a state vulnerable to cytotoxic action, whereas in the core the same mechanism works in the opposite, protective direction.</w:t>
      </w:r>
    </w:p>
    <w:p>
      <w:pPr>
        <w:pStyle w:val="Heading1"/>
        <w:spacing w:after="150" w:before="300"/>
      </w:pPr>
      <w:r>
        <w:rPr>
          <w:b/>
          <w:bCs/>
        </w:rPr>
        <w:t xml:space="preserve">9. The Periphery as a Moving Front: A Mathematical Model of Layered Growth</w:t>
      </w:r>
    </w:p>
    <w:p>
      <w:pPr>
        <w:spacing w:after="200"/>
      </w:pPr>
      <w:r>
        <w:t xml:space="preserve">A direct mathematical formalization has been found: a model of tumor growth with a necrotic core as a pressure obstacle problem, in which a traveling-wave solution links the growing necrotic core and the outer normal tissue through a proliferating rim of finite width R — that is, the periphery is modeled not as a static boundary but as a zone of fixed thickness moving outward as a single unit.</w:t>
      </w:r>
    </w:p>
    <w:p>
      <w:pPr>
        <w:spacing w:after="200"/>
      </w:pPr>
      <w:r>
        <w:t xml:space="preserve">A cell on the moving proliferative rim has, structurally, two possible outcomes: it continues moving with the front, participating in further invasion; or it falls behind the front — as the wave advances, the local density around it increases, triggering a crowding-induced transition into LLPS condensation simply because the front has overtaken it, not for any new reason.</w:t>
      </w:r>
    </w:p>
    <w:p>
      <w:pPr>
        <w:spacing w:after="200"/>
      </w:pPr>
      <w:r>
        <w:t xml:space="preserve">Since the front advances continuously, the dormant core accumulates in layers over time — the oldest, most "left-behind" cells end up deepest inside, and they have had the most time and pressure to progress further along the LLPS axis → possibly toward irreversible synaeresis, whereas recently "overtaken" cells are closer to the boundary with the rim and still more likely to be LLPS-reversible.</w:t>
      </w:r>
    </w:p>
    <w:p>
      <w:pPr>
        <w:spacing w:after="200"/>
      </w:pPr>
      <w:r>
        <w:t xml:space="preserve">Reactivation of a dormant cell (exit from LLPS condensation back to the active state, for example upon a local decrease in density) means it can itself become the source of a new front, potentially forming a secondary, internal focus of proliferation within an already-formed dormant layer — a direct parallel to multicentricity, but within the same tumor mass, at the level of individual layers.</w:t>
      </w:r>
    </w:p>
    <w:p>
      <w:pPr>
        <w:pStyle w:val="Heading1"/>
        <w:spacing w:after="150" w:before="300"/>
      </w:pPr>
      <w:r>
        <w:rPr>
          <w:b/>
          <w:bCs/>
        </w:rPr>
        <w:t xml:space="preserve">10. Clinical Correlates: MRI, Doppler, and Biopsy for the Multilayer Model</w:t>
      </w:r>
    </w:p>
    <w:p>
      <w:pPr>
        <w:spacing w:after="200"/>
      </w:pPr>
      <w:r>
        <w:t xml:space="preserve">This implements the clinical algorithm (MRI → Doppler → CT → biopsy) as applied to the physical layer model constructed above.</w:t>
      </w:r>
    </w:p>
    <w:p>
      <w:pPr>
        <w:spacing w:after="200"/>
      </w:pPr>
      <w:r>
        <w:t xml:space="preserve">MRI (ADC) quantitatively distinguishes the zones: mean ADC of necrotic tissue is 2.22±0.31×10⁻³ mm²/s versus 1.42±0.25×10⁻³ mm²/s for viable tumor tissue, with a threshold value of 1.84×10⁻³ mm²/s (92.3% sensitivity, 100% specificity). For malignant tissue overall, an even lower ADC range has been shown — 1.02±0.17×10⁻³ mm²/s versus 1.57±0.26×10⁻³ for benign and 1.78±0.13×10⁻³ for healthy tissue. The order from high to low ADC: necrosis &gt; benign/healthy tissue &gt; malignant viable tissue — malignant tissue is systematically more "gel-like" than even normal tissue.</w:t>
      </w:r>
    </w:p>
    <w:p>
      <w:pPr>
        <w:spacing w:after="200"/>
      </w:pPr>
      <w:r>
        <w:t xml:space="preserve">DWI is already used to guide biopsy site selection — radiologists avoid necrotic zones when targeting. In gynecological tumors, large masses are often necrotic but surrounded by an enhancing rim that facilitates delineating the tumor — visual confirmation of the "necrotic core + active peripheral rim" structure.</w:t>
      </w:r>
    </w:p>
    <w:p>
      <w:pPr>
        <w:spacing w:after="200"/>
      </w:pPr>
      <w:r>
        <w:t xml:space="preserve">Color Doppler ultrasound is used to assess internal vascularization and to target biopsy specifically to accessible, metabolically or contrast-active nodules — with the recommendation to aim the biopsy at the most active region to reduce sampling error.</w:t>
      </w:r>
    </w:p>
    <w:p>
      <w:pPr>
        <w:spacing w:after="200"/>
      </w:pPr>
      <w:r>
        <w:t xml:space="preserve">An important caveat: not all data support a simple relationship between ADC and histology — a study of colorectal cancer liver metastases after chemotherapy found no significant correlation between ADC and the percentage of viable tumor, necrosis, fibrosis, or proliferation index, which the authors attribute to the complex cellular architecture of tumors specifically after treatment, where several states are intermixed within a single voxel.</w:t>
      </w:r>
    </w:p>
    <w:p>
      <w:pPr>
        <w:pStyle w:val="Heading1"/>
        <w:spacing w:after="150" w:before="300"/>
      </w:pPr>
      <w:r>
        <w:rPr>
          <w:b/>
          <w:bCs/>
        </w:rPr>
        <w:t xml:space="preserve">11. Testable Predictions</w:t>
      </w:r>
    </w:p>
    <w:p>
      <w:pPr>
        <w:pStyle w:val="ListParagraph"/>
        <w:numPr>
          <w:ilvl w:val="0"/>
          <w:numId w:val="1"/>
        </w:numPr>
        <w:spacing w:after="120"/>
      </w:pPr>
      <w:r>
        <w:t xml:space="preserve">The cell's morphological state, as predicted by the ECM minimum-energy model, should correlate spatially with metabolic state at matched coordinates within a single tumor.</w:t>
      </w:r>
    </w:p>
    <w:p>
      <w:pPr>
        <w:pStyle w:val="ListParagraph"/>
        <w:numPr>
          <w:ilvl w:val="0"/>
          <w:numId w:val="1"/>
        </w:numPr>
        <w:spacing w:after="120"/>
      </w:pPr>
      <w:r>
        <w:t xml:space="preserve">Markers of LLPS condensate density should be measurably higher in cells of the peri-necrotic niche than in cells of the necrotic core itself, within the same section.</w:t>
      </w:r>
    </w:p>
    <w:p>
      <w:pPr>
        <w:pStyle w:val="ListParagraph"/>
        <w:numPr>
          <w:ilvl w:val="0"/>
          <w:numId w:val="1"/>
        </w:numPr>
        <w:spacing w:after="120"/>
      </w:pPr>
      <w:r>
        <w:t xml:space="preserve">Experimentally increasing local macromolecular crowding should be sufficient to shift cultured cells toward a dormancy-associated condensate profile, independent of any specific signaling intervention.</w:t>
      </w:r>
    </w:p>
    <w:p>
      <w:pPr>
        <w:pStyle w:val="ListParagraph"/>
        <w:numPr>
          <w:ilvl w:val="0"/>
          <w:numId w:val="1"/>
        </w:numPr>
        <w:spacing w:after="120"/>
      </w:pPr>
      <w:r>
        <w:t xml:space="preserve">Viscoplastic remodeling of the matrix at the periphery should be measurably distinct from, and should precede, purely stiffness-related changes.</w:t>
      </w:r>
    </w:p>
    <w:p>
      <w:pPr>
        <w:pStyle w:val="ListParagraph"/>
        <w:numPr>
          <w:ilvl w:val="0"/>
          <w:numId w:val="1"/>
        </w:numPr>
        <w:spacing w:after="120"/>
      </w:pPr>
      <w:r>
        <w:t xml:space="preserve">Reactivation capacity should split the morphologically "dormant" population into two statistically distinguishable clusters — LLPS-reversible and irreversibly synaeretic.</w:t>
      </w:r>
    </w:p>
    <w:p>
      <w:pPr>
        <w:pStyle w:val="ListParagraph"/>
        <w:numPr>
          <w:ilvl w:val="0"/>
          <w:numId w:val="1"/>
        </w:numPr>
        <w:spacing w:after="120"/>
      </w:pPr>
      <w:r>
        <w:t xml:space="preserve">Markers of LLPS condensates and markers of ECM/cytoskeleton structural collapse should be statistically anticorrelated within a single dormant core, if these are distinct subpopulations rather than a continuum.</w:t>
      </w:r>
    </w:p>
    <w:p>
      <w:pPr>
        <w:pStyle w:val="ListParagraph"/>
        <w:numPr>
          <w:ilvl w:val="0"/>
          <w:numId w:val="1"/>
        </w:numPr>
        <w:spacing w:after="120"/>
      </w:pPr>
      <w:r>
        <w:t xml:space="preserve">The fraction of synaeretic cells within a morphologically "dormant" core should correlate with local Cluttering load in that same zone; the fraction of LLPS cells should correlate with subsequent probability of relapse after treatment.</w:t>
      </w:r>
    </w:p>
    <w:p>
      <w:pPr>
        <w:pStyle w:val="ListParagraph"/>
        <w:numPr>
          <w:ilvl w:val="0"/>
          <w:numId w:val="1"/>
        </w:numPr>
        <w:spacing w:after="120"/>
      </w:pPr>
      <w:r>
        <w:t xml:space="preserve">Inhibiting CDK1 (or other mitotic condensate-dissolving kinases) in proliferating peripheral cells should induce a shift of the cytoplasm toward an LLPS-condensed, dormant-like profile.</w:t>
      </w:r>
    </w:p>
    <w:p>
      <w:pPr>
        <w:pStyle w:val="ListParagraph"/>
        <w:numPr>
          <w:ilvl w:val="0"/>
          <w:numId w:val="1"/>
        </w:numPr>
        <w:spacing w:after="120"/>
      </w:pPr>
      <w:r>
        <w:t xml:space="preserve">The age of a dormant cell (time since it was overtaken by the proliferative front) should correlate with its position along the LLPS-condensation → synaeresis axis, rather than being uniformly distributed throughout the dormant core.</w:t>
      </w:r>
    </w:p>
    <w:p>
      <w:pPr>
        <w:pStyle w:val="ListParagraph"/>
        <w:numPr>
          <w:ilvl w:val="0"/>
          <w:numId w:val="1"/>
        </w:numPr>
        <w:spacing w:after="120"/>
      </w:pPr>
      <w:r>
        <w:t xml:space="preserve">Mean ADC values should fall in the predicted order (necrosis &gt; normal tissue &gt; malignant periphery &gt; LLPS-dormant core) when these zones are mapped separately in a native, previously untreated tumor; this ordering should blur after therapy in proportion to the degree of post-treatment cell intermixing.</w:t>
      </w:r>
    </w:p>
    <w:p>
      <w:pPr>
        <w:pStyle w:val="Heading1"/>
        <w:spacing w:after="150" w:before="300"/>
      </w:pPr>
      <w:r>
        <w:rPr>
          <w:b/>
          <w:bCs/>
        </w:rPr>
        <w:t xml:space="preserve">Limitations</w:t>
      </w:r>
    </w:p>
    <w:p>
      <w:pPr>
        <w:pStyle w:val="ListParagraph"/>
        <w:numPr>
          <w:ilvl w:val="0"/>
          <w:numId w:val="1"/>
        </w:numPr>
        <w:spacing w:after="120"/>
      </w:pPr>
      <w:r>
        <w:t xml:space="preserve">LLPS versus Synaeresis — Distinguishing LLPS condensation and synaeresis as two different physical pathways to dormant-like morphology is an original theoretical synthesis of this work, not directly formulated in the literature.</w:t>
      </w:r>
    </w:p>
    <w:p>
      <w:pPr>
        <w:pStyle w:val="ListParagraph"/>
        <w:numPr>
          <w:ilvl w:val="0"/>
          <w:numId w:val="1"/>
        </w:numPr>
        <w:spacing w:after="120"/>
      </w:pPr>
      <w:r>
        <w:t xml:space="preserve">Peri-Necrotic Niche — The link between the glioblastoma peri-necrotic niche and the LLPS mechanism proposed here is interpretive, based on structural similarity of architecture, not on direct LLPS data in this specific model.</w:t>
      </w:r>
    </w:p>
    <w:p>
      <w:pPr>
        <w:pStyle w:val="ListParagraph"/>
        <w:numPr>
          <w:ilvl w:val="0"/>
          <w:numId w:val="1"/>
        </w:numPr>
        <w:spacing w:after="120"/>
      </w:pPr>
      <w:r>
        <w:t xml:space="preserve">Post-Treatment Cell Mixing — The lack of correlation between ADC and histology in post-treatment metastases indicates that the quantitative ADC model may be reliable primarily in native, untreated tissue.</w:t>
      </w:r>
    </w:p>
    <w:p>
      <w:pPr>
        <w:pStyle w:val="Heading1"/>
        <w:spacing w:after="150" w:before="300"/>
      </w:pPr>
      <w:r>
        <w:rPr>
          <w:b/>
          <w:bCs/>
        </w:rPr>
        <w:t xml:space="preserve">References</w:t>
      </w:r>
    </w:p>
    <w:p>
      <w:pPr>
        <w:spacing w:after="200"/>
      </w:pPr>
      <w:r>
        <w:t xml:space="preserve">1. Modeling tumor transport and growth with poroelastic biopolymer networks. </w:t>
      </w:r>
      <w:hyperlink w:history="1" r:id="rIdejevgzdovjglrnsbfstfk">
        <w:r>
          <w:rPr>
            <w:rStyle w:val="Hyperlink"/>
            <w:color w:val="0563C1"/>
            <w:u w:val="single"/>
          </w:rPr>
          <w:t xml:space="preserve">https://www.biorxiv.org/content/10.1101/2025.09.23.678021.full.pdf</w:t>
        </w:r>
      </w:hyperlink>
    </w:p>
    <w:p>
      <w:pPr>
        <w:spacing w:after="200"/>
      </w:pPr>
      <w:r>
        <w:t xml:space="preserve">2. Toward morphologically relevant extracellular matrix: nanofiber-hydrogel composites for tumor cell culture. </w:t>
      </w:r>
      <w:hyperlink w:history="1" r:id="rIdifzdpobyecsycgziinggo">
        <w:r>
          <w:rPr>
            <w:rStyle w:val="Hyperlink"/>
            <w:color w:val="0563C1"/>
            <w:u w:val="single"/>
          </w:rPr>
          <w:t xml:space="preserve">https://pubs.rsc.org/en/content/articlelanding/2024/tb/d3tb02575f</w:t>
        </w:r>
      </w:hyperlink>
    </w:p>
    <w:p>
      <w:pPr>
        <w:spacing w:after="200"/>
      </w:pPr>
      <w:r>
        <w:t xml:space="preserve">3. Hydrogel Viscoelasticity Modulates Cell Nascent Extracellular Matrix Deposition. </w:t>
      </w:r>
      <w:hyperlink w:history="1" r:id="rIdpa9to1afbzoyr6vjzqjno">
        <w:r>
          <w:rPr>
            <w:rStyle w:val="Hyperlink"/>
            <w:color w:val="0563C1"/>
            <w:u w:val="single"/>
          </w:rPr>
          <w:t xml:space="preserve">https://www.ncbi.nlm.nih.gov/pmc/articles/PMC12590926/</w:t>
        </w:r>
      </w:hyperlink>
    </w:p>
    <w:p>
      <w:pPr>
        <w:spacing w:after="200"/>
      </w:pPr>
      <w:r>
        <w:t xml:space="preserve">4. Advances in Extracellular Matrix-Mimetic Hydrogels to Guide Stem Cell Fate. </w:t>
      </w:r>
      <w:hyperlink w:history="1" r:id="rIdhvk_uerxcdjmhc7eobdee">
        <w:r>
          <w:rPr>
            <w:rStyle w:val="Hyperlink"/>
            <w:color w:val="0563C1"/>
            <w:u w:val="single"/>
          </w:rPr>
          <w:t xml:space="preserve">https://www.ovid.com/journals/ctorg/fulltext/10.1159/000514851</w:t>
        </w:r>
      </w:hyperlink>
    </w:p>
    <w:p>
      <w:pPr>
        <w:spacing w:after="200"/>
      </w:pPr>
      <w:r>
        <w:t xml:space="preserve">5. Extracellular Matrix Physical Properties Regulate Cancer Cell Morphological Transitions in 3D Hydrogel Microtissues. </w:t>
      </w:r>
      <w:hyperlink w:history="1" r:id="rIdvzt5lzux4w_le3cipsqdx">
        <w:r>
          <w:rPr>
            <w:rStyle w:val="Hyperlink"/>
            <w:color w:val="0563C1"/>
            <w:u w:val="single"/>
          </w:rPr>
          <w:t xml:space="preserve">https://www.biorxiv.org/content/10.1101/2025.05.10.653220v1.full</w:t>
        </w:r>
      </w:hyperlink>
    </w:p>
    <w:p>
      <w:pPr>
        <w:spacing w:after="200"/>
      </w:pPr>
      <w:r>
        <w:t xml:space="preserve">6. Liquid–liquid phase separation and biomolecular condensates in cell quiescence. </w:t>
      </w:r>
      <w:hyperlink w:history="1" r:id="rIdwzoxx461gzkzgt9sbllqn">
        <w:r>
          <w:rPr>
            <w:rStyle w:val="Hyperlink"/>
            <w:color w:val="0563C1"/>
            <w:u w:val="single"/>
          </w:rPr>
          <w:t xml:space="preserve">https://sciencedirect.com/science/article/abs/pii/B9780128239674000014</w:t>
        </w:r>
      </w:hyperlink>
    </w:p>
    <w:p>
      <w:pPr>
        <w:spacing w:after="200"/>
      </w:pPr>
      <w:r>
        <w:t xml:space="preserve">7. Liquid phase condensation in cell physiology and disease. Science. </w:t>
      </w:r>
      <w:hyperlink w:history="1" r:id="rIdotgi0n7khirksutpeg4fg">
        <w:r>
          <w:rPr>
            <w:rStyle w:val="Hyperlink"/>
            <w:color w:val="0563C1"/>
            <w:u w:val="single"/>
          </w:rPr>
          <w:t xml:space="preserve">https://www.science.org/doi/10.1126/science.aaf4382</w:t>
        </w:r>
      </w:hyperlink>
    </w:p>
    <w:p>
      <w:pPr>
        <w:spacing w:after="200"/>
      </w:pPr>
      <w:r>
        <w:t xml:space="preserve">8. Liquid–liquid phase separation in cells (MYC, HDAC6 condensates). </w:t>
      </w:r>
      <w:hyperlink w:history="1" r:id="rId7kejze-f7kcgfkhdug4rg">
        <w:r>
          <w:rPr>
            <w:rStyle w:val="Hyperlink"/>
            <w:color w:val="0563C1"/>
            <w:u w:val="single"/>
          </w:rPr>
          <w:t xml:space="preserve">https://www.nature.com/collections/iabcefgejd</w:t>
        </w:r>
      </w:hyperlink>
    </w:p>
    <w:p>
      <w:pPr>
        <w:spacing w:after="200"/>
      </w:pPr>
      <w:r>
        <w:t xml:space="preserve">9. Liquid–Liquid Phase Separation in the Presence of Macromolecular Crowding and State-dependent Kinetics. </w:t>
      </w:r>
      <w:hyperlink w:history="1" r:id="rId5ohjp9bx0vdjomfeysqhh">
        <w:r>
          <w:rPr>
            <w:rStyle w:val="Hyperlink"/>
            <w:color w:val="0563C1"/>
            <w:u w:val="single"/>
          </w:rPr>
          <w:t xml:space="preserve">https://www.ncbi.nlm.nih.gov/pmc/articles/PMC8268629/</w:t>
        </w:r>
      </w:hyperlink>
    </w:p>
    <w:p>
      <w:pPr>
        <w:spacing w:after="200"/>
      </w:pPr>
      <w:r>
        <w:t xml:space="preserve">10. Liquid–liquid phase separation in hepatocellular carcinoma. </w:t>
      </w:r>
      <w:hyperlink w:history="1" r:id="rIddhqlzozgqjuoybabxssn5">
        <w:r>
          <w:rPr>
            <w:rStyle w:val="Hyperlink"/>
            <w:color w:val="0563C1"/>
            <w:u w:val="single"/>
          </w:rPr>
          <w:t xml:space="preserve">https://www.ncbi.nlm.nih.gov/pmc/articles/PMC11703843/</w:t>
        </w:r>
      </w:hyperlink>
    </w:p>
    <w:p>
      <w:pPr>
        <w:spacing w:after="200"/>
      </w:pPr>
      <w:r>
        <w:t xml:space="preserve">11. Cancer Cell enters reversible quiescence through Intracellular Acidification to resist Paclitaxel Cytotoxicity. </w:t>
      </w:r>
      <w:hyperlink w:history="1" r:id="rIdv4nygzml5ddkuzbjo7nk_">
        <w:r>
          <w:rPr>
            <w:rStyle w:val="Hyperlink"/>
            <w:color w:val="0563C1"/>
            <w:u w:val="single"/>
          </w:rPr>
          <w:t xml:space="preserve">https://www.ncbi.nlm.nih.gov/pmc/articles/PMC7359388/</w:t>
        </w:r>
      </w:hyperlink>
    </w:p>
    <w:p>
      <w:pPr>
        <w:spacing w:after="200"/>
      </w:pPr>
      <w:r>
        <w:t xml:space="preserve">12. Induced expression of GINS complex is essential for reactivation of quiescent stem-like tumor cells within the peri-necrotic niche in human glioblastoma. </w:t>
      </w:r>
      <w:hyperlink w:history="1" r:id="rId_75yiau43tfaecdyp5ord">
        <w:r>
          <w:rPr>
            <w:rStyle w:val="Hyperlink"/>
            <w:color w:val="0563C1"/>
            <w:u w:val="single"/>
          </w:rPr>
          <w:t xml:space="preserve">https://www.ncbi.nlm.nih.gov/pmc/articles/PMC6373247/</w:t>
        </w:r>
      </w:hyperlink>
    </w:p>
    <w:p>
      <w:pPr>
        <w:spacing w:after="200"/>
      </w:pPr>
      <w:r>
        <w:t xml:space="preserve">13. When dormancy fuels tumour relapse. Communications Biology. </w:t>
      </w:r>
      <w:hyperlink w:history="1" r:id="rIdohoz8dbbk69ote-8xicug">
        <w:r>
          <w:rPr>
            <w:rStyle w:val="Hyperlink"/>
            <w:color w:val="0563C1"/>
            <w:u w:val="single"/>
          </w:rPr>
          <w:t xml:space="preserve">https://www.nature.com/articles/s42003-021-02257-0</w:t>
        </w:r>
      </w:hyperlink>
    </w:p>
    <w:p>
      <w:pPr>
        <w:spacing w:after="200"/>
      </w:pPr>
      <w:r>
        <w:t xml:space="preserve">14. Unveiling cancer dormancy: Intrinsic mechanisms and extrinsic forces. </w:t>
      </w:r>
      <w:hyperlink w:history="1" r:id="rIdhcfbdxmyl93awjqjjliwm">
        <w:r>
          <w:rPr>
            <w:rStyle w:val="Hyperlink"/>
            <w:color w:val="0563C1"/>
            <w:u w:val="single"/>
          </w:rPr>
          <w:t xml:space="preserve">https://www.sciencedirect.com/science/article/pii/S0304383524002921</w:t>
        </w:r>
      </w:hyperlink>
    </w:p>
    <w:p>
      <w:pPr>
        <w:spacing w:after="200"/>
      </w:pPr>
      <w:r>
        <w:t xml:space="preserve">15. Reactivation of dormant tumor cells by modified lipids derived from stress-activated neutrophils. Science Translational Medicine. </w:t>
      </w:r>
      <w:hyperlink w:history="1" r:id="rIdbubb_9khdiviglxnjnane">
        <w:r>
          <w:rPr>
            <w:rStyle w:val="Hyperlink"/>
            <w:color w:val="0563C1"/>
            <w:u w:val="single"/>
          </w:rPr>
          <w:t xml:space="preserve">https://www.science.org/doi/10.1126/scitranslmed.abb5817</w:t>
        </w:r>
      </w:hyperlink>
    </w:p>
    <w:p>
      <w:pPr>
        <w:spacing w:after="200"/>
      </w:pPr>
      <w:r>
        <w:t xml:space="preserve">16. Mechanisms of active regulation of biomolecular condensates. </w:t>
      </w:r>
      <w:hyperlink w:history="1" r:id="rIdpx0z-4n1oh6tkuj2hxyy7">
        <w:r>
          <w:rPr>
            <w:rStyle w:val="Hyperlink"/>
            <w:color w:val="0563C1"/>
            <w:u w:val="single"/>
          </w:rPr>
          <w:t xml:space="preserve">https://www.biorxiv.org/content/10.1101/694406v1.full</w:t>
        </w:r>
      </w:hyperlink>
    </w:p>
    <w:p>
      <w:pPr>
        <w:spacing w:after="200"/>
      </w:pPr>
      <w:r>
        <w:t xml:space="preserve">17. Phosphorylation of a nuclear condensate regulates cohesion and mRNA retention. Nature Communications. </w:t>
      </w:r>
      <w:hyperlink w:history="1" r:id="rIdwypt1tlcfciyzpokar13q">
        <w:r>
          <w:rPr>
            <w:rStyle w:val="Hyperlink"/>
            <w:color w:val="0563C1"/>
            <w:u w:val="single"/>
          </w:rPr>
          <w:t xml:space="preserve">https://www.nature.com/articles/s41467-024-55469-3</w:t>
        </w:r>
      </w:hyperlink>
    </w:p>
    <w:p>
      <w:pPr>
        <w:spacing w:after="200"/>
      </w:pPr>
      <w:r>
        <w:t xml:space="preserve">18. A cyclin-dependent kinase-mediated phosphorylation switch of disordered protein condensation. </w:t>
      </w:r>
      <w:hyperlink w:history="1" r:id="rIdwkb7jynq4thzj22g7qgda">
        <w:r>
          <w:rPr>
            <w:rStyle w:val="Hyperlink"/>
            <w:color w:val="0563C1"/>
            <w:u w:val="single"/>
          </w:rPr>
          <w:t xml:space="preserve">https://www.ncbi.nlm.nih.gov/pmc/articles/PMC10562473/</w:t>
        </w:r>
      </w:hyperlink>
    </w:p>
    <w:p>
      <w:pPr>
        <w:spacing w:after="200"/>
      </w:pPr>
      <w:r>
        <w:t xml:space="preserve">19. Phosphoregulation provides functional specificity to biomolecular condensates in the cell cycle and cell polarity. </w:t>
      </w:r>
      <w:hyperlink w:history="1" r:id="rIdaeohdaeuwdbkptlwjnsaq">
        <w:r>
          <w:rPr>
            <w:rStyle w:val="Hyperlink"/>
            <w:color w:val="0563C1"/>
            <w:u w:val="single"/>
          </w:rPr>
          <w:t xml:space="preserve">https://www.biorxiv.org/content/10.1101/796755.full.pdf</w:t>
        </w:r>
      </w:hyperlink>
    </w:p>
    <w:p>
      <w:pPr>
        <w:spacing w:after="200"/>
      </w:pPr>
      <w:r>
        <w:t xml:space="preserve">20. Tumor growth with a necrotic core as an obstacle problem in pressure. </w:t>
      </w:r>
      <w:hyperlink w:history="1" r:id="rIdg8b1ux4oyjkdmez3od-gt">
        <w:r>
          <w:rPr>
            <w:rStyle w:val="Hyperlink"/>
            <w:color w:val="0563C1"/>
            <w:u w:val="single"/>
          </w:rPr>
          <w:t xml:space="preserve">https://arxiv.org/pdf/2309.00065</w:t>
        </w:r>
      </w:hyperlink>
    </w:p>
    <w:p>
      <w:pPr>
        <w:spacing w:after="200"/>
      </w:pPr>
      <w:r>
        <w:t xml:space="preserve">21. Diffusion weighted imaging: Technique and applications. </w:t>
      </w:r>
      <w:hyperlink w:history="1" r:id="rIdvbscmhqw2f7znr02iu8i6">
        <w:r>
          <w:rPr>
            <w:rStyle w:val="Hyperlink"/>
            <w:color w:val="0563C1"/>
            <w:u w:val="single"/>
          </w:rPr>
          <w:t xml:space="preserve">https://pmc.ncbi.nlm.nih.gov/articles/PMC5039674/</w:t>
        </w:r>
      </w:hyperlink>
    </w:p>
    <w:p>
      <w:pPr>
        <w:spacing w:after="200"/>
      </w:pPr>
      <w:r>
        <w:t xml:space="preserve">22. Utility of diffusion-weighted imaging to assess hepatocellular carcinoma viability following transarterial chemoembolization. </w:t>
      </w:r>
      <w:hyperlink w:history="1" r:id="rIdjnhidsnnolr_hn7hy9gv2">
        <w:r>
          <w:rPr>
            <w:rStyle w:val="Hyperlink"/>
            <w:color w:val="0563C1"/>
            <w:u w:val="single"/>
          </w:rPr>
          <w:t xml:space="preserve">https://www.ncbi.nlm.nih.gov/pmc/articles/PMC4081130/</w:t>
        </w:r>
      </w:hyperlink>
    </w:p>
    <w:p>
      <w:pPr>
        <w:spacing w:after="200"/>
      </w:pPr>
      <w:r>
        <w:t xml:space="preserve">23. MRI Apparent Diffusion Coefficient (ADC) as a Biomarker of Tumour Response (EORTC 1423). </w:t>
      </w:r>
      <w:hyperlink w:history="1" r:id="rIduoas8wj0ohhk5qg-2hugz">
        <w:r>
          <w:rPr>
            <w:rStyle w:val="Hyperlink"/>
            <w:color w:val="0563C1"/>
            <w:u w:val="single"/>
          </w:rPr>
          <w:t xml:space="preserve">https://www.ncbi.nlm.nih.gov/pmc/articles/PMC10377224/</w:t>
        </w:r>
      </w:hyperlink>
    </w:p>
    <w:p>
      <w:pPr>
        <w:spacing w:after="200"/>
      </w:pPr>
      <w:r>
        <w:t xml:space="preserve">24. Potential of Diffusion-Weighted Imaging in the Characterization of Malignant, Benign, and Healthy Breast Tissues. </w:t>
      </w:r>
      <w:hyperlink w:history="1" r:id="rIdqj9fb_oaia6y1s-tqisxr">
        <w:r>
          <w:rPr>
            <w:rStyle w:val="Hyperlink"/>
            <w:color w:val="0563C1"/>
            <w:u w:val="single"/>
          </w:rPr>
          <w:t xml:space="preserve">https://www.ncbi.nlm.nih.gov/pmc/articles/PMC4876309/</w:t>
        </w:r>
      </w:hyperlink>
    </w:p>
    <w:p>
      <w:pPr>
        <w:spacing w:after="200"/>
      </w:pPr>
      <w:r>
        <w:t xml:space="preserve">25. Pearls and Pitfalls in MRI of Gynecologic Malignancy With Diffusion-Weighted Technique. AJR. </w:t>
      </w:r>
      <w:hyperlink w:history="1" r:id="rIdhn8dd7ldl7trhehfvuxyo">
        <w:r>
          <w:rPr>
            <w:rStyle w:val="Hyperlink"/>
            <w:color w:val="0563C1"/>
            <w:u w:val="single"/>
          </w:rPr>
          <w:t xml:space="preserve">https://www.ajronline.org/doi/10.2214/AJR.12.9713</w:t>
        </w:r>
      </w:hyperlink>
    </w:p>
    <w:p>
      <w:pPr>
        <w:spacing w:after="200"/>
      </w:pPr>
      <w:r>
        <w:t xml:space="preserve">26. RadioGyan — Doppler-guided biopsy targeting active region. </w:t>
      </w:r>
      <w:hyperlink w:history="1" r:id="rIdtwc_rwwofnh8ofzzbacpn">
        <w:r>
          <w:rPr>
            <w:rStyle w:val="Hyperlink"/>
            <w:color w:val="0563C1"/>
            <w:u w:val="single"/>
          </w:rPr>
          <w:t xml:space="preserve">https://radiogyan.com/articles/56652/</w:t>
        </w:r>
      </w:hyperlink>
    </w:p>
    <w:p>
      <w:r>
        <w:br w:type="page"/>
      </w:r>
    </w:p>
    <w:p>
      <w:pPr>
        <w:spacing w:after="3000"/>
      </w:pPr>
      <w:r>
        <w:t xml:space="preserve"/>
      </w:r>
    </w:p>
    <w:p>
      <w:pPr>
        <w:spacing w:after="200"/>
        <w:jc w:val="center"/>
      </w:pPr>
      <w:r>
        <w:rPr>
          <w:b/>
          <w:bCs/>
          <w:color w:val="888888"/>
          <w:sz w:val="32"/>
          <w:szCs w:val="32"/>
        </w:rPr>
        <w:t xml:space="preserve">Part III</w:t>
      </w:r>
    </w:p>
    <w:p>
      <w:pPr>
        <w:spacing w:after="0"/>
        <w:jc w:val="center"/>
      </w:pPr>
      <w:r>
        <w:rPr>
          <w:b/>
          <w:bCs/>
          <w:sz w:val="44"/>
          <w:szCs w:val="44"/>
        </w:rPr>
        <w:t xml:space="preserve">Boundary Cases of the Framework</w:t>
      </w:r>
    </w:p>
    <w:p>
      <w:r>
        <w:br w:type="page"/>
      </w:r>
    </w:p>
    <w:p>
      <w:pPr>
        <w:spacing w:after="60"/>
      </w:pPr>
      <w:r>
        <w:rPr>
          <w:i/>
          <w:iCs/>
          <w:color w:val="666666"/>
        </w:rPr>
        <w:t xml:space="preserve">Framework 1.2 — Part III</w:t>
      </w:r>
    </w:p>
    <w:p>
      <w:pPr>
        <w:spacing w:after="60"/>
      </w:pPr>
      <w:r>
        <w:rPr>
          <w:b/>
          <w:bCs/>
          <w:color w:val="555555"/>
          <w:sz w:val="24"/>
          <w:szCs w:val="24"/>
        </w:rPr>
        <w:t xml:space="preserve">Chapter 9</w:t>
      </w:r>
    </w:p>
    <w:p>
      <w:pPr>
        <w:pStyle w:val="Title"/>
        <w:spacing w:after="100"/>
      </w:pPr>
      <w:r>
        <w:t xml:space="preserve">Lymphomas</w:t>
      </w:r>
    </w:p>
    <w:p>
      <w:pPr>
        <w:spacing w:after="300"/>
      </w:pPr>
      <w:r>
        <w:rPr>
          <w:i/>
          <w:iCs/>
        </w:rPr>
        <w:t xml:space="preserve">Testing the Boundary of the Model's Applicability</w:t>
      </w:r>
    </w:p>
    <w:p>
      <w:pPr>
        <w:pStyle w:val="Heading1"/>
        <w:spacing w:after="150" w:before="300"/>
      </w:pPr>
      <w:r>
        <w:rPr>
          <w:b/>
          <w:bCs/>
        </w:rPr>
        <w:t xml:space="preserve">Abstract</w:t>
      </w:r>
    </w:p>
    <w:p>
      <w:pPr>
        <w:spacing w:after="200"/>
      </w:pPr>
      <w:r>
        <w:t xml:space="preserve">Lymphomas occupy an unusual position for Framework 1.2: they are hematological, like CHIP and leukemia (Articles 3–4), but architecturally they arise inside a tissue whose native physiology is itself a machine for staged clonal selection — the germinal center. This article does not treat lymphoma as one more confirming instance of Mess Clone → Peripheral Selection; it treats lymphoid tissue as a stress test of the model's core claims. Four lines of evidence are assembled: the germinal center as a physiological, non-pathological instance of the multicentric domain already formalized in Article 2 §7; the t(14;18) BCL2 translocation as a naturally occurring, epidemiologically common Mess Clone that resolves without malignancy in most carriers; watch-and-wait management of indolent lymphoma as a clinical practice that already treats a malignant clone as a stable Dormant Cell Pool without naming it as such; and Helicobacter pylori-associated MALT lymphoma as the strongest available human test of horizontal suppression, where removing the driving antigenic signal reverses the clone directly. Richter transformation is examined as the lymphoid analog of the CHIP → AML transition described in Articles 3–4. The article closes by naming where the model's transfer from solid tumors may be strained rather than supported by lymphoid tissue.</w:t>
      </w:r>
    </w:p>
    <w:p>
      <w:pPr>
        <w:pStyle w:val="Heading1"/>
        <w:spacing w:after="150" w:before="300"/>
      </w:pPr>
      <w:r>
        <w:rPr>
          <w:b/>
          <w:bCs/>
        </w:rPr>
        <w:t xml:space="preserve">1. The Germinal Center as a Native Instance of the Multicentric Domain</w:t>
      </w:r>
    </w:p>
    <w:p>
      <w:pPr>
        <w:spacing w:after="200"/>
      </w:pPr>
      <w:r>
        <w:t xml:space="preserve">A healthy lymph node ordinarily contains multiple independent germinal centers (GCs), one per responding follicle, each running its own cycle of clonal expansion and selection. Within each GC, B cells cycle between a dark zone, where centroblasts proliferate and undergo somatic hypermutation, and a light zone, where the resulting centrocytes compete for antigen displayed on follicular dendritic cells and for T follicular helper cell support.</w:t>
      </w:r>
    </w:p>
    <w:p>
      <w:pPr>
        <w:spacing w:after="200"/>
      </w:pPr>
      <w:r>
        <w:t xml:space="preserve">Selection in the light zone operates by default failure rather than default success: centrocytes die by apoptosis unless positively rescued by antigen binding and T cell help, and this apoptotic default holds even for dark-zone cells whose hypermutation has damaged their own genome. The resulting apoptotic debris is cleared continuously by tingible body macrophages present in both zones, producing the classic "starry sky" histological pattern of a healthy, actively selecting follicle.</w:t>
      </w:r>
    </w:p>
    <w:p>
      <w:pPr>
        <w:spacing w:after="200"/>
      </w:pPr>
      <w:r>
        <w:t xml:space="preserve">This maps directly onto the multicentric domain already defined for solid tumors in Article 2 §7 (synchronization vs. independence of oscillating growth centers) — not as an analogy requiring new formalism, but as a literal, physiological instance of it. A lymph node is, natively, a tissue built to run many parallel, apoptosis-gated selection cycles at once. Where a solid tumor's mutlicentricity is a pathological pattern that must be explained case by case, the lymph node's multicentricity is baseline architecture, present before any pathology exists.</w:t>
      </w:r>
    </w:p>
    <w:p>
      <w:pPr>
        <w:spacing w:after="200"/>
      </w:pPr>
      <w:r>
        <w:t xml:space="preserve">This reframes the opening question for the entire article. The relevant question is not whether Peripheral Selection can occur in lymphoid tissue — the tissue already runs a more aggressive version of it as its normal function — but what changes when one of these native selection cycles becomes clonal and self-sustaining rather than antigen-terminated.</w:t>
      </w:r>
    </w:p>
    <w:p>
      <w:pPr>
        <w:pStyle w:val="Heading1"/>
        <w:spacing w:after="150" w:before="300"/>
      </w:pPr>
      <w:r>
        <w:rPr>
          <w:b/>
          <w:bCs/>
        </w:rPr>
        <w:t xml:space="preserve">2. t(14;18) BCL2 as Mess Clone in Naturally Occurring, Population-Scale Form</w:t>
      </w:r>
    </w:p>
    <w:p>
      <w:pPr>
        <w:spacing w:after="200"/>
      </w:pPr>
      <w:r>
        <w:t xml:space="preserve">The t(14;18)(q32;q21) translocation juxtaposes BCL2 with the immunoglobulin heavy chain locus, driving constitutive overexpression of the anti-apoptotic BCL2 protein and conferring a survival advantage on the affected B cell clone against the light zone's default-apoptosis selection described in Section 1. It is detected cytogenetically in the large majority of follicular lymphoma (FL) cases and in a substantial minority of diffuse large B-cell lymphoma.</w:t>
      </w:r>
    </w:p>
    <w:p>
      <w:pPr>
        <w:spacing w:after="200"/>
      </w:pPr>
      <w:r>
        <w:t xml:space="preserve">Its significance for the model is that it is also detectable, at low frequency, in circulating B cells of a large fraction of hematologically healthy adults, with prevalence rising steadily with age — reported figures range from roughly one-third to over 60% of healthy adults depending on cohort and assay sensitivity, with a clear age gradient and essentially no detectable carriers in children. This is structurally identical to the CHIP epidemiology developed in Article 3: a driver lesion, individually insufficient for malignancy, accumulating with age in a population that mostly never progresses.</w:t>
      </w:r>
    </w:p>
    <w:p>
      <w:pPr>
        <w:spacing w:after="200"/>
      </w:pPr>
      <w:r>
        <w:t xml:space="preserve">A large prospective cohort (EPIC) subsequently showed that healthy individuals who later developed FL had, years before diagnosis, a measurably higher t(14;18) frequency than matched controls who did not, with risk estimates remaining significant up to fifteen years before clinical diagnosis. In Framework terms, this is a direct, longitudinally validated demonstration that a Mess Clone can be tracked for over a decade before crossing into a Pathologic Clone — the graded capture gradient formalized in the Dormant Cell Pool companion article, observed here at population scale rather than reconstructed retrospectively.</w:t>
      </w:r>
    </w:p>
    <w:p>
      <w:pPr>
        <w:spacing w:after="200"/>
      </w:pPr>
      <w:r>
        <w:t xml:space="preserve">A further finding sharpens the mechanism rather than merely the epidemiology: t(14;18)-positive B cells recovered from healthy individuals and from reactive (non-malignant) lymph nodes were shown to actually reside within the germinal center compartment itself, not merely circulate incidentally in blood — meaning the Mess Clone in this system is not passively tolerated somewhere outside the selection apparatus, but is sitting inside it, competing on the same light-zone terms as every normal centrocyte, and simply winning that competition more often because of its acquired apoptosis resistance.</w:t>
      </w:r>
    </w:p>
    <w:p>
      <w:pPr>
        <w:pStyle w:val="Heading1"/>
        <w:spacing w:after="150" w:before="300"/>
      </w:pPr>
      <w:r>
        <w:rPr>
          <w:b/>
          <w:bCs/>
        </w:rPr>
        <w:t xml:space="preserve">3. Watch-and-Wait as a Clinically Pre-Existing Dormant Cell Pool</w:t>
      </w:r>
    </w:p>
    <w:p>
      <w:pPr>
        <w:spacing w:after="200"/>
      </w:pPr>
      <w:r>
        <w:t xml:space="preserve">Indolent lymphoma — chiefly low-tumor-burden, asymptomatic follicular lymphoma — is the one oncological category where deferring treatment is a standard, guideline-supported strategy rather than a last resort. The rationale is empirical rather than theoretical: multiple retrospective and randomized comparisons have failed to show an overall survival benefit from early treatment initiation in asymptomatic, low-burden disease, even though early treatment reliably improves progression-free survival and time to next treatment.</w:t>
      </w:r>
    </w:p>
    <w:p>
      <w:pPr>
        <w:spacing w:after="200"/>
      </w:pPr>
      <w:r>
        <w:t xml:space="preserve">This is a case where clinical practice has, independently and without Framework language, already been treating a genuine malignant clone as a stable, monitorable Dormant Cell Pool: the tumor is present, quantifiable, and biologically active, yet its natural history under observation alone does not translate into excess mortality for a large fraction of patients, and average survival after diagnosis is measured in decades rather than years. A minority of cases even show spontaneous, unprompted tumor shrinkage during observation — direct evidence that the clone's size is not a monotonic function of clonal fitness alone, but fluctuates, consistent with the Regeneration Pendulum's cyclical rather than unidirectional growth logic.</w:t>
      </w:r>
    </w:p>
    <w:p>
      <w:pPr>
        <w:spacing w:after="200"/>
      </w:pPr>
      <w:r>
        <w:t xml:space="preserve">The one point where this clinical picture pushes back against a naive extension of the model is transformation risk. Histological transformation to an aggressive lymphoma (most often diffuse large B-cell lymphoma) occurs in a meaningful minority of watched patients over long follow-up, and whether early treatment measurably delays or prevents this transformation remains actively disputed between trials — recent long-term data show no significant difference in transformation rate between early-rituximab and watch-and-wait arms at fifteen years, while some other trial populations have shown a difference at shorter follow-up. This is precisely the kind of open, contested clinical question the model should be tested against rather than assumed to already explain.</w:t>
      </w:r>
    </w:p>
    <w:p>
      <w:pPr>
        <w:pStyle w:val="Heading1"/>
        <w:spacing w:after="150" w:before="300"/>
      </w:pPr>
      <w:r>
        <w:rPr>
          <w:b/>
          <w:bCs/>
        </w:rPr>
        <w:t xml:space="preserve">4. MALT Lymphoma: Horizontal Suppression Tested by Removing the Driving Signal</w:t>
      </w:r>
    </w:p>
    <w:p>
      <w:pPr>
        <w:spacing w:after="200"/>
      </w:pPr>
      <w:r>
        <w:t xml:space="preserve">Gastric mucosa-associated lymphoid tissue (MALT) lymphoma is, among all human cancers, close to a unique case: a substantial majority of cases arise in the specific context of chronic Helicobacter pylori infection, and eradicating the bacterium with antibiotics alone — with no chemotherapy, radiotherapy, or surgery — produces durable histological regression of the lymphoma in the majority of H. pylori-positive, early-stage cases, with reported complete response rates clustering around three-quarters of patients and durable long-term remission in most responders.</w:t>
      </w:r>
    </w:p>
    <w:p>
      <w:pPr>
        <w:spacing w:after="200"/>
      </w:pPr>
      <w:r>
        <w:t xml:space="preserve">This is the single strongest available human test of horizontal suppression removal as formulated in the Vertical and Horizontal Suppression synthesis: the antigenic/inflammatory signal sustaining the clone's local selective advantage is not inferred, blocked pharmacologically, or targeted at the clone itself — it is removed at its biological source, and the tumor's regression follows as a direct, mechanistically legible consequence rather than as an indirect cytotoxic effect. This is architecturally distinct from chemotherapy, which kills the clone directly regardless of what sustains it; MALT lymphoma regression after H. pylori eradication instead demonstrates that removing the ecological driver of horizontal selection can be sufficient on its own, at least in a well-defined disease stage.</w:t>
      </w:r>
    </w:p>
    <w:p>
      <w:pPr>
        <w:spacing w:after="200"/>
      </w:pPr>
      <w:r>
        <w:t xml:space="preserve">Response is stage- and biology-dependent in an informative way: response rates are markedly lower once the lymphoma has acquired the t(11;18)(q21;q21) translocation, and H. pylori-negative cases respond to eradication therapy far less reliably than H. pylori-positive ones. In Framework terms, this maps onto a transition already anticipated by the model — a clone that initially depends on an external horizontal signal for its advantage can acquire independence from that signal (via additional genetic lesions), after which removing the original driver no longer reverses the tumor. This is a testable, mechanistically specific boundary between clones still under active horizontal suppression control and clones that have escaped it.</w:t>
      </w:r>
    </w:p>
    <w:p>
      <w:pPr>
        <w:pStyle w:val="Heading1"/>
        <w:spacing w:after="150" w:before="300"/>
      </w:pPr>
      <w:r>
        <w:rPr>
          <w:b/>
          <w:bCs/>
        </w:rPr>
        <w:t xml:space="preserve">5. Richter Transformation as the Lymphoid Analog of CHIP → AML</w:t>
      </w:r>
    </w:p>
    <w:p>
      <w:pPr>
        <w:spacing w:after="200"/>
      </w:pPr>
      <w:r>
        <w:t xml:space="preserve">Richter transformation (RT) — the evolution of chronic lymphocytic leukemia (CLL) into an aggressive lymphoma, usually diffuse large B-cell lymphoma — occurs in roughly 2–10% of CLL patients and carries a markedly worse prognosis than the antecedent CLL. Genomically, RT is driven by a recurring set of lesions (TP53 inactivation, CDKN2A/B loss, NOTCH1 activation, MYC dysregulation) layered onto the pre-existing CLL clone.</w:t>
      </w:r>
    </w:p>
    <w:p>
      <w:pPr>
        <w:spacing w:after="200"/>
      </w:pPr>
      <w:r>
        <w:t xml:space="preserve">Molecular clonal-relationship studies place RT into two biologically distinct categories: in the majority of cases the transforming clone shares an identical immunoglobulin gene rearrangement with the original CLL clone (clonally related RT), while in a minority the aggressive lymphoma arises as a genuinely independent, clonally unrelated second malignancy that happens to occur in a CLL-affected patient. Clonally related RT carries a substantially worse prognosis than clonally unrelated RT, which behaves more like a de novo lymphoma.</w:t>
      </w:r>
    </w:p>
    <w:p>
      <w:pPr>
        <w:spacing w:after="200"/>
      </w:pPr>
      <w:r>
        <w:t xml:space="preserve">This bifurcation is directly informative for the CHIP → AML parallel developed in Articles 3–4. Clonally related RT is the lymphoid equivalent of AML arising from the pre-existing CHIP clone itself — the same population accumulating the additional hits needed to cross from Mess/Peripheral-Selection into active, niche-constructing malignancy (the transition marked in Article 3 §7 as the CHIP/frank-leukemia boundary). Clonally unrelated RT has no equivalent in the CHIP-AML story as currently formulated — it is a case where a chronically abnormal immune and marrow environment appears to promote a second, independent malignancy, which is closer to the CHIP multisystem/inflammatory-hub logic (Article 3 §4) than to direct clonal progression. Whether an analogous clonally-unrelated pathway exists for CHIP → AML, and has simply not been resolved at the same clonal-sequencing resolution, is an open question the current CHIP article does not address.</w:t>
      </w:r>
    </w:p>
    <w:p>
      <w:pPr>
        <w:pStyle w:val="Heading1"/>
        <w:spacing w:after="150" w:before="300"/>
      </w:pPr>
      <w:r>
        <w:rPr>
          <w:b/>
          <w:bCs/>
        </w:rPr>
        <w:t xml:space="preserve">6. Where the Model May Not Hold: An Honest Boundary</w:t>
      </w:r>
    </w:p>
    <w:p>
      <w:pPr>
        <w:spacing w:after="200"/>
      </w:pPr>
      <w:r>
        <w:t xml:space="preserve">Lymphoid tissue is not epithelium, and two structural disanalogies should be stated plainly rather than absorbed by generous interpretation.</w:t>
      </w:r>
    </w:p>
    <w:p>
      <w:pPr>
        <w:pStyle w:val="ListParagraph"/>
        <w:numPr>
          <w:ilvl w:val="0"/>
          <w:numId w:val="1"/>
        </w:numPr>
        <w:spacing w:after="120"/>
      </w:pPr>
      <w:r>
        <w:t xml:space="preserve">Baseline turnover is categorically higher and apoptosis-default rather than survival-default. A solid tissue's Cellular Mess (Article 1) is, by definition, a deviation from a normally low background rate of uncorrected Fall events. A germinal center's normal operation already kills most of the cells it produces, by design, every cycle. The signal-to-noise ratio the model relies on elsewhere — Mess as a detectable elevation above a quiet baseline — may not transfer cleanly to a tissue whose baseline is this loud.</w:t>
      </w:r>
    </w:p>
    <w:p>
      <w:pPr>
        <w:pStyle w:val="ListParagraph"/>
        <w:numPr>
          <w:ilvl w:val="0"/>
          <w:numId w:val="1"/>
        </w:numPr>
        <w:spacing w:after="120"/>
      </w:pPr>
      <w:r>
        <w:t xml:space="preserve">Niche geometry does not match the exomatrix/hydrogel formalism. The lymph node's stroma (fibroblastic reticular cell conduit network, high endothelial venules) is built for directed chemokine transport and controlled lymphocyte trafficking, not for the mechanical, gel-phase load-bearing role the exomatrix plays around a solid tumor mass (Article 5). Immune Geometry (Article 2) was formulated around a shielded, avascular-adjacent dormant core; the lymph node offers no equivalent geometric shielding structure, and the Article 2 §9 endometrium-style "domain" language may need independent re-derivation here rather than direct import.</w:t>
      </w:r>
    </w:p>
    <w:p>
      <w:pPr>
        <w:spacing w:after="200"/>
      </w:pPr>
      <w:r>
        <w:t xml:space="preserve">Neither point falsifies the model's applicability to lymphoma. Both mark exactly where the transfer requires new argument rather than analogy, which is the stated purpose of treating lymphoma as a boundary case rather than a confirming one.</w:t>
      </w:r>
    </w:p>
    <w:p>
      <w:pPr>
        <w:pStyle w:val="Heading1"/>
        <w:spacing w:after="150" w:before="300"/>
      </w:pPr>
      <w:r>
        <w:rPr>
          <w:b/>
          <w:bCs/>
        </w:rPr>
        <w:t xml:space="preserve">7. Testable Predictions</w:t>
      </w:r>
    </w:p>
    <w:p>
      <w:pPr>
        <w:pStyle w:val="ListParagraph"/>
        <w:numPr>
          <w:ilvl w:val="0"/>
          <w:numId w:val="1"/>
        </w:numPr>
        <w:spacing w:after="120"/>
      </w:pPr>
      <w:r>
        <w:t xml:space="preserve">Age-stratified t(14;18) frequency in healthy individuals should follow a capture-gradient curve statistically comparable in shape (not necessarily in absolute rate) to CHIP variant-allele-fraction accumulation curves already reported in Article 3.</w:t>
      </w:r>
    </w:p>
    <w:p>
      <w:pPr>
        <w:pStyle w:val="ListParagraph"/>
        <w:numPr>
          <w:ilvl w:val="0"/>
          <w:numId w:val="1"/>
        </w:numPr>
        <w:spacing w:after="120"/>
      </w:pPr>
      <w:r>
        <w:t xml:space="preserve">Among watch-and-wait FL cohorts, periods of spontaneous tumor size reduction should be temporally associated with measurable shifts in local or systemic immune activity (e.g., T follicular helper or cytotoxic T cell markers) rather than occurring at random with respect to immune status.</w:t>
      </w:r>
    </w:p>
    <w:p>
      <w:pPr>
        <w:pStyle w:val="ListParagraph"/>
        <w:numPr>
          <w:ilvl w:val="0"/>
          <w:numId w:val="1"/>
        </w:numPr>
        <w:spacing w:after="120"/>
      </w:pPr>
      <w:r>
        <w:t xml:space="preserve">H. pylori-negative MALT lymphoma and t(11;18)-positive MALT lymphoma should show convergent molecular evidence of horizontal-signal independence (e.g., constitutive NF-κB pathway activation) distinguishing them from signal-dependent, eradication-responsive cases.</w:t>
      </w:r>
    </w:p>
    <w:p>
      <w:pPr>
        <w:pStyle w:val="ListParagraph"/>
        <w:numPr>
          <w:ilvl w:val="0"/>
          <w:numId w:val="1"/>
        </w:numPr>
        <w:spacing w:after="120"/>
      </w:pPr>
      <w:r>
        <w:t xml:space="preserve">Clonally related Richter transformation should show a mutational signature overlapping with the CHIP → AML transition markers proposed in Article 3 (multi-hit combinatorial acquisition rather than a single driver), while clonally unrelated RT should not.</w:t>
      </w:r>
    </w:p>
    <w:p>
      <w:pPr>
        <w:pStyle w:val="ListParagraph"/>
        <w:numPr>
          <w:ilvl w:val="0"/>
          <w:numId w:val="1"/>
        </w:numPr>
        <w:spacing w:after="120"/>
      </w:pPr>
      <w:r>
        <w:t xml:space="preserve">If germinal centers are a true native instance of the Article 2 §7 multicentric domain, synchronization versus independence between simultaneously active follicles within one lymph node should be measurable and should predict which follicle, if any, is more likely to be the site of subsequent clonal (t(14;18)-driven) dominance.</w:t>
      </w:r>
    </w:p>
    <w:p>
      <w:pPr>
        <w:pStyle w:val="Heading1"/>
        <w:spacing w:after="150" w:before="300"/>
      </w:pPr>
      <w:r>
        <w:rPr>
          <w:b/>
          <w:bCs/>
        </w:rPr>
        <w:t xml:space="preserve">8. Limitations</w:t>
      </w:r>
    </w:p>
    <w:p>
      <w:pPr>
        <w:spacing w:after="200"/>
      </w:pPr>
      <w:r>
        <w:t xml:space="preserve">This article is a synthesis of literature on independently documented clinical and cellular phenomena, not a report of new data. The mapping of germinal center biology onto the multicentric-domain formalism from Article 2 is proposed here for the first time and has not been tested against that formalism's original quantitative assumptions, which were derived from solid-tumor geometry. Watch-and-wait outcome data are drawn from heterogeneous cohorts with differing follow-up durations and treatment eras (pre- and post-rituximab), and the transformation-rate discrepancy noted in Section 3 between long-term UK and shorter-term Japanese trial data is unresolved in the source literature itself, not only in this synthesis. The Richter transformation clonal-relationship literature is based on IgVH sequencing studies with modest sample sizes; population-scale, sequencing-resolved data comparable to the t(14;18) healthy-cohort studies do not yet exist for RT precursor states.</w:t>
      </w:r>
    </w:p>
    <w:p>
      <w:pPr>
        <w:pStyle w:val="Heading1"/>
        <w:spacing w:after="150" w:before="300"/>
      </w:pPr>
      <w:r>
        <w:rPr>
          <w:b/>
          <w:bCs/>
        </w:rPr>
        <w:t xml:space="preserve">References</w:t>
      </w:r>
    </w:p>
    <w:p>
      <w:pPr>
        <w:spacing w:after="200"/>
      </w:pPr>
      <w:r>
        <w:t xml:space="preserve">1. The microanatomic segregation of selection by apoptosis in the germinal center. Science. </w:t>
      </w:r>
      <w:hyperlink w:history="1" r:id="rId1qtb56b2woxceofvnw2kx">
        <w:r>
          <w:rPr>
            <w:rStyle w:val="Hyperlink"/>
            <w:color w:val="0563C1"/>
            <w:u w:val="single"/>
          </w:rPr>
          <w:t xml:space="preserve">https://science.sciencemag.org/content/358/6360/eaao2602</w:t>
        </w:r>
      </w:hyperlink>
    </w:p>
    <w:p>
      <w:pPr>
        <w:spacing w:after="200"/>
      </w:pPr>
      <w:r>
        <w:t xml:space="preserve">2. Germinal-Center Organization and Cellular Dynamics. Immunity. </w:t>
      </w:r>
      <w:hyperlink w:history="1" r:id="rId3ru7om_s7wc72pcn2beuh">
        <w:r>
          <w:rPr>
            <w:rStyle w:val="Hyperlink"/>
            <w:color w:val="0563C1"/>
            <w:u w:val="single"/>
          </w:rPr>
          <w:t xml:space="preserve">https://www.cell.com/immunity/fulltext/S1074-7613(07)00370-6</w:t>
        </w:r>
      </w:hyperlink>
    </w:p>
    <w:p>
      <w:pPr>
        <w:spacing w:after="200"/>
      </w:pPr>
      <w:r>
        <w:t xml:space="preserve">3. Novel specialized cell state and spatial compartments within the germinal center. </w:t>
      </w:r>
      <w:hyperlink w:history="1" r:id="rIdrp6ieuxowlbz9k-rk2pbw">
        <w:r>
          <w:rPr>
            <w:rStyle w:val="Hyperlink"/>
            <w:color w:val="0563C1"/>
            <w:u w:val="single"/>
          </w:rPr>
          <w:t xml:space="preserve">https://pmc.ncbi.nlm.nih.gov/articles/PMC7255947/</w:t>
        </w:r>
      </w:hyperlink>
    </w:p>
    <w:p>
      <w:pPr>
        <w:spacing w:after="200"/>
      </w:pPr>
      <w:r>
        <w:t xml:space="preserve">4. Prevalence and frequency of circulating t(14;18)-MBR translocation carrying cells in healthy individuals. </w:t>
      </w:r>
      <w:hyperlink w:history="1" r:id="rIdarhno3xcmvta0zem_lxzg">
        <w:r>
          <w:rPr>
            <w:rStyle w:val="Hyperlink"/>
            <w:color w:val="0563C1"/>
            <w:u w:val="single"/>
          </w:rPr>
          <w:t xml:space="preserve">https://pmc.ncbi.nlm.nih.gov/articles/PMC4216731/</w:t>
        </w:r>
      </w:hyperlink>
    </w:p>
    <w:p>
      <w:pPr>
        <w:spacing w:after="200"/>
      </w:pPr>
      <w:r>
        <w:t xml:space="preserve">5. Circulating t(14;18)-Positive Cells in Healthy Individuals — Association with Age and Sex but not with Smoking. </w:t>
      </w:r>
      <w:hyperlink w:history="1" r:id="rIdvbbda23_hybofq43oplhg">
        <w:r>
          <w:rPr>
            <w:rStyle w:val="Hyperlink"/>
            <w:color w:val="0563C1"/>
            <w:u w:val="single"/>
          </w:rPr>
          <w:t xml:space="preserve">https://pmc.ncbi.nlm.nih.gov/articles/PMC4444076/</w:t>
        </w:r>
      </w:hyperlink>
    </w:p>
    <w:p>
      <w:pPr>
        <w:spacing w:after="200"/>
      </w:pPr>
      <w:r>
        <w:t xml:space="preserve">6. t(14;18) Translocation: A Predictive Blood Biomarker for Follicular Lymphoma. Journal of Clinical Oncology. </w:t>
      </w:r>
      <w:hyperlink w:history="1" r:id="rId54kpv-paavgnngq6ony-x">
        <w:r>
          <w:rPr>
            <w:rStyle w:val="Hyperlink"/>
            <w:color w:val="0563C1"/>
            <w:u w:val="single"/>
          </w:rPr>
          <w:t xml:space="preserve">https://ascopubs.org/doi/10.1200/JCO.2013.52.8190</w:t>
        </w:r>
      </w:hyperlink>
    </w:p>
    <w:p>
      <w:pPr>
        <w:spacing w:after="200"/>
      </w:pPr>
      <w:r>
        <w:t xml:space="preserve">7. Human t(14;18)-positive germinal center B cells: a new step in follicular lymphoma pathogenesis? Blood. </w:t>
      </w:r>
      <w:hyperlink w:history="1" r:id="rIdw5leqesifq_vuwbd5i0ut">
        <w:r>
          <w:rPr>
            <w:rStyle w:val="Hyperlink"/>
            <w:color w:val="0563C1"/>
            <w:u w:val="single"/>
          </w:rPr>
          <w:t xml:space="preserve">https://ashpublications.org/blood/article/123/22/3462/32548/Human-t-14-18-positive-germinal-center-B-cells-a</w:t>
        </w:r>
      </w:hyperlink>
    </w:p>
    <w:p>
      <w:pPr>
        <w:spacing w:after="200"/>
      </w:pPr>
      <w:r>
        <w:t xml:space="preserve">8. Rituximab versus active surveillance in patients with follicular lymphoma. The Lancet Haematology. </w:t>
      </w:r>
      <w:hyperlink w:history="1" r:id="rId4_sqrgtnuwymtuxtmv1lw">
        <w:r>
          <w:rPr>
            <w:rStyle w:val="Hyperlink"/>
            <w:color w:val="0563C1"/>
            <w:u w:val="single"/>
          </w:rPr>
          <w:t xml:space="preserve">https://www.thelancet.com/journals/lanhae/article/PIIS2352-3026(25)00105-X/fulltext</w:t>
        </w:r>
      </w:hyperlink>
    </w:p>
    <w:p>
      <w:pPr>
        <w:spacing w:after="200"/>
      </w:pPr>
      <w:r>
        <w:t xml:space="preserve">9. Long-term outcomes of patients with primary intestinal follicular lymphoma managed with watch-and-wait strategy. Scientific Reports. </w:t>
      </w:r>
      <w:hyperlink w:history="1" r:id="rIdtqy2577zgyzbhqfs83iee">
        <w:r>
          <w:rPr>
            <w:rStyle w:val="Hyperlink"/>
            <w:color w:val="0563C1"/>
            <w:u w:val="single"/>
          </w:rPr>
          <w:t xml:space="preserve">https://www.nature.com/articles/s41598-023-32736-9</w:t>
        </w:r>
      </w:hyperlink>
    </w:p>
    <w:p>
      <w:pPr>
        <w:spacing w:after="200"/>
      </w:pPr>
      <w:r>
        <w:t xml:space="preserve">10. Watch-and-wait approach remains 'reasonable' for some patients with follicular lymphoma. </w:t>
      </w:r>
      <w:hyperlink w:history="1" r:id="rIdaai61etii0_dfro1owkch">
        <w:r>
          <w:rPr>
            <w:rStyle w:val="Hyperlink"/>
            <w:color w:val="0563C1"/>
            <w:u w:val="single"/>
          </w:rPr>
          <w:t xml:space="preserve">https://www.healio.com/news/hematology-oncology/20220602/watchandwait-approach-remains-reasonable-for-some-patients-with-follicular-lymphoma</w:t>
        </w:r>
      </w:hyperlink>
    </w:p>
    <w:p>
      <w:pPr>
        <w:spacing w:after="200"/>
      </w:pPr>
      <w:r>
        <w:t xml:space="preserve">11. Has the time come to leave the "watch-and-wait" strategy in newly diagnosed asymptomatic follicular lymphoma patients? </w:t>
      </w:r>
      <w:hyperlink w:history="1" r:id="rIduwwkgfao8pzn4svcn9kns">
        <w:r>
          <w:rPr>
            <w:rStyle w:val="Hyperlink"/>
            <w:color w:val="0563C1"/>
            <w:u w:val="single"/>
          </w:rPr>
          <w:t xml:space="preserve">https://pmc.ncbi.nlm.nih.gov/articles/PMC3489567/</w:t>
        </w:r>
      </w:hyperlink>
    </w:p>
    <w:p>
      <w:pPr>
        <w:spacing w:after="200"/>
      </w:pPr>
      <w:r>
        <w:t xml:space="preserve">12. Gastric MALT lymphoma refractory to Helicobacter pylori antibiotic therapy. </w:t>
      </w:r>
      <w:hyperlink w:history="1" r:id="rId2vejv94snzj_6qjhl-msk">
        <w:r>
          <w:rPr>
            <w:rStyle w:val="Hyperlink"/>
            <w:color w:val="0563C1"/>
            <w:u w:val="single"/>
          </w:rPr>
          <w:t xml:space="preserve">https://pmc.ncbi.nlm.nih.gov/articles/PMC6699002/</w:t>
        </w:r>
      </w:hyperlink>
    </w:p>
    <w:p>
      <w:pPr>
        <w:spacing w:after="200"/>
      </w:pPr>
      <w:r>
        <w:t xml:space="preserve">13. Long-term outcome following Helicobacter pylori eradication in a retrospective study of 105 patients with localized gastric marginal zone B-cell lymphoma of MALT type. </w:t>
      </w:r>
      <w:hyperlink w:history="1" r:id="rIdrfb82cv7e4r88g-dhkcbd">
        <w:r>
          <w:rPr>
            <w:rStyle w:val="Hyperlink"/>
            <w:color w:val="0563C1"/>
            <w:u w:val="single"/>
          </w:rPr>
          <w:t xml:space="preserve">https://www.sciencedirect.com/science/article/pii/S0923753419410697</w:t>
        </w:r>
      </w:hyperlink>
    </w:p>
    <w:p>
      <w:pPr>
        <w:spacing w:after="200"/>
      </w:pPr>
      <w:r>
        <w:t xml:space="preserve">14. Helicobacter pylori Eradication Therapy Is Effective as the Initial Treatment for Patients with H. pylori-Negative and Disseminated Gastric MALT Lymphoma. </w:t>
      </w:r>
      <w:hyperlink w:history="1" r:id="rId4qd0skhqltdns8vopwat8">
        <w:r>
          <w:rPr>
            <w:rStyle w:val="Hyperlink"/>
            <w:color w:val="0563C1"/>
            <w:u w:val="single"/>
          </w:rPr>
          <w:t xml:space="preserve">https://pmc.ncbi.nlm.nih.gov/articles/PMC5003192/</w:t>
        </w:r>
      </w:hyperlink>
    </w:p>
    <w:p>
      <w:pPr>
        <w:spacing w:after="200"/>
      </w:pPr>
      <w:r>
        <w:t xml:space="preserve">15. Successful antibiotic treatment of Helicobacter pylori negative gastric mucosa associated lymphoid tissue lymphomas. </w:t>
      </w:r>
      <w:hyperlink w:history="1" r:id="rIdgdrhnyfsblp3nbgefkye6">
        <w:r>
          <w:rPr>
            <w:rStyle w:val="Hyperlink"/>
            <w:color w:val="0563C1"/>
            <w:u w:val="single"/>
          </w:rPr>
          <w:t xml:space="preserve">https://www.ncbi.nlm.nih.gov/pmc/articles/PMC1856121/</w:t>
        </w:r>
      </w:hyperlink>
    </w:p>
    <w:p>
      <w:pPr>
        <w:spacing w:after="200"/>
      </w:pPr>
      <w:r>
        <w:t xml:space="preserve">16. IgVH mutational status and clonality analysis of Richter's transformation. </w:t>
      </w:r>
      <w:hyperlink w:history="1" r:id="rIdd2nwodvanizatecmv7pdj">
        <w:r>
          <w:rPr>
            <w:rStyle w:val="Hyperlink"/>
            <w:color w:val="0563C1"/>
            <w:u w:val="single"/>
          </w:rPr>
          <w:t xml:space="preserve">https://pubmed.ncbi.nlm.nih.gov/17895764/</w:t>
        </w:r>
      </w:hyperlink>
    </w:p>
    <w:p>
      <w:pPr>
        <w:spacing w:after="200"/>
      </w:pPr>
      <w:r>
        <w:t xml:space="preserve">17. Chronic lymphocytic leukemia patient-derived xenografts recapitulate clonal evolution to Richter transformation. </w:t>
      </w:r>
      <w:hyperlink w:history="1" r:id="rIdal6ltyhbgh9_p3dkwb4kc">
        <w:r>
          <w:rPr>
            <w:rStyle w:val="Hyperlink"/>
            <w:color w:val="0563C1"/>
            <w:u w:val="single"/>
          </w:rPr>
          <w:t xml:space="preserve">https://pmc.ncbi.nlm.nih.gov/articles/PMC10912031/</w:t>
        </w:r>
      </w:hyperlink>
    </w:p>
    <w:p>
      <w:pPr>
        <w:spacing w:after="200"/>
      </w:pPr>
      <w:r>
        <w:t xml:space="preserve">18. The biology and evolution of Richter transformation in chronic lymphocytic leukemia. </w:t>
      </w:r>
      <w:hyperlink w:history="1" r:id="rId_wnhmpuovua4bkthb3j1i">
        <w:r>
          <w:rPr>
            <w:rStyle w:val="Hyperlink"/>
            <w:color w:val="0563C1"/>
            <w:u w:val="single"/>
          </w:rPr>
          <w:t xml:space="preserve">https://www.sciencedirect.com/science/article/pii/S1044579X26000210</w:t>
        </w:r>
      </w:hyperlink>
    </w:p>
    <w:p>
      <w:pPr>
        <w:spacing w:after="200"/>
      </w:pPr>
      <w:r>
        <w:t xml:space="preserve">19. A Rare Case of Richter Transformation to Both Clonally Unrelated and Clonally Related Diffuse Large B-Cell Lymphoma in the Same Patient. </w:t>
      </w:r>
      <w:hyperlink w:history="1" r:id="rIdpklddecuyz5_ysl-mmdmy">
        <w:r>
          <w:rPr>
            <w:rStyle w:val="Hyperlink"/>
            <w:color w:val="0563C1"/>
            <w:u w:val="single"/>
          </w:rPr>
          <w:t xml:space="preserve">https://www.ncbi.nlm.nih.gov/pmc/articles/PMC11380716/</w:t>
        </w:r>
      </w:hyperlink>
    </w:p>
    <w:p>
      <w:r>
        <w:br w:type="page"/>
      </w:r>
    </w:p>
    <w:p>
      <w:pPr>
        <w:spacing w:after="60"/>
      </w:pPr>
      <w:r>
        <w:rPr>
          <w:i/>
          <w:iCs/>
          <w:color w:val="666666"/>
        </w:rPr>
        <w:t xml:space="preserve">Framework 1.2 — Part III</w:t>
      </w:r>
    </w:p>
    <w:p>
      <w:pPr>
        <w:spacing w:after="60"/>
      </w:pPr>
      <w:r>
        <w:rPr>
          <w:b/>
          <w:bCs/>
          <w:color w:val="555555"/>
          <w:sz w:val="24"/>
          <w:szCs w:val="24"/>
        </w:rPr>
        <w:t xml:space="preserve">Chapter 10</w:t>
      </w:r>
    </w:p>
    <w:p>
      <w:pPr>
        <w:pStyle w:val="Title"/>
        <w:spacing w:after="100"/>
      </w:pPr>
      <w:r>
        <w:t xml:space="preserve">Granulomas</w:t>
      </w:r>
    </w:p>
    <w:p>
      <w:pPr>
        <w:spacing w:after="300"/>
      </w:pPr>
      <w:r>
        <w:rPr>
          <w:i/>
          <w:iCs/>
        </w:rPr>
        <w:t xml:space="preserve">A Non-Clonal Control Case for the Dormant Cell Pool</w:t>
      </w:r>
    </w:p>
    <w:p>
      <w:pPr>
        <w:pStyle w:val="Heading1"/>
        <w:spacing w:after="150" w:before="300"/>
      </w:pPr>
      <w:r>
        <w:rPr>
          <w:b/>
          <w:bCs/>
        </w:rPr>
        <w:t xml:space="preserve">Abstract</w:t>
      </w:r>
    </w:p>
    <w:p>
      <w:pPr>
        <w:spacing w:after="200"/>
      </w:pPr>
      <w:r>
        <w:t xml:space="preserve">Granulomas are not cancer. This is precisely what makes them useful to Framework 1.2. Every oncological case examined so far in this series — CHIP, leukemia, lymphoma — presents Dormant Cell Pool architecture and macrophage-mediated regulation bundled together with clonal selection, leaving it structurally ambiguous which effects belong to dormancy as a general tissue mechanism and which belong specifically to clonal expansion. A granuloma removes the clonal variable entirely: it is a macrophage-built dormant compartment, walling off a persistent stimulus, with no dividing neoplastic population inside it. This article treats granulomas as a control case rather than a disease category, examining four claims: that granuloma architecture instantiates the Dormant Cell Pool's two-compartment logic without any clone; that the bacterial dormancy switch inside a caseating tuberculous granuloma is a literal, independently evolved analog of BGR-gated dormancy; that macrophages in granulomas are the ones constructing the niche from the outset, not reacting to one already built by a tumor; and that removing the driving stimulus — infection eradication — reverses granuloma-based dormancy on the same horizontal-suppression logic already demonstrated for MALT lymphoma (Article 4). A final section documents the granuloma's most clinically consequential property for this series: several infectious granulomas (tuberculoma, deep mycoses, histoid leprosy) are well-documented radiologic and even histologic mimics of solid tumors, which the model predicts rather than merely tolerates as coincidence.</w:t>
      </w:r>
    </w:p>
    <w:p>
      <w:pPr>
        <w:pStyle w:val="Heading1"/>
        <w:spacing w:after="150" w:before="300"/>
      </w:pPr>
      <w:r>
        <w:rPr>
          <w:b/>
          <w:bCs/>
        </w:rPr>
        <w:t xml:space="preserve">1. Why a Non-Oncological Case Belongs in This Series</w:t>
      </w:r>
    </w:p>
    <w:p>
      <w:pPr>
        <w:spacing w:after="200"/>
      </w:pPr>
      <w:r>
        <w:t xml:space="preserve">Every article in this series so far has faced the same latent objection: dormancy, niche capture, and macrophage-mediated regulation could simply be redescriptions of tumor biology using new vocabulary, with no independent content beyond the cases that motivated them. The Dormant Cell Pool companion article addressed this in part by tracing the physiological reserve programs (satellite cells, hepatocyte quiescence) that oncogenesis captures rather than invents — but those reserve programs are themselves part of normal tissue renewal, not an independent confirmation that the same architecture appears where no proliferative or renewal function is being served at all.</w:t>
      </w:r>
    </w:p>
    <w:p>
      <w:pPr>
        <w:spacing w:after="200"/>
      </w:pPr>
      <w:r>
        <w:t xml:space="preserve">A granuloma has no such renewal function. It exists purely to contain, and it recruits no clonal or proliferative program to do so. If Dormant Cell Pool architecture, BGR-style energetic gating, and macrophage-driven niche control appear here too — in a tissue reaction that has nothing to do with cell division, tissue renewal, or malignancy — this is the strongest available evidence that these are general-purpose tissue mechanisms that oncogenesis exploits, rather than mechanisms that only make sense in an oncological frame to begin with.</w:t>
      </w:r>
    </w:p>
    <w:p>
      <w:pPr>
        <w:pStyle w:val="Heading1"/>
        <w:spacing w:after="150" w:before="300"/>
      </w:pPr>
      <w:r>
        <w:rPr>
          <w:b/>
          <w:bCs/>
        </w:rPr>
        <w:t xml:space="preserve">2. Granuloma Architecture as Dormant Cell Pool Without a Clone</w:t>
      </w:r>
    </w:p>
    <w:p>
      <w:pPr>
        <w:spacing w:after="200"/>
      </w:pPr>
      <w:r>
        <w:t xml:space="preserve">A granuloma begins when macrophages recruited to a site of unresolved inflammation are unable to clear the inciting stimulus — a mycobacterium resistant to phagocytic killing, a fungal organism, inert foreign material — and instead differentiate in place into epithelioid cells, flattened, tightly interdigitated macrophages with reduced phagocytic and increased secretory activity. Multiple epithelioid macrophages subsequently fuse into multinucleated Langhans giant cells. The resulting structure is compact, organized, and durable: a collar of lymphocytes and plasma cells surrounding a core of epithelioid and giant cells, with (in caseating forms) a central zone of necrotic debris.</w:t>
      </w:r>
    </w:p>
    <w:p>
      <w:pPr>
        <w:spacing w:after="200"/>
      </w:pPr>
      <w:r>
        <w:t xml:space="preserve">This is architecturally a two-compartment system in the same sense developed for the Dormant Cell Pool: an outer, actively regulating shell (epithelioid macrophages, lymphocytic cuff) and an inner, physically distinct compartment (the necrotic or semi-necrotic core) that is walled off from ongoing immune surveillance and from the general tissue economy. The granuloma is, in this sense, the Dormant Cell Pool's architecture running with no clone inside it — only a static microbial or foreign-material payload being held rather than a proliferating population being suppressed.</w:t>
      </w:r>
    </w:p>
    <w:p>
      <w:pPr>
        <w:spacing w:after="200"/>
      </w:pPr>
      <w:r>
        <w:t xml:space="preserve">Granulomas are not disorganized accumulations; they are described as evolutionarily ancient, purpose-built structures found across vertebrate and invertebrate lineages, evolved specifically to contain material the immune system cannot eliminate outright. That a structurally equivalent architecture recurs across a phylum-spanning defense mechanism, entirely outside any oncological or even mammalian context, argues strongly against dormant-pool architecture being tumor-specific.</w:t>
      </w:r>
    </w:p>
    <w:p>
      <w:pPr>
        <w:pStyle w:val="Heading1"/>
        <w:spacing w:after="150" w:before="300"/>
      </w:pPr>
      <w:r>
        <w:rPr>
          <w:b/>
          <w:bCs/>
        </w:rPr>
        <w:t xml:space="preserve">3. The DosR Switch: A Bacterial Analog of BGR-Gated Dormancy</w:t>
      </w:r>
    </w:p>
    <w:p>
      <w:pPr>
        <w:spacing w:after="200"/>
      </w:pPr>
      <w:r>
        <w:t xml:space="preserve">The most mechanistically precise parallel in this article concerns Mycobacterium tuberculosis itself, not the host tissue around it. As the caseating core of a tuberculous granuloma matures, oxygen tension inside it falls sharply due to the density of the immune infiltrate and the metabolic demand of the surrounding activated macrophages. M. tuberculosis responds to this falling oxygen tension by activating the DosR regulon, a master transcriptional switch that shifts the bacterium from aerobic replication to a low-metabolism, non-replicating persistent state, relying on host lipids rather than its normal carbon sources.</w:t>
      </w:r>
    </w:p>
    <w:p>
      <w:pPr>
        <w:spacing w:after="200"/>
      </w:pPr>
      <w:r>
        <w:t xml:space="preserve">This is, independently of anything derived from the Framework's mammalian cell-biology reasoning, an energetic-state gating mechanism: a shift from an active, resource-consuming, replicating state to a suppressed, resource-conserving, non-replicating one, triggered directly by a fall in locally available oxygen — the same causal structure BGR was built to describe for host cells at the tissue level. The granuloma does not merely contain the bacterium physically; it enforces a metabolic dormancy state on it through the same energetic mechanism (hypoxia-triggered metabolic downshift) invoked elsewhere in the Framework for host-cell dormancy. Latent tuberculosis infection is, at the single-organism level, a bacterium sitting in exactly the kind of low-BGR-equivalent holding state this series has described for host dormant cells — asymptomatic, non-transmissible, and reactivatable if the surrounding suppressive architecture weakens (immunosenescence, corticosteroid use, TNF blockade, HIV co-infection all documented triggers of reactivation).</w:t>
      </w:r>
    </w:p>
    <w:p>
      <w:pPr>
        <w:spacing w:after="200"/>
      </w:pPr>
      <w:r>
        <w:t xml:space="preserve">This is offered as a striking structural analogy rather than a claim of shared ancestry or mechanism — a prokaryotic hypoxia-response regulon and a eukaryotic energetic-gating framework are not the same system — but the convergence on "falling oxygen availability suppresses replication and shifts metabolism toward maintenance" as the trigger for entering a reversible holding state, in two entirely unrelated biological systems held within the same physical structure, is difficult to attribute to coincidence.</w:t>
      </w:r>
    </w:p>
    <w:p>
      <w:pPr>
        <w:pStyle w:val="Heading1"/>
        <w:spacing w:after="150" w:before="300"/>
      </w:pPr>
      <w:r>
        <w:rPr>
          <w:b/>
          <w:bCs/>
        </w:rPr>
        <w:t xml:space="preserve">4. Macrophage as Niche Architect, Not Bystander</w:t>
      </w:r>
    </w:p>
    <w:p>
      <w:pPr>
        <w:spacing w:after="200"/>
      </w:pPr>
      <w:r>
        <w:t xml:space="preserve">In every oncological case examined in this series, the macrophage's role has been reactive: it recognizes, tolerates, or reverses a dormancy state that some other process (clonal selection, niche degradation) has already established. In the granuloma, the macrophage is not reacting to a pre-existing niche — it is the niche. Granuloma formation begins with macrophage recruitment and ends with a macrophage-built and macrophage-maintained physical structure; there is no other cell type whose behavior needs to be explained first.</w:t>
      </w:r>
    </w:p>
    <w:p>
      <w:pPr>
        <w:spacing w:after="200"/>
      </w:pPr>
      <w:r>
        <w:t xml:space="preserve">This directly tests the macrophage-regulation material developed elsewhere in Framework 1.2 (recognition and reversal of dormancy, and immune recognition of normal vs. pathologic dormancy) on a system where macrophage behavior is the entire story rather than one actor among several. If macrophage polarization state (the same M1/M2-type axis invoked for dormancy reversal in the CHIP and leukemia articles) governs whether a granuloma matures, caseates, calcifies, or resolves, this is direct evidence that the macrophage-dormancy relationship generalizes beyond the tumor microenvironment to any macrophage-built containment structure, oncological or not.</w:t>
      </w:r>
    </w:p>
    <w:p>
      <w:pPr>
        <w:pStyle w:val="Heading1"/>
        <w:spacing w:after="150" w:before="300"/>
      </w:pPr>
      <w:r>
        <w:rPr>
          <w:b/>
          <w:bCs/>
        </w:rPr>
        <w:t xml:space="preserve">5. Horizontal Suppression Without a Vertical Axis</w:t>
      </w:r>
    </w:p>
    <w:p>
      <w:pPr>
        <w:spacing w:after="200"/>
      </w:pPr>
      <w:r>
        <w:t xml:space="preserve">The Vertical and Horizontal Suppression synthesis formalized two independent control axes: a vertical, hierarchical axis (n-1 ↔ n, chalone-mediated) and a horizontal, density-dependent, quorum-sensing-like axis (n ↔ n). A granuloma has no vertical axis to speak of — there is no hierarchy of differentiation levels being suppressed, because there is no clone climbing or being held at a given level. What the granuloma does have, in clean and isolated form, is horizontal suppression: the physical density and cytokine output of the epithelioid/giant-cell collar constrains the payload at its center purely through local crowding, encapsulation, and diffusion-limited signaling, with no vertical component contributing at all.</w:t>
      </w:r>
    </w:p>
    <w:p>
      <w:pPr>
        <w:spacing w:after="200"/>
      </w:pPr>
      <w:r>
        <w:t xml:space="preserve">This makes the granuloma the cleanest available test of whether horizontal suppression can function as an independent mechanism rather than always being observed as one axis of a two-axis system already coupled to clonal hierarchy. Its clean isolation here is itself informative for the two-axis formalism: a mechanism that functions identically whether or not a vertical axis exists alongside it is a stronger claim than a mechanism only ever observed running in tandem with one.</w:t>
      </w:r>
    </w:p>
    <w:p>
      <w:pPr>
        <w:pStyle w:val="Heading1"/>
        <w:spacing w:after="150" w:before="300"/>
      </w:pPr>
      <w:r>
        <w:rPr>
          <w:b/>
          <w:bCs/>
        </w:rPr>
        <w:t xml:space="preserve">6. Convergent Physics, Divergent Biology: Granuloma vs. Solid Tumor on Imaging</w:t>
      </w:r>
    </w:p>
    <w:p>
      <w:pPr>
        <w:spacing w:after="200"/>
      </w:pPr>
      <w:r>
        <w:t xml:space="preserve">If granuloma and solid-tumor dormant cores share comparable physical architecture (a walled, hypoxic, necrotic or semi-necrotic center behind an actively regulating shell), the model predicts that imaging — which reads tissue physics, not clonal identity — should frequently be unable to distinguish them. This prediction is independently and extensively confirmed in the diagnostic radiology literature, across three unrelated infectious causes of granuloma.</w:t>
      </w:r>
    </w:p>
    <w:p>
      <w:pPr>
        <w:pStyle w:val="Heading2"/>
        <w:spacing w:after="120" w:before="220"/>
      </w:pPr>
      <w:r>
        <w:rPr>
          <w:b/>
          <w:bCs/>
        </w:rPr>
        <w:t xml:space="preserve">6.1 Tuberculoma vs. Lung Cancer</w:t>
      </w:r>
    </w:p>
    <w:p>
      <w:pPr>
        <w:spacing w:after="200"/>
      </w:pPr>
      <w:r>
        <w:t xml:space="preserve">Tuberculoma is a long-recognized radiologic mimic of primary lung cancer, appearing as a round or lobulated solitary pulmonary nodule with variable margin characteristics, cavitation, and internal heterogeneity from caseous necrosis; a substantial literature exists purely on distinguishing the two by CT morphology (border smoothness, spiculation, satellite nodules, enhancement pattern), and case series document surgical resection performed on suspected malignancy that pathology subsequently identified as tuberculoma with caseous necrosis. Tuberculosis has been described in the radiology literature as "the great mimicker" specifically because of this recurring overlap with malignant mass lesions across organ systems, not only the lung.</w:t>
      </w:r>
    </w:p>
    <w:p>
      <w:pPr>
        <w:pStyle w:val="Heading2"/>
        <w:spacing w:after="120" w:before="220"/>
      </w:pPr>
      <w:r>
        <w:rPr>
          <w:b/>
          <w:bCs/>
        </w:rPr>
        <w:t xml:space="preserve">6.2 Deep Mycoses vs. Metastatic Disease</w:t>
      </w:r>
    </w:p>
    <w:p>
      <w:pPr>
        <w:spacing w:after="200"/>
      </w:pPr>
      <w:r>
        <w:t xml:space="preserve">Pulmonary cryptococcosis, histoplasmosis, and coccidioidomycosis each independently produce mass-like or multinodular lesions that are repeatedly reported as radiologically indistinguishable from primary lung cancer or pulmonary metastases, including cases with elevated FDG uptake on PET-CT further reinforcing the malignant appearance, and cases proceeding to surgical resection before fungal granulomatous inflammation was identified on pathology. In one reported case, a large cryptococcal mass regressed on serial imaging after antifungal therapy alone — a granuloma-specific parallel to the H. pylori/MALT lymphoma regression pattern examined in Article 4, without any oncological component involved.</w:t>
      </w:r>
    </w:p>
    <w:p>
      <w:pPr>
        <w:pStyle w:val="Heading2"/>
        <w:spacing w:after="120" w:before="220"/>
      </w:pPr>
      <w:r>
        <w:rPr>
          <w:b/>
          <w:bCs/>
        </w:rPr>
        <w:t xml:space="preserve">6.3 Histoid Leprosy vs. Soft-Tissue/Fibrohistiocytic Tumor</w:t>
      </w:r>
    </w:p>
    <w:p>
      <w:pPr>
        <w:spacing w:after="200"/>
      </w:pPr>
      <w:r>
        <w:t xml:space="preserve">Histoid leprosy — a nodular variant of lepromatous leprosy — presents as firm, well-circumscribed, pseudo-encapsulated subcutaneous or dermal nodules, sometimes reaching several centimeters, that are histologically composed of spindle-shaped histiocytes arranged in fascicles or storiform patterns closely resembling a fibrohistiocytic neoplasm; reported cases have been mistaken for dermatofibroma, dermatofibrosarcoma protuberans, and other soft-tissue tumors, including one case series describing a nodule large enough to be initially read as a giant dermatofibroma, and another describing a neural histoid nodule read as a spindle cell tumor on ultrasound before biopsy identified the granulomatous, bacillus-laden histiocytic infiltrate.</w:t>
      </w:r>
    </w:p>
    <w:p>
      <w:pPr>
        <w:spacing w:after="200"/>
      </w:pPr>
      <w:r>
        <w:t xml:space="preserve">Across all three organisms — a mycobacterium, unrelated fungi, and a different mycobacterium in a different tissue compartment — the same pattern recurs: a macrophage/histiocyte-built dormant containment structure produces a physical and radiologic signature that converges on the solid-tumor signature, while the underlying content (microbial payload vs. malignant clone) diverges completely. This is the direct empirical counterpart to the four-step clinical algorithm developed earlier in this project (MRI/imaging for hydrogel physical state and water organization; Doppler for energetic status; CT for topography; biopsy only once a tissue component is confirmed, targeted at the physiologically active zone): the granuloma is precisely the case class the algorithm's first three steps are structurally unable to resolve on their own, and the case class that makes explicit why step four cannot be skipped or replaced by imaging refinement alone, however good that imaging becomes.</w:t>
      </w:r>
    </w:p>
    <w:p>
      <w:pPr>
        <w:pStyle w:val="Heading1"/>
        <w:spacing w:after="150" w:before="300"/>
      </w:pPr>
      <w:r>
        <w:rPr>
          <w:b/>
          <w:bCs/>
        </w:rPr>
        <w:t xml:space="preserve">7. Removing the Signal: Direct Test of Horizontal Suppression Release</w:t>
      </w:r>
    </w:p>
    <w:p>
      <w:pPr>
        <w:spacing w:after="200"/>
      </w:pPr>
      <w:r>
        <w:t xml:space="preserve">Tuberculous granulomas resolve, at least partially, with successful antimycobacterial therapy — the driving stimulus (viable, replicating bacteria) is eradicated, the immune pressure sustaining the granuloma's active phase is no longer needed, and the lesion typically progresses to fibrosis and calcification rather than continued active granulomatous inflammation. Fungal granulomas (cryptococcoma, and the histoplasmoma-type lesions described above) show comparable regression on imaging following successful antifungal therapy alone, with no surgical or cytotoxic intervention directed at the granuloma itself.</w:t>
      </w:r>
    </w:p>
    <w:p>
      <w:pPr>
        <w:spacing w:after="200"/>
      </w:pPr>
      <w:r>
        <w:t xml:space="preserve">This is architecturally the same test already applied to MALT lymphoma in Article 4: remove the biological driver sustaining the structure, rather than attacking the structure directly, and observe whether the structure reverses. In MALT lymphoma the driver removed is antigenic (H. pylori) and the structure being tested contains a genuine clone; here the driver removed is the replicating organism itself and no clone is present at all. The parallel outcome across both — durable regression following pure signal removal — is consistent with horizontal suppression release operating as a general mechanism for dismantling density/signal-dependent containment structures, independent of whether the contained population is clonal.</w:t>
      </w:r>
    </w:p>
    <w:p>
      <w:pPr>
        <w:spacing w:after="200"/>
      </w:pPr>
      <w:r>
        <w:t xml:space="preserve">The granuloma case also offers the sharper endpoint of calcification as an alternative to full resolution: a granuloma whose stimulus has been eliminated does not always disappear, but frequently ossifies or calcifies into a permanently inert, walled residue (the Ghon complex being the classic example) rather than either fully resolving or remaining an active structure. Whether solid-tumor dormant cores have an equivalent "calcified, permanently inert" resolution pathway distinct from full clearance or renewed growth is not addressed elsewhere in this series and is proposed here as an open structural question.</w:t>
      </w:r>
    </w:p>
    <w:p>
      <w:pPr>
        <w:pStyle w:val="Heading1"/>
        <w:spacing w:after="150" w:before="300"/>
      </w:pPr>
      <w:r>
        <w:rPr>
          <w:b/>
          <w:bCs/>
        </w:rPr>
        <w:t xml:space="preserve">8. Testable Predictions</w:t>
      </w:r>
    </w:p>
    <w:p>
      <w:pPr>
        <w:pStyle w:val="ListParagraph"/>
        <w:numPr>
          <w:ilvl w:val="0"/>
          <w:numId w:val="1"/>
        </w:numPr>
        <w:spacing w:after="120"/>
      </w:pPr>
      <w:r>
        <w:t xml:space="preserve">Granuloma maturation stage (early cellular, caseating, calcifying) should correlate with local macrophage polarization markers along the same M1/M2-type axis already proposed as a dormancy-reversal signature in the CHIP and leukemia articles, independent of the causative organism.</w:t>
      </w:r>
    </w:p>
    <w:p>
      <w:pPr>
        <w:pStyle w:val="ListParagraph"/>
        <w:numPr>
          <w:ilvl w:val="0"/>
          <w:numId w:val="1"/>
        </w:numPr>
        <w:spacing w:after="120"/>
      </w:pPr>
      <w:r>
        <w:t xml:space="preserve">Radiologic and physical (elastography/Doppler) signatures of granuloma should converge with solid-tumor dormant-core signatures on the first three steps of the imaging-based clinical algorithm (hydrogel physical state, energetic/vascular status, topography) at a rate substantially higher than final histologic diagnoses converge, quantifying the diagnostic gap the model predicts step four (targeted biopsy) must close.</w:t>
      </w:r>
    </w:p>
    <w:p>
      <w:pPr>
        <w:pStyle w:val="ListParagraph"/>
        <w:numPr>
          <w:ilvl w:val="0"/>
          <w:numId w:val="1"/>
        </w:numPr>
        <w:spacing w:after="120"/>
      </w:pPr>
      <w:r>
        <w:t xml:space="preserve">Successful eradication therapy across unrelated granuloma-forming organisms (mycobacterial, fungal) should show comparable regression kinetics when normalized for granuloma maturity at treatment onset, if horizontal suppression release is the operative shared mechanism rather than organism-specific pharmacology.</w:t>
      </w:r>
    </w:p>
    <w:p>
      <w:pPr>
        <w:pStyle w:val="ListParagraph"/>
        <w:numPr>
          <w:ilvl w:val="0"/>
          <w:numId w:val="1"/>
        </w:numPr>
        <w:spacing w:after="120"/>
      </w:pPr>
      <w:r>
        <w:t xml:space="preserve">The DosR-regulon hypoxic switch in M. tuberculosis should show a dose-dependent relationship to measured local oxygen tension inside the granuloma comparable in shape (not magnitude) to BGR-relevant metabolic transitions described for host dormant cells elsewhere in this series.</w:t>
      </w:r>
    </w:p>
    <w:p>
      <w:pPr>
        <w:pStyle w:val="ListParagraph"/>
        <w:numPr>
          <w:ilvl w:val="0"/>
          <w:numId w:val="1"/>
        </w:numPr>
        <w:spacing w:after="120"/>
      </w:pPr>
      <w:r>
        <w:t xml:space="preserve">Calcified, stimulus-cleared granulomas should be measurably more physically inert (lower cellular turnover, lower metabolic/PET signal) than actively regressing granulomas under treatment, providing an imaging-detectable distinction between the two resolution pathways proposed in Section 7.</w:t>
      </w:r>
    </w:p>
    <w:p>
      <w:pPr>
        <w:pStyle w:val="Heading1"/>
        <w:spacing w:after="150" w:before="300"/>
      </w:pPr>
      <w:r>
        <w:rPr>
          <w:b/>
          <w:bCs/>
        </w:rPr>
        <w:t xml:space="preserve">9. Limitations</w:t>
      </w:r>
    </w:p>
    <w:p>
      <w:pPr>
        <w:spacing w:after="200"/>
      </w:pPr>
      <w:r>
        <w:t xml:space="preserve">This article is a synthesis of independently documented granuloma biology and diagnostic-radiology case literature, not new data. The DosR-regulon parallel to BGR (Section 3) is offered as a structural analogy across unrelated biological systems (a bacterial transcriptional regulon vs. a proposed host-cell energetic framework) and should not be read as a claim of shared evolutionary origin or mechanism. The imaging-mimicry cases assembled in Section 6 are drawn primarily from case reports and small case series rather than systematic cohort comparisons, which is a general limitation of this literature and not specific to this synthesis. Whether the two-compartment, horizontal-suppression, and macrophage-architect claims made here for infectious granulomas extend to non-infectious granulomatous disease (e.g., sarcoidosis, foreign-body granulomas) is not addressed and would require separate treatment, since the stimulus in those cases is not a replicating, potentially dormancy-capable organism.</w:t>
      </w:r>
    </w:p>
    <w:p>
      <w:pPr>
        <w:pStyle w:val="Heading1"/>
        <w:spacing w:after="150" w:before="300"/>
      </w:pPr>
      <w:r>
        <w:rPr>
          <w:b/>
          <w:bCs/>
        </w:rPr>
        <w:t xml:space="preserve">References</w:t>
      </w:r>
    </w:p>
    <w:p>
      <w:pPr>
        <w:spacing w:after="200"/>
      </w:pPr>
      <w:r>
        <w:t xml:space="preserve">1. The Tuberculous Granuloma: An Unsuccessful Host Defence Mechanism Providing a Safety Shelter for the Bacteria? Journal of Immunology Research. </w:t>
      </w:r>
      <w:hyperlink w:history="1" r:id="rIdy08untpjpffupf0-eql1x">
        <w:r>
          <w:rPr>
            <w:rStyle w:val="Hyperlink"/>
            <w:color w:val="0563C1"/>
            <w:u w:val="single"/>
          </w:rPr>
          <w:t xml:space="preserve">https://onlinelibrary.wiley.com/doi/10.1155/2012/139127</w:t>
        </w:r>
      </w:hyperlink>
    </w:p>
    <w:p>
      <w:pPr>
        <w:spacing w:after="200"/>
      </w:pPr>
      <w:r>
        <w:t xml:space="preserve">2. Granuloma - StatPearls. </w:t>
      </w:r>
      <w:hyperlink w:history="1" r:id="rIdmkxatyayy2jxqudlrle6i">
        <w:r>
          <w:rPr>
            <w:rStyle w:val="Hyperlink"/>
            <w:color w:val="0563C1"/>
            <w:u w:val="single"/>
          </w:rPr>
          <w:t xml:space="preserve">https://www.ncbi.nlm.nih.gov/books/NBK554586/</w:t>
        </w:r>
      </w:hyperlink>
    </w:p>
    <w:p>
      <w:pPr>
        <w:spacing w:after="200"/>
      </w:pPr>
      <w:r>
        <w:t xml:space="preserve">3. Granuloma with Langhans giant cells: An overview. </w:t>
      </w:r>
      <w:hyperlink w:history="1" r:id="rIdfcd9vncv6sakdikdreimd">
        <w:r>
          <w:rPr>
            <w:rStyle w:val="Hyperlink"/>
            <w:color w:val="0563C1"/>
            <w:u w:val="single"/>
          </w:rPr>
          <w:t xml:space="preserve">https://pmc.ncbi.nlm.nih.gov/articles/PMC3927347/</w:t>
        </w:r>
      </w:hyperlink>
    </w:p>
    <w:p>
      <w:pPr>
        <w:spacing w:after="200"/>
      </w:pPr>
      <w:r>
        <w:t xml:space="preserve">4. Granuloma — Grokipedia. </w:t>
      </w:r>
      <w:hyperlink w:history="1" r:id="rIdzimpz8ttrcskv86msj5cw">
        <w:r>
          <w:rPr>
            <w:rStyle w:val="Hyperlink"/>
            <w:color w:val="0563C1"/>
            <w:u w:val="single"/>
          </w:rPr>
          <w:t xml:space="preserve">https://grokipedia.com/page/Granuloma</w:t>
        </w:r>
      </w:hyperlink>
    </w:p>
    <w:p>
      <w:pPr>
        <w:spacing w:after="200"/>
      </w:pPr>
      <w:r>
        <w:t xml:space="preserve">5. Tuberculosis Persistence: Lifecycle, Dormancy, and Reactivation. </w:t>
      </w:r>
      <w:hyperlink w:history="1" r:id="rId5-l-cf26d4ylltrn-xxrz">
        <w:r>
          <w:rPr>
            <w:rStyle w:val="Hyperlink"/>
            <w:color w:val="0563C1"/>
            <w:u w:val="single"/>
          </w:rPr>
          <w:t xml:space="preserve">https://scienceinsights.org/tuberculosis-persistence-lifecycle-dormancy-and-reactivation/</w:t>
        </w:r>
      </w:hyperlink>
    </w:p>
    <w:p>
      <w:pPr>
        <w:spacing w:after="200"/>
      </w:pPr>
      <w:r>
        <w:t xml:space="preserve">6. The Intricate Process of Calcification in Granuloma Formation and the Complications Following M. tuberculosis Infection. </w:t>
      </w:r>
      <w:hyperlink w:history="1" r:id="rIdwcvar0vqwzxxqcosvrwup">
        <w:r>
          <w:rPr>
            <w:rStyle w:val="Hyperlink"/>
            <w:color w:val="0563C1"/>
            <w:u w:val="single"/>
          </w:rPr>
          <w:t xml:space="preserve">https://pmc.ncbi.nlm.nih.gov/articles/PMC12292817/</w:t>
        </w:r>
      </w:hyperlink>
    </w:p>
    <w:p>
      <w:pPr>
        <w:spacing w:after="200"/>
      </w:pPr>
      <w:r>
        <w:t xml:space="preserve">7. Mycobacterium tuberculosis Dormancy: How to Fight a Hidden Danger. </w:t>
      </w:r>
      <w:hyperlink w:history="1" r:id="rId9ilj_grhkejfqpdi2k0gy">
        <w:r>
          <w:rPr>
            <w:rStyle w:val="Hyperlink"/>
            <w:color w:val="0563C1"/>
            <w:u w:val="single"/>
          </w:rPr>
          <w:t xml:space="preserve">https://www.mdpi.com/2076-2607/10/12/2334</w:t>
        </w:r>
      </w:hyperlink>
    </w:p>
    <w:p>
      <w:pPr>
        <w:spacing w:after="200"/>
      </w:pPr>
      <w:r>
        <w:t xml:space="preserve">8. SIV and Mycobacterium tuberculosis synergy within the granuloma accelerates the reactivation pattern of latent tuberculosis. </w:t>
      </w:r>
      <w:hyperlink w:history="1" r:id="rIdgjyzefyerap1ydghxdip8">
        <w:r>
          <w:rPr>
            <w:rStyle w:val="Hyperlink"/>
            <w:color w:val="0563C1"/>
            <w:u w:val="single"/>
          </w:rPr>
          <w:t xml:space="preserve">https://www.ncbi.nlm.nih.gov/pmc/articles/PMC7419014/</w:t>
        </w:r>
      </w:hyperlink>
    </w:p>
    <w:p>
      <w:pPr>
        <w:spacing w:after="200"/>
      </w:pPr>
      <w:r>
        <w:t xml:space="preserve">9. Radiology versus reality: a case report of pulmonary tuberculoma following tuberculous pleurisy mimicking malignancy in an endemic country. </w:t>
      </w:r>
      <w:hyperlink w:history="1" r:id="rIdu-gkkinw5anavkhx6zmrv">
        <w:r>
          <w:rPr>
            <w:rStyle w:val="Hyperlink"/>
            <w:color w:val="0563C1"/>
            <w:u w:val="single"/>
          </w:rPr>
          <w:t xml:space="preserve">https://link.springer.com/article/10.1186/s43162-026-00619-w</w:t>
        </w:r>
      </w:hyperlink>
    </w:p>
    <w:p>
      <w:pPr>
        <w:spacing w:after="200"/>
      </w:pPr>
      <w:r>
        <w:t xml:space="preserve">10. Lung CT: Part 1, Mimickers of Lung Cancer — Spectrum of CT Findings With Pathologic Correlation. AJR. </w:t>
      </w:r>
      <w:hyperlink w:history="1" r:id="rIdszvthn3d8penfrn06wa1-">
        <w:r>
          <w:rPr>
            <w:rStyle w:val="Hyperlink"/>
            <w:color w:val="0563C1"/>
            <w:u w:val="single"/>
          </w:rPr>
          <w:t xml:space="preserve">https://www.ajronline.org/doi/10.2214/AJR.10.7262</w:t>
        </w:r>
      </w:hyperlink>
    </w:p>
    <w:p>
      <w:pPr>
        <w:spacing w:after="200"/>
      </w:pPr>
      <w:r>
        <w:t xml:space="preserve">11. Distinguishing small primary lung cancer from pulmonary tuberculoma using 64-slices multidetector CT. </w:t>
      </w:r>
      <w:hyperlink w:history="1" r:id="rIdwodoy3b7somm0vbfhfeof">
        <w:r>
          <w:rPr>
            <w:rStyle w:val="Hyperlink"/>
            <w:color w:val="0563C1"/>
            <w:u w:val="single"/>
          </w:rPr>
          <w:t xml:space="preserve">https://pubmed.ncbi.nlm.nih.gov/22612014/</w:t>
        </w:r>
      </w:hyperlink>
    </w:p>
    <w:p>
      <w:pPr>
        <w:spacing w:after="200"/>
      </w:pPr>
      <w:r>
        <w:t xml:space="preserve">12. Invasive pulmonary cryptococcosis mimicking metastatic lung cancer: A case report and review of literature. </w:t>
      </w:r>
      <w:hyperlink w:history="1" r:id="rId2pfqsvr8hcnfmtqeyt8ci">
        <w:r>
          <w:rPr>
            <w:rStyle w:val="Hyperlink"/>
            <w:color w:val="0563C1"/>
            <w:u w:val="single"/>
          </w:rPr>
          <w:t xml:space="preserve">https://pmc.ncbi.nlm.nih.gov/articles/PMC12019096/</w:t>
        </w:r>
      </w:hyperlink>
    </w:p>
    <w:p>
      <w:pPr>
        <w:spacing w:after="200"/>
      </w:pPr>
      <w:r>
        <w:t xml:space="preserve">13. Pulmonary Cryptococcosis Mimicking Primary Lung Cancer with Multiple Lung Metastases. </w:t>
      </w:r>
      <w:hyperlink w:history="1" r:id="rIdwrqtcf0i80hvkipyd0hsn">
        <w:r>
          <w:rPr>
            <w:rStyle w:val="Hyperlink"/>
            <w:color w:val="0563C1"/>
            <w:u w:val="single"/>
          </w:rPr>
          <w:t xml:space="preserve">https://pmc.ncbi.nlm.nih.gov/articles/PMC3492405/</w:t>
        </w:r>
      </w:hyperlink>
    </w:p>
    <w:p>
      <w:pPr>
        <w:spacing w:after="200"/>
      </w:pPr>
      <w:r>
        <w:t xml:space="preserve">14. Large Solitary Pulmonary Cryptococcoma Mimicking Lung Carcinoma in an Immunocompetent Patient. </w:t>
      </w:r>
      <w:hyperlink w:history="1" r:id="rIdeowyitqicimaf7vfqa002">
        <w:r>
          <w:rPr>
            <w:rStyle w:val="Hyperlink"/>
            <w:color w:val="0563C1"/>
            <w:u w:val="single"/>
          </w:rPr>
          <w:t xml:space="preserve">https://pmc.ncbi.nlm.nih.gov/articles/PMC5862057/</w:t>
        </w:r>
      </w:hyperlink>
    </w:p>
    <w:p>
      <w:pPr>
        <w:spacing w:after="200"/>
      </w:pPr>
      <w:r>
        <w:t xml:space="preserve">15. Pulmonary Histoplasmosis Mimicking Metastatic Lung Cancer: A Case Report. </w:t>
      </w:r>
      <w:hyperlink w:history="1" r:id="rIdo04rqwjqudbjxxrnfqrh0">
        <w:r>
          <w:rPr>
            <w:rStyle w:val="Hyperlink"/>
            <w:color w:val="0563C1"/>
            <w:u w:val="single"/>
          </w:rPr>
          <w:t xml:space="preserve">https://www.ncbi.nlm.nih.gov/pmc/articles/PMC7922209/</w:t>
        </w:r>
      </w:hyperlink>
    </w:p>
    <w:p>
      <w:pPr>
        <w:spacing w:after="200"/>
      </w:pPr>
      <w:r>
        <w:t xml:space="preserve">16. Pulmonary Fungal Infections in a Tertiary Cancer Center: A Morphological Correlation of 160 Cases with CT and PET Imaging. </w:t>
      </w:r>
      <w:hyperlink w:history="1" r:id="rIdy50v7u31flitznayavxaj">
        <w:r>
          <w:rPr>
            <w:rStyle w:val="Hyperlink"/>
            <w:color w:val="0563C1"/>
            <w:u w:val="single"/>
          </w:rPr>
          <w:t xml:space="preserve">https://www.mdpi.com/2075-4418/15/17/2238</w:t>
        </w:r>
      </w:hyperlink>
    </w:p>
    <w:p>
      <w:pPr>
        <w:spacing w:after="200"/>
      </w:pPr>
      <w:r>
        <w:t xml:space="preserve">17. Histoid leprosy presenting as a large tumor. </w:t>
      </w:r>
      <w:hyperlink w:history="1" r:id="rIdaj8m9ko-plptapvf0omod">
        <w:r>
          <w:rPr>
            <w:rStyle w:val="Hyperlink"/>
            <w:color w:val="0563C1"/>
            <w:u w:val="single"/>
          </w:rPr>
          <w:t xml:space="preserve">https://www.ncbi.nlm.nih.gov/pmc/articles/PMC8790176/</w:t>
        </w:r>
      </w:hyperlink>
    </w:p>
    <w:p>
      <w:pPr>
        <w:spacing w:after="200"/>
      </w:pPr>
      <w:r>
        <w:t xml:space="preserve">18. A Spindle Cell Tumor in Disguise: Histoid Nodules Arising From Peripheral Nerves. </w:t>
      </w:r>
      <w:hyperlink w:history="1" r:id="rIdveok-7n1hyw_gemu950-h">
        <w:r>
          <w:rPr>
            <w:rStyle w:val="Hyperlink"/>
            <w:color w:val="0563C1"/>
            <w:u w:val="single"/>
          </w:rPr>
          <w:t xml:space="preserve">https://www.ncbi.nlm.nih.gov/pmc/articles/PMC12267876/</w:t>
        </w:r>
      </w:hyperlink>
    </w:p>
    <w:p>
      <w:pPr>
        <w:spacing w:after="200"/>
      </w:pPr>
      <w:r>
        <w:t xml:space="preserve">19. Nodular lepromatous leprosy: report of a case diagnosed by FNA. </w:t>
      </w:r>
      <w:hyperlink w:history="1" r:id="rId53jasjuoej2oatvrsjmyn">
        <w:r>
          <w:rPr>
            <w:rStyle w:val="Hyperlink"/>
            <w:color w:val="0563C1"/>
            <w:u w:val="single"/>
          </w:rPr>
          <w:t xml:space="preserve">https://pubmed.ncbi.nlm.nih.gov/7534683/</w:t>
        </w:r>
      </w:hyperlink>
    </w:p>
    <w:p>
      <w:pPr>
        <w:spacing w:after="200"/>
      </w:pPr>
      <w:r>
        <w:t xml:space="preserve">20. Histopathology of the lepromatous skin biopsy. </w:t>
      </w:r>
      <w:hyperlink w:history="1" r:id="rId740u9ozz4ymxitfgd-kan">
        <w:r>
          <w:rPr>
            <w:rStyle w:val="Hyperlink"/>
            <w:color w:val="0563C1"/>
            <w:u w:val="single"/>
          </w:rPr>
          <w:t xml:space="preserve">https://www.sciencedirect.com/science/article/abs/pii/S0738081X14002314</w:t>
        </w:r>
      </w:hyperlink>
    </w:p>
    <w:p>
      <w:r>
        <w:br w:type="page"/>
      </w:r>
    </w:p>
    <w:p>
      <w:pPr>
        <w:spacing w:after="60"/>
      </w:pPr>
      <w:r>
        <w:rPr>
          <w:i/>
          <w:iCs/>
          <w:color w:val="666666"/>
        </w:rPr>
        <w:t xml:space="preserve">Framework 1.2 — Part III</w:t>
      </w:r>
    </w:p>
    <w:p>
      <w:pPr>
        <w:spacing w:after="60"/>
      </w:pPr>
      <w:r>
        <w:rPr>
          <w:b/>
          <w:bCs/>
          <w:color w:val="555555"/>
          <w:sz w:val="24"/>
          <w:szCs w:val="24"/>
        </w:rPr>
        <w:t xml:space="preserve">Chapter 11</w:t>
      </w:r>
    </w:p>
    <w:p>
      <w:pPr>
        <w:pStyle w:val="Title"/>
        <w:spacing w:after="100"/>
      </w:pPr>
      <w:r>
        <w:t xml:space="preserve">Gestational Choriocarcinoma</w:t>
      </w:r>
    </w:p>
    <w:p>
      <w:pPr>
        <w:spacing w:after="300"/>
      </w:pPr>
      <w:r>
        <w:rPr>
          <w:i/>
          <w:iCs/>
        </w:rPr>
        <w:t xml:space="preserve">An Immunological Boundary Case of Reserve Biology</w:t>
      </w:r>
    </w:p>
    <w:p>
      <w:pPr>
        <w:pStyle w:val="Heading1"/>
        <w:spacing w:after="150" w:before="300"/>
      </w:pPr>
      <w:r>
        <w:rPr>
          <w:b/>
          <w:bCs/>
        </w:rPr>
        <w:t xml:space="preserve">Abstract</w:t>
      </w:r>
    </w:p>
    <w:p>
      <w:pPr>
        <w:spacing w:after="200"/>
      </w:pPr>
      <w:r>
        <w:t xml:space="preserve">Gestational choriocarcinoma closes this series' boundary-case sequence by removing a variable no prior article could remove: acquired immune privilege. In CHIP, lymphoma, and even MALT lymphoma, whatever local immune shielding the clone enjoys is built up, mutation by mutation or lesion by lesion, over the clone's own history. In gestational trophoblastic disease, the immune privilege precedes the clone by definition — it is a constitutive, cell-autonomous property of the trophoblast lineage itself, present before any malignant transformation and indeed before any pregnancy pathology of any kind. This article examines gestational choriocarcinoma as the series' extreme case of Dormant Cell Pool longevity, documenting recurrence after latency periods extending past two decades; assembles quantitative recurrence data across the low-risk/high-risk/PSTT-ETT spectrum, showing chemosensitivity to concentrate specifically in the actively cycling fraction; and argues that hCG, the field's defining tumor marker, is structurally a marker of that same active fraction and cannot, by the mechanism of its own production, detect a pool of cells that has left cycle. This motivates a direct clinical corollary already established in gynecologic-oncology practice for chemoresistant disease: surgical removal of the niche, not only cytotoxic suppression of the clone, wherever anatomically feasible. A comparison with testicular (non-gestational) choriocarcinoma is used to test, and partially complicate, the causal role assigned to inherited privilege. Fetal microchimerism is presented as a non-malignant sibling phenomenon — a record of the same trophoblastic/fetal lineage persisting in maternal tissue for decades without ever being clonal at all.</w:t>
      </w:r>
    </w:p>
    <w:p>
      <w:pPr>
        <w:pStyle w:val="Heading1"/>
        <w:spacing w:after="150" w:before="300"/>
      </w:pPr>
      <w:r>
        <w:rPr>
          <w:b/>
          <w:bCs/>
        </w:rPr>
        <w:t xml:space="preserve">1. Trophoblast as the One Constitutively Semi-Allogeneic Human Tissue</w:t>
      </w:r>
    </w:p>
    <w:p>
      <w:pPr>
        <w:spacing w:after="200"/>
      </w:pPr>
      <w:r>
        <w:t xml:space="preserve">Every other tissue examined in this series acquires whatever local immune tolerance it has through a process — clonal selection under immune pressure (Article 2's immunoediting), density-dependent signaling (Article 4's MALT horizontal suppression), or simple anatomical shielding. The extravillous trophoblast is different in kind: it carries paternal antigens foreign to the mother from the moment of implantation, and its principal immune-evasion molecule, HLA-G, is not induced by the local decidual environment but is a cell-autonomous property of trophoblast differentiation itself. This was demonstrated directly using ectopic pregnancies: extravillous trophoblasts implanting outside the uterus entirely, with no decidua present at all, still expressed HLA-G at normal levels, as did trophoblast invading myometrium directly in placenta accreta. Whatever induces HLA-G expression, it is not a signal supplied by the maternal niche.</w:t>
      </w:r>
    </w:p>
    <w:p>
      <w:pPr>
        <w:spacing w:after="200"/>
      </w:pPr>
      <w:r>
        <w:t xml:space="preserve">HLA-G's immunomodulatory range is broad and multi-target: it suppresses NK cell cytotoxicity, inhibits decidual T cell, dendritic cell, and macrophage function, and promotes NK-mediated spiral artery remodeling rather than NK-mediated cytotoxicity against the invading trophoblast. Under normal physiological conditions in non-pregnant, non-fetal tissue, HLA-G expression is restricted to a short list of already-recognized immune-privileged sites — the cornea, the thymic medulla, the nail matrix — placing the trophoblast in the same structural category as tissues the immune system has evolved not to attack, rather than in the category of tissues that must actively negotiate tolerance case by case.</w:t>
      </w:r>
    </w:p>
    <w:p>
      <w:pPr>
        <w:spacing w:after="200"/>
      </w:pPr>
      <w:r>
        <w:t xml:space="preserve">This directly reframes the applicability question that closed the Lymphoma article (Article 6 §1). Immunoediting (Article 2 §3) describes a clone earning tolerance through iterative pressure and survival. Gestational choriocarcinoma tests the opposite condition: a clone that inherits maximal tolerance on day one, with no editing process required at all.</w:t>
      </w:r>
    </w:p>
    <w:p>
      <w:pPr>
        <w:pStyle w:val="Heading1"/>
        <w:spacing w:after="150" w:before="300"/>
      </w:pPr>
      <w:r>
        <w:rPr>
          <w:b/>
          <w:bCs/>
        </w:rPr>
        <w:t xml:space="preserve">2. Gestational Trophoblastic Disease as a Documented Mess → Pathologic Clone Gradient</w:t>
      </w:r>
    </w:p>
    <w:p>
      <w:pPr>
        <w:spacing w:after="200"/>
      </w:pPr>
      <w:r>
        <w:t xml:space="preserve">Gestational trophoblastic disease (GTD) presents an unusually clean staged progression: hydatidiform mole (complete or partial) → invasive mole → choriocarcinoma → the rare, more differentiated placental site trophoblastic tumor (PSTT) and epithelioid trophoblastic tumor (ETT). Genetic analysis by short tandem repeat (STR) profiling confirms that most gestational choriocarcinoma is androgenetic (entirely paternal genetic complement) or biparental, and that a majority of cases in mixed series trace back to an antecedent molar pregnancy rather than arising de novo from a normal conceptus — a documented lineage from a pre-malignant, already partially abnormal trophoblastic proliferation into a malignant one, analogous in structure (though not in tissue) to the CHIP → AML and t(14;18) → follicular lymphoma progressions developed earlier in this series.</w:t>
      </w:r>
    </w:p>
    <w:p>
      <w:pPr>
        <w:spacing w:after="200"/>
      </w:pPr>
      <w:r>
        <w:t xml:space="preserve">What distinguishes this progression from the others is that immune privilege is present at the very first stage of the gradient — the hydatidiform mole itself is already extravillous-trophoblast-derived tissue with full constitutive HLA-G expression — rather than emerging partway through, as CHIP's inflammatory feedback loop (Article 3 §2) or MALT's antigen-dependent selection (Article 4) do. The model's Capture Rather than Invention principle, developed in the Dormant Cell Pool companion article, is tested here in its most literal form: there is no capture event to identify, because the malignant clone does not acquire trophoblastic immune privilege from anywhere — it simply retains, unmodified, the privilege of the differentiated cell type it arose from.</w:t>
      </w:r>
    </w:p>
    <w:p>
      <w:pPr>
        <w:pStyle w:val="Heading1"/>
        <w:spacing w:after="150" w:before="300"/>
      </w:pPr>
      <w:r>
        <w:rPr>
          <w:b/>
          <w:bCs/>
        </w:rPr>
        <w:t xml:space="preserve">3. Documented Longevity: How Long a Dormant Trophoblastic Record Can Persist</w:t>
      </w:r>
    </w:p>
    <w:p>
      <w:pPr>
        <w:spacing w:after="200"/>
      </w:pPr>
      <w:r>
        <w:t xml:space="preserve">The great majority of GTN relapses are early. In one large single-center cohort (1,827 cases), the average time to relapse was three months, and 78.8% of all recurrences occurred within the first year post-treatment; only two recurrences were recorded after five years of follow-up in that series. A separate cohort reported an overall relapse rate of 6.5%, rising sharply to 33.3% for patients experiencing a second or third recurrence — recurrence, once it happens once, predicts further recurrence.</w:t>
      </w:r>
    </w:p>
    <w:p>
      <w:pPr>
        <w:spacing w:after="200"/>
      </w:pPr>
      <w:r>
        <w:t xml:space="preserve">Against this early-dominant background, a small number of individually documented cases describe recurrence after remarkably long, unambiguous latency: choriocarcinoma presenting 22 years after the last known pregnancy, another at 23 years after an elective abortion, and another at 23 years after the last pregnancy, each confirmed by markedly elevated and rising hCG in a postmenopausal woman with no intervening pregnancy. A literature review covering late presentations of choriocarcinoma found a latent interval exceeding two years in 7.5% of cases. The authors of these reports explicitly proposed retained trophoblastic tissue lying dormant for years before malignant transformation as one candidate explanation, while noting the mechanism remains speculative — precisely the open question this series' Dormant Cell Pool framework is built to address.</w:t>
      </w:r>
    </w:p>
    <w:p>
      <w:pPr>
        <w:spacing w:after="200"/>
      </w:pPr>
      <w:r>
        <w:t xml:space="preserve">The rarity of these cases is itself informative rather than merely a caveat. If a Dormant Cell Pool of trophoblastic origin can in principle persist for decades (Section 6 below extends this point using non-malignant fetal microchimerism as a control case), then the fact that most relapses occur within the first year, and only a documented handful occur after two decades, indicates that reactivation probability from a stable dormant pool is low per unit time rather than zero — consistent with a graded capture/reactivation gradient (as formalized in the Dormant Cell Pool companion article) rather than a fixed latency period after which the clone is either gone or not.</w:t>
      </w:r>
    </w:p>
    <w:p>
      <w:pPr>
        <w:pStyle w:val="Heading1"/>
        <w:spacing w:after="150" w:before="300"/>
      </w:pPr>
      <w:r>
        <w:rPr>
          <w:b/>
          <w:bCs/>
        </w:rPr>
        <w:t xml:space="preserve">4. Quantitative Recurrence Across the Risk Spectrum: A Chemosensitivity Gradient, Not a Uniform Disease</w:t>
      </w:r>
    </w:p>
    <w:p>
      <w:pPr>
        <w:spacing w:after="200"/>
      </w:pPr>
      <w:r>
        <w:t xml:space="preserve">Recurrence and resistance rates in gestational trophoblastic neoplasia (GTN) are not uniform across disease categories; they stratify sharply by proliferative and clinical risk category in a pattern consistent with the model's prediction that cytotoxic chemotherapy acts on the actively cycling fraction of a clone and not on its dormant fraction.</w:t>
      </w:r>
    </w:p>
    <w:p>
      <w:pPr>
        <w:pStyle w:val="ListParagraph"/>
        <w:numPr>
          <w:ilvl w:val="0"/>
          <w:numId w:val="1"/>
        </w:numPr>
        <w:spacing w:after="120"/>
      </w:pPr>
      <w:r>
        <w:t xml:space="preserve">Low-risk GTN (mostly postmolar, minimally invasive): primary remission on single-agent methotrexate in roughly 70–77.5% of cases across major regimens; among those who achieve remission, relapse afterward is consistently low, in the range of 2–4% across several independent cohorts (3.2% in a 250-patient series; 4.5% in a 175-patient MITO-9 cohort).</w:t>
      </w:r>
    </w:p>
    <w:p>
      <w:pPr>
        <w:pStyle w:val="ListParagraph"/>
        <w:numPr>
          <w:ilvl w:val="0"/>
          <w:numId w:val="1"/>
        </w:numPr>
        <w:spacing w:after="120"/>
      </w:pPr>
      <w:r>
        <w:t xml:space="preserve">Documented predictors of relapse within the low-risk group point directly at incomplete clearance of an active fraction rather than random treatment failure: an antecedent pregnancy ending in delivery (rather than a mole) carries a 5.96- to 8.66-fold higher relapse hazard, more than five methotrexate courses required to normalize hCG carries a 6.19- to 6.80-fold higher hazard, and each unit of delay in hCG normalization independently raises hazard by a factor of 1.27.</w:t>
      </w:r>
    </w:p>
    <w:p>
      <w:pPr>
        <w:pStyle w:val="ListParagraph"/>
        <w:numPr>
          <w:ilvl w:val="0"/>
          <w:numId w:val="1"/>
        </w:numPr>
        <w:spacing w:after="120"/>
      </w:pPr>
      <w:r>
        <w:t xml:space="preserve">High-risk GTN (includes frank choriocarcinoma with adverse FIGO scoring): 30–40% of patients develop resistance or recurrence after their first remission — roughly an order of magnitude higher than the low-risk group, despite multi-agent regimens (EMA/CO and successors) achieving high overall cure rates.</w:t>
      </w:r>
    </w:p>
    <w:p>
      <w:pPr>
        <w:pStyle w:val="ListParagraph"/>
        <w:numPr>
          <w:ilvl w:val="0"/>
          <w:numId w:val="1"/>
        </w:numPr>
        <w:spacing w:after="120"/>
      </w:pPr>
      <w:r>
        <w:t xml:space="preserve">PSTT and ETT, the most differentiated and least proliferative GTN histotypes, are described in the specialist literature as frequently resistant to chemotherapy essentially by default; disease confined to the uterus is preferentially cured by hysterectomy rather than by chemotherapy, and metastatic disease without surgical control has a documented tendency to progress despite aggressive multi-agent regimens.</w:t>
      </w:r>
    </w:p>
    <w:p>
      <w:pPr>
        <w:spacing w:after="200"/>
      </w:pPr>
      <w:r>
        <w:t xml:space="preserve">This is a coherent chemosensitivity gradient tracking proliferative fraction, not merely tumor stage: the most proliferative, most cycle-dependent forms (post-molar low-risk disease) are the most curable by cytotoxic therapy alone; the least proliferative forms (PSTT/ETT) are the least curable by chemotherapy alone and require the niche itself to be physically removed.</w:t>
      </w:r>
    </w:p>
    <w:p>
      <w:pPr>
        <w:pStyle w:val="Heading1"/>
        <w:spacing w:after="150" w:before="300"/>
      </w:pPr>
      <w:r>
        <w:rPr>
          <w:b/>
          <w:bCs/>
        </w:rPr>
        <w:t xml:space="preserve">5. Silent by Design: Why hCG Cannot Detect the Reservoir</w:t>
      </w:r>
    </w:p>
    <w:p>
      <w:pPr>
        <w:spacing w:after="200"/>
      </w:pPr>
      <w:r>
        <w:t xml:space="preserve">Human chorionic gonadotropin is produced by the syncytiotrophoblast, the terminally differentiated, non-dividing, hormonally active layer formed by fusion of proliferating cytotrophoblast beneath it. hCG production is downstream of, and dependent on, active syncytial differentiation and secretory activity — it is not a passive marker of trophoblastic cell number but an active output of cells that are, by definition, functionally engaged rather than quiescent. A cell held in a dormant, low-turnover state — by the same logic already applied elsewhere in this series to macrophage-shielded or hypoxia-suppressed dormant populations — has no obvious reason to maintain the differentiated secretory program that generates a detectable hCG signal.</w:t>
      </w:r>
    </w:p>
    <w:p>
      <w:pPr>
        <w:spacing w:after="200"/>
      </w:pPr>
      <w:r>
        <w:t xml:space="preserve">This reframes what a normalized post-treatment hCG level licenses a clinician to conclude. It is direct, sensitive evidence that the actively secreting, proliferating fraction of the clone has been eliminated. It is not, and cannot by the biology of its own production be, direct evidence that no trophoblastic cells with malignant potential remain in a dormant, non-secretory state. This is not a hypothetical concern: the multicenter international expectant-management study of gestational choriocarcinoma found zero relapses over a median 4-year follow-up specifically in a highly selected population whose hCG had already fully normalized after surgical evacuation alone — meaning normalized hCG plus favorable clinical selection can in fact predict durable cure in some patients, but this outcome required careful patient selection precisely because normalized hCG alone was not considered sufficient grounds for surveillance-only management in the field's general practice.</w:t>
      </w:r>
    </w:p>
    <w:p>
      <w:pPr>
        <w:spacing w:after="200"/>
      </w:pPr>
      <w:r>
        <w:t xml:space="preserve">This distinction — normalized marker as evidence against active disease, not as evidence against a dormant reservoir — is the direct throughline to the clinical recommendation in Section 7.</w:t>
      </w:r>
    </w:p>
    <w:p>
      <w:pPr>
        <w:pStyle w:val="Heading1"/>
        <w:spacing w:after="150" w:before="300"/>
      </w:pPr>
      <w:r>
        <w:rPr>
          <w:b/>
          <w:bCs/>
        </w:rPr>
        <w:t xml:space="preserve">6. Fetal Microchimerism: The Same Trophoblastic/Fetal Record, Non-Malignant Case</w:t>
      </w:r>
    </w:p>
    <w:p>
      <w:pPr>
        <w:spacing w:after="200"/>
      </w:pPr>
      <w:r>
        <w:t xml:space="preserve">Fetal cells cross into maternal blood from early in the first trimester onward and, while most are cleared within weeks of delivery, a small population is documented to persist and integrate into maternal tissue for up to three decades, and by some reports longer, including confirmed presence in maternal bone marrow, skin, thyroid, and multiple brain regions in autopsy series. This is architecturally the same phenomenon this series has treated as a Dormant Cell Pool elsewhere — a foreign-lineage cell population, tolerated locally by the maternal immune system, persisting for decades in a non-secretory, non-symptomatic state — but here entirely uncoupled from clonality or malignancy.</w:t>
      </w:r>
    </w:p>
    <w:p>
      <w:pPr>
        <w:spacing w:after="200"/>
      </w:pPr>
      <w:r>
        <w:t xml:space="preserve">Its relevance to this article is methodological rather than mechanistic: fetal microchimerism demonstrates that decades-long tissue persistence of a trophoblast/fetal-lineage cell population, tolerated by the same maternal-immune machinery examined in Section 1, is not itself a rare or exotic biological event requiring malignant transformation to explain. The record can simply last that long. What malignant transformation adds, on top of an already plausible decades-long persistence mechanism, is proliferative capacity — which is precisely the variable Sections 3–4 track.</w:t>
      </w:r>
    </w:p>
    <w:p>
      <w:pPr>
        <w:pStyle w:val="Heading1"/>
        <w:spacing w:after="150" w:before="300"/>
      </w:pPr>
      <w:r>
        <w:rPr>
          <w:b/>
          <w:bCs/>
        </w:rPr>
        <w:t xml:space="preserve">7. The Surgical Corollary: Removing the Niche Where Chemotherapy Cannot Reach It</w:t>
      </w:r>
    </w:p>
    <w:p>
      <w:pPr>
        <w:spacing w:after="200"/>
      </w:pPr>
      <w:r>
        <w:t xml:space="preserve">The chemosensitivity gradient in Section 4 and the marker-blindness argument in Section 5 converge on the same practical conclusion already reached, on independent grounds, in Article 4's leukemia discussion (§7, "Restoring the Niche Rather Than Only Attacking the Clone"): where the mechanism protecting residual disease is geometric or energetic shielding of a dormant fraction rather than genetic drug resistance in an actively cycling one, cytotoxic dose escalation is the wrong lever, and physical removal of the niche is the correct one.</w:t>
      </w:r>
    </w:p>
    <w:p>
      <w:pPr>
        <w:spacing w:after="200"/>
      </w:pPr>
      <w:r>
        <w:t xml:space="preserve">This is not a theoretical extrapolation in gestational choriocarcinoma; it is documented, if underused, clinical practice specifically in chemoresistant and PSTT/ETT disease. Case reports of durable long-term remission in metastatic PSTT — one patient disease-free more than six years after combined EMA/CO chemotherapy plus surgery, another disease-free at ten years with a combined surgical-chemotherapy approach — are explicitly framed by their authors as supporting combined surgery-plus-chemotherapy over chemotherapy alone for exactly this histotype, precisely because PSTT/ETT's low proliferative fraction leaves relatively little cycling substrate for cytotoxic agents to act on in the first place. Current specialist guidance for uterus-confined PSTT/ETT already favors hysterectomy as potentially curative on its own, independent of chemotherapy.</w:t>
      </w:r>
    </w:p>
    <w:p>
      <w:pPr>
        <w:spacing w:after="200"/>
      </w:pPr>
      <w:r>
        <w:t xml:space="preserve">Framed in this series' terms: hysterectomy (or resection of any other identifiable focus) in resistant or high-recurrence-risk gestational choriocarcinoma is not merely tumor debulking. It is the direct removal of the anatomical structure capable of housing a hCG-silent Dormant Cell Pool — the one intervention in the therapeutic repertoire that does not depend on the target cells being in cycle to work.</w:t>
      </w:r>
    </w:p>
    <w:p>
      <w:pPr>
        <w:pStyle w:val="Heading1"/>
        <w:spacing w:after="150" w:before="300"/>
      </w:pPr>
      <w:r>
        <w:rPr>
          <w:b/>
          <w:bCs/>
        </w:rPr>
        <w:t xml:space="preserve">8. Testicular Choriocarcinoma as a Partial, Complicating Comparison</w:t>
      </w:r>
    </w:p>
    <w:p>
      <w:pPr>
        <w:spacing w:after="200"/>
      </w:pPr>
      <w:r>
        <w:t xml:space="preserve">Non-gestational choriocarcinoma — most commonly a component of testicular mixed germ cell tumors, rarely pure — arises from the patient's own germ cells and is therefore genetically self rather than allogeneic; there is no paternal-antigen mismatch for HLA-G-style privilege to solve, and indeed no documented reason to expect constitutive HLA-G expression in this context at all. If inherited trophoblastic immune privilege were the dominant variable behind gestational choriocarcinoma's favorable behavior, non-gestational choriocarcinoma — lacking that inherited privilege entirely — might be predicted to behave more favorably against the immune system, if anything, while remaining comparably chemosensitive.</w:t>
      </w:r>
    </w:p>
    <w:p>
      <w:pPr>
        <w:spacing w:after="200"/>
      </w:pPr>
      <w:r>
        <w:t xml:space="preserve">The clinical data run the opposite direction on both counts. Non-gestational choriocarcinoma has a substantially worse prognosis than gestational choriocarcinoma and is documented to be markedly less chemosensitive, not more — pure testicular choriocarcinoma carries the worst prognosis of any testicular germ cell tumor subtype, and case reports of non-gestational choriocarcinoma (ovarian and testicular) describe disease that fails to respond to the same methotrexate-containing regimens that cure the great majority of gestational cases.</w:t>
      </w:r>
    </w:p>
    <w:p>
      <w:pPr>
        <w:spacing w:after="200"/>
      </w:pPr>
      <w:r>
        <w:t xml:space="preserve">This does not straightforwardly falsify the immune-privilege argument, but it does mean the comparison cannot be used as a clean isolated test of that one variable, and this should be stated plainly rather than smoothed over. Testicular and gestational choriocarcinoma differ in tissue microenvironment (testis vs. gravid uterus), tumor purity (non-gestational choriocarcinoma is usually one component of a mixed germ cell tumor rather than a pure lesion), genetic complement, and degree of trophoblastic differentiation achieved by the transformed cell — any of which could plausibly account for the chemosensitivity difference independent of immune privilege. What the comparison does establish is that inherited allogeneic immune privilege is not sufficient on its own to explain gestational choriocarcinoma's favorable behavior, since removing it (in the non-gestational case) does not simply flip the outcome to the opposite direction predicted by that variable alone — some other factor, or set of factors, associated specifically with gestational origin is doing at least as much of the work.</w:t>
      </w:r>
    </w:p>
    <w:p>
      <w:pPr>
        <w:pStyle w:val="Heading1"/>
        <w:spacing w:after="150" w:before="300"/>
      </w:pPr>
      <w:r>
        <w:rPr>
          <w:b/>
          <w:bCs/>
        </w:rPr>
        <w:t xml:space="preserve">9. Testable Predictions</w:t>
      </w:r>
    </w:p>
    <w:p>
      <w:pPr>
        <w:pStyle w:val="ListParagraph"/>
        <w:numPr>
          <w:ilvl w:val="0"/>
          <w:numId w:val="1"/>
        </w:numPr>
        <w:spacing w:after="120"/>
      </w:pPr>
      <w:r>
        <w:t xml:space="preserve">Residual, non-secretory trophoblastic cells (hCG-silent by the mechanism proposed in Section 5) should be detectable by non-hCG-dependent methods (e.g., circulating trophoblastic DNA methylation signatures, or direct tissue sampling) in a measurable fraction of patients classified as being in complete remission by hCG criteria alone, particularly among those with documented relapse-predictive features (delayed hCG normalization, high methotrexate course count) from Section 4.</w:t>
      </w:r>
    </w:p>
    <w:p>
      <w:pPr>
        <w:pStyle w:val="ListParagraph"/>
        <w:numPr>
          <w:ilvl w:val="0"/>
          <w:numId w:val="1"/>
        </w:numPr>
        <w:spacing w:after="120"/>
      </w:pPr>
      <w:r>
        <w:t xml:space="preserve">Time-to-relapse in gestational choriocarcinoma should show a bimodal rather than a smoothly exponential distribution — an early peak (within the first year, consistent with incomplete clearance of a still-active fraction) and a long, low-rate tail extending past a decade (consistent with a stable, low-reactivation-probability dormant pool) — testable directly against the large existing GTN registries already cited in Section 3.</w:t>
      </w:r>
    </w:p>
    <w:p>
      <w:pPr>
        <w:pStyle w:val="ListParagraph"/>
        <w:numPr>
          <w:ilvl w:val="0"/>
          <w:numId w:val="1"/>
        </w:numPr>
        <w:spacing w:after="120"/>
      </w:pPr>
      <w:r>
        <w:t xml:space="preserve">Combined surgery-plus-chemotherapy should show a measurably lower relapse rate than chemotherapy alone in chemoresistant or high-risk gestational choriocarcinoma with an anatomically resectable focus, stratified by pre-surgical hCG trajectory (rapid vs. delayed normalization) as a proxy for dormant-fraction burden.</w:t>
      </w:r>
    </w:p>
    <w:p>
      <w:pPr>
        <w:pStyle w:val="ListParagraph"/>
        <w:numPr>
          <w:ilvl w:val="0"/>
          <w:numId w:val="1"/>
        </w:numPr>
        <w:spacing w:after="120"/>
      </w:pPr>
      <w:r>
        <w:t xml:space="preserve">If inherited trophoblastic privilege is only one of several factors behind gestational choriocarcinoma's favorable behavior (Section 8), then experimentally restoring HLA-G expression in non-gestational choriocarcinoma cell lines should improve immune evasion without correspondingly improving chemosensitivity — separating the immune-privilege variable from whatever is independently driving the chemosensitivity difference.</w:t>
      </w:r>
    </w:p>
    <w:p>
      <w:pPr>
        <w:pStyle w:val="ListParagraph"/>
        <w:numPr>
          <w:ilvl w:val="0"/>
          <w:numId w:val="1"/>
        </w:numPr>
        <w:spacing w:after="120"/>
      </w:pPr>
      <w:r>
        <w:t xml:space="preserve">Detectable fetal microchimeric cells (Section 6) should be more prevalent or more abundant in women with a remote history of molar pregnancy or GTN than in women with only uncomplicated pregnancies, if trophoblastic-lineage persistence capacity is a shared, quantifiable tissue property rather than something specific to the malignant cases.</w:t>
      </w:r>
    </w:p>
    <w:p>
      <w:pPr>
        <w:pStyle w:val="Heading1"/>
        <w:spacing w:after="150" w:before="300"/>
      </w:pPr>
      <w:r>
        <w:rPr>
          <w:b/>
          <w:bCs/>
        </w:rPr>
        <w:t xml:space="preserve">10. Limitations</w:t>
      </w:r>
    </w:p>
    <w:p>
      <w:pPr>
        <w:spacing w:after="200"/>
      </w:pPr>
      <w:r>
        <w:t xml:space="preserve">This article synthesizes literature on independently documented reproductive immunology, oncology outcomes, and case reports; it reports no new data. The late-relapse cases in Section 3 (choriocarcinoma after 20+ years) are individual case reports without tissue confirmation of dormancy versus a new occult pregnancy or reinfection in most instances, a limitation the original authors themselves note. The chemosensitivity gradient in Section 4 is drawn from heterogeneous cohorts, regimens, and eras, and FIGO risk categories capture more than proliferative fraction alone (metastatic burden, site, prior treatment), so the gradient should be read as consistent with the model's prediction rather than as an isolated proof of it. The hCG-silence argument in Section 5 is a mechanistic inference from syncytiotrophoblast differentiation biology and has not, to this author's knowledge, been directly tested by paired hCG-negative/tissue-positive sampling in dormant residual disease. Section 8's testicular comparison is explicitly presented as inconclusive by design; it constrains rather than confirms the immune-privilege hypothesis, and further work isolating tissue-of-origin from genetic origin (e.g., in ovarian non-gestational choriocarcinoma, which shares the pelvic microenvironment with gestational disease while remaining genetically self) would sharpen the comparison considerably.</w:t>
      </w:r>
    </w:p>
    <w:p>
      <w:pPr>
        <w:pStyle w:val="Heading1"/>
        <w:spacing w:after="150" w:before="300"/>
      </w:pPr>
      <w:r>
        <w:rPr>
          <w:b/>
          <w:bCs/>
        </w:rPr>
        <w:t xml:space="preserve">References</w:t>
      </w:r>
    </w:p>
    <w:p>
      <w:pPr>
        <w:spacing w:after="200"/>
      </w:pPr>
      <w:r>
        <w:t xml:space="preserve">1. The Molecular Mechanisms of HLA-G Regulatory Function on Immune Cells during Early Pregnancy. </w:t>
      </w:r>
      <w:hyperlink w:history="1" r:id="rIdirmoh6emcypcd3iwgsitv">
        <w:r>
          <w:rPr>
            <w:rStyle w:val="Hyperlink"/>
            <w:color w:val="0563C1"/>
            <w:u w:val="single"/>
          </w:rPr>
          <w:t xml:space="preserve">https://www.ncbi.nlm.nih.gov/pmc/articles/PMC10452754/</w:t>
        </w:r>
      </w:hyperlink>
    </w:p>
    <w:p>
      <w:pPr>
        <w:spacing w:after="200"/>
      </w:pPr>
      <w:r>
        <w:t xml:space="preserve">2. HLA-G expression in extravillous trophoblasts is an intrinsic property of cell differentiation: a lesson learned from ectopic pregnancies. </w:t>
      </w:r>
      <w:hyperlink w:history="1" r:id="rIdwv99a1s0brgrthkhpj1ao">
        <w:r>
          <w:rPr>
            <w:rStyle w:val="Hyperlink"/>
            <w:color w:val="0563C1"/>
            <w:u w:val="single"/>
          </w:rPr>
          <w:t xml:space="preserve">https://academic.oup.com/molehr/article/6/6/535/1058863</w:t>
        </w:r>
      </w:hyperlink>
    </w:p>
    <w:p>
      <w:pPr>
        <w:spacing w:after="200"/>
      </w:pPr>
      <w:r>
        <w:t xml:space="preserve">3. A distant trophoblast-specific enhancer controls HLA-G expression at the maternal–fetal interface. PNAS. </w:t>
      </w:r>
      <w:hyperlink w:history="1" r:id="rIdlpy3apteiw3wodvtzeuib">
        <w:r>
          <w:rPr>
            <w:rStyle w:val="Hyperlink"/>
            <w:color w:val="0563C1"/>
            <w:u w:val="single"/>
          </w:rPr>
          <w:t xml:space="preserve">https://www.pnas.org/doi/10.1073/pnas.1602886113</w:t>
        </w:r>
      </w:hyperlink>
    </w:p>
    <w:p>
      <w:pPr>
        <w:spacing w:after="200"/>
      </w:pPr>
      <w:r>
        <w:t xml:space="preserve">4. Immunomodulatory Properties of HLA-G in Infectious Diseases. </w:t>
      </w:r>
      <w:hyperlink w:history="1" r:id="rId_vfh4oo4ons8lzh9yw442">
        <w:r>
          <w:rPr>
            <w:rStyle w:val="Hyperlink"/>
            <w:color w:val="0563C1"/>
            <w:u w:val="single"/>
          </w:rPr>
          <w:t xml:space="preserve">https://www.ncbi.nlm.nih.gov/pmc/articles/PMC4009271/</w:t>
        </w:r>
      </w:hyperlink>
    </w:p>
    <w:p>
      <w:pPr>
        <w:spacing w:after="200"/>
      </w:pPr>
      <w:r>
        <w:t xml:space="preserve">5. Using short tandem repeat analysis for choriocarcinoma diagnosis: a case series. </w:t>
      </w:r>
      <w:hyperlink w:history="1" r:id="rIdqw7vew_cntgpdkqmuuucn">
        <w:r>
          <w:rPr>
            <w:rStyle w:val="Hyperlink"/>
            <w:color w:val="0563C1"/>
            <w:u w:val="single"/>
          </w:rPr>
          <w:t xml:space="preserve">https://www.ncbi.nlm.nih.gov/pmc/articles/PMC6698345/</w:t>
        </w:r>
      </w:hyperlink>
    </w:p>
    <w:p>
      <w:pPr>
        <w:spacing w:after="200"/>
      </w:pPr>
      <w:r>
        <w:t xml:space="preserve">6. Relapse rates after two versus three consolidation courses of methotrexate in the treatment of low-risk gestational trophoblastic neoplasia. </w:t>
      </w:r>
      <w:hyperlink w:history="1" r:id="rIdp0ejbczcrzmagoyao3trq">
        <w:r>
          <w:rPr>
            <w:rStyle w:val="Hyperlink"/>
            <w:color w:val="0563C1"/>
            <w:u w:val="single"/>
          </w:rPr>
          <w:t xml:space="preserve">https://www.researchgate.net/publication/221696184_Relapse_rates_after_two_versus_three_consolidation_courses_of_methotrexate_in_the_treatment_of_low-risk_gestational_trophoblastic_neoplasia</w:t>
        </w:r>
      </w:hyperlink>
    </w:p>
    <w:p>
      <w:pPr>
        <w:spacing w:after="200"/>
      </w:pPr>
      <w:r>
        <w:t xml:space="preserve">7. Single-dose methotrexate regimen in the treatment of low-risk gestational trophoblastic neoplasia. </w:t>
      </w:r>
      <w:hyperlink w:history="1" r:id="rIdwbbkcljizkhe3_m2u_0kd">
        <w:r>
          <w:rPr>
            <w:rStyle w:val="Hyperlink"/>
            <w:color w:val="0563C1"/>
            <w:u w:val="single"/>
          </w:rPr>
          <w:t xml:space="preserve">https://www.sciencedirect.com/science/article/abs/pii/S0002937806003723</w:t>
        </w:r>
      </w:hyperlink>
    </w:p>
    <w:p>
      <w:pPr>
        <w:spacing w:after="200"/>
      </w:pPr>
      <w:r>
        <w:t xml:space="preserve">8. Low-risk persistent gestational trophoblastic disease treated with low-dose methotrexate: efficacy, acute and long-term effects. </w:t>
      </w:r>
      <w:hyperlink w:history="1" r:id="rIdvs98dqaeu2xda3mfpmh_l">
        <w:r>
          <w:rPr>
            <w:rStyle w:val="Hyperlink"/>
            <w:color w:val="0563C1"/>
            <w:u w:val="single"/>
          </w:rPr>
          <w:t xml:space="preserve">https://pmc.ncbi.nlm.nih.gov/articles/PMC2395266/</w:t>
        </w:r>
      </w:hyperlink>
    </w:p>
    <w:p>
      <w:pPr>
        <w:spacing w:after="200"/>
      </w:pPr>
      <w:r>
        <w:t xml:space="preserve">9. Consolidation courses in low-risk gestational trophoblastic neoplasia and relapse rate: A MITO-9 retrospective study. </w:t>
      </w:r>
      <w:hyperlink w:history="1" r:id="rIdycwtdqyml1wgj5t3r5gyw">
        <w:r>
          <w:rPr>
            <w:rStyle w:val="Hyperlink"/>
            <w:color w:val="0563C1"/>
            <w:u w:val="single"/>
          </w:rPr>
          <w:t xml:space="preserve">https://www.sciencedirect.com/science/article/abs/pii/S0090825825001106</w:t>
        </w:r>
      </w:hyperlink>
    </w:p>
    <w:p>
      <w:pPr>
        <w:spacing w:after="200"/>
      </w:pPr>
      <w:r>
        <w:t xml:space="preserve">10. Does methotrexate (MTX) dosing in a 8-day MTX/FA regimen for the treatment of low-risk gestational trophoblastic neoplasia affect outcomes? The MITO-9 study. </w:t>
      </w:r>
      <w:hyperlink w:history="1" r:id="rIde4rt84jeqkrqgbjrsbtfq">
        <w:r>
          <w:rPr>
            <w:rStyle w:val="Hyperlink"/>
            <w:color w:val="0563C1"/>
            <w:u w:val="single"/>
          </w:rPr>
          <w:t xml:space="preserve">https://pubmed.ncbi.nlm.nih.gov/30266260/</w:t>
        </w:r>
      </w:hyperlink>
    </w:p>
    <w:p>
      <w:pPr>
        <w:spacing w:after="200"/>
      </w:pPr>
      <w:r>
        <w:t xml:space="preserve">11. Predictive factors of relapse in low-risk gestational trophoblastic neoplasia patients successfully treated with methotrexate alone. </w:t>
      </w:r>
      <w:hyperlink w:history="1" r:id="rIds2sjsddmihcqtlgh77rfq">
        <w:r>
          <w:rPr>
            <w:rStyle w:val="Hyperlink"/>
            <w:color w:val="0563C1"/>
            <w:u w:val="single"/>
          </w:rPr>
          <w:t xml:space="preserve">https://www.ajog.org/article/S0002-9378(16)00233-7/fulltext</w:t>
        </w:r>
      </w:hyperlink>
    </w:p>
    <w:p>
      <w:pPr>
        <w:spacing w:after="200"/>
      </w:pPr>
      <w:r>
        <w:t xml:space="preserve">12. Gestational choriocarcinoma. International Journal of Gynecological Cancer. </w:t>
      </w:r>
      <w:hyperlink w:history="1" r:id="rIdkzjknodayrt7ieqxnngln">
        <w:r>
          <w:rPr>
            <w:rStyle w:val="Hyperlink"/>
            <w:color w:val="0563C1"/>
            <w:u w:val="single"/>
          </w:rPr>
          <w:t xml:space="preserve">https://www.international-journal-of-gynecological-cancer.com/article/S1048-891X(24)01728-6/fulltext</w:t>
        </w:r>
      </w:hyperlink>
    </w:p>
    <w:p>
      <w:pPr>
        <w:spacing w:after="200"/>
      </w:pPr>
      <w:r>
        <w:t xml:space="preserve">13. Prolonged remission of recurrent, metastatic placental site trophoblastic tumor after chemotherapy. </w:t>
      </w:r>
      <w:hyperlink w:history="1" r:id="rIdlnugg9lqtnmbac260luda">
        <w:r>
          <w:rPr>
            <w:rStyle w:val="Hyperlink"/>
            <w:color w:val="0563C1"/>
            <w:u w:val="single"/>
          </w:rPr>
          <w:t xml:space="preserve">https://pubmed.ncbi.nlm.nih.gov/10620452/</w:t>
        </w:r>
      </w:hyperlink>
    </w:p>
    <w:p>
      <w:pPr>
        <w:spacing w:after="200"/>
      </w:pPr>
      <w:r>
        <w:t xml:space="preserve">14. Metastatic placental site trophoblastic tumor: long-term remission in a patient treated with EMA/CO chemotherapy. </w:t>
      </w:r>
      <w:hyperlink w:history="1" r:id="rIdcdyyelftca64cgfb7nmvz">
        <w:r>
          <w:rPr>
            <w:rStyle w:val="Hyperlink"/>
            <w:color w:val="0563C1"/>
            <w:u w:val="single"/>
          </w:rPr>
          <w:t xml:space="preserve">https://pubmed.ncbi.nlm.nih.gov/9454662/?dopt=Abstract</w:t>
        </w:r>
      </w:hyperlink>
    </w:p>
    <w:p>
      <w:pPr>
        <w:spacing w:after="200"/>
      </w:pPr>
      <w:r>
        <w:t xml:space="preserve">15. Long term remission of metastatic placental site trophoblastic tumor (PSTT): Case report and review of literature. </w:t>
      </w:r>
      <w:hyperlink w:history="1" r:id="rIdqsgqjmokf0d3kf2w8umb9">
        <w:r>
          <w:rPr>
            <w:rStyle w:val="Hyperlink"/>
            <w:color w:val="0563C1"/>
            <w:u w:val="single"/>
          </w:rPr>
          <w:t xml:space="preserve">https://www.ncbi.nlm.nih.gov/pmc/articles/PMC1164436/</w:t>
        </w:r>
      </w:hyperlink>
    </w:p>
    <w:p>
      <w:pPr>
        <w:spacing w:after="200"/>
      </w:pPr>
      <w:r>
        <w:t xml:space="preserve">16. Chemo-resistant Gestational Trophoblastic Neoplasia and the Use of Immunotherapy: A Case Report and Review of Literature. </w:t>
      </w:r>
      <w:hyperlink w:history="1" r:id="rIdjyrbdwor4h_6szwnuys3e">
        <w:r>
          <w:rPr>
            <w:rStyle w:val="Hyperlink"/>
            <w:color w:val="0563C1"/>
            <w:u w:val="single"/>
          </w:rPr>
          <w:t xml:space="preserve">https://pmc.ncbi.nlm.nih.gov/articles/PMC11239987/</w:t>
        </w:r>
      </w:hyperlink>
    </w:p>
    <w:p>
      <w:pPr>
        <w:spacing w:after="200"/>
      </w:pPr>
      <w:r>
        <w:t xml:space="preserve">17. Chemotherapy is not needed when complete evacuation of gestational choriocarcinoma leads to hCG normalization. </w:t>
      </w:r>
      <w:hyperlink w:history="1" r:id="rIdjh9eyr2cvst5ht6vtkd82">
        <w:r>
          <w:rPr>
            <w:rStyle w:val="Hyperlink"/>
            <w:color w:val="0563C1"/>
            <w:u w:val="single"/>
          </w:rPr>
          <w:t xml:space="preserve">https://www.sciencedirect.com/science/article/abs/pii/S0748798324000647</w:t>
        </w:r>
      </w:hyperlink>
    </w:p>
    <w:p>
      <w:pPr>
        <w:spacing w:after="200"/>
      </w:pPr>
      <w:r>
        <w:t xml:space="preserve">18. Late Ultra-High-Risk Recurrence of Gestational Trophoblastic Neoplasia Seven Years Posttreatment. </w:t>
      </w:r>
      <w:hyperlink w:history="1" r:id="rIdobumgua-epgxsyplvyt-o">
        <w:r>
          <w:rPr>
            <w:rStyle w:val="Hyperlink"/>
            <w:color w:val="0563C1"/>
            <w:u w:val="single"/>
          </w:rPr>
          <w:t xml:space="preserve">https://www.ncbi.nlm.nih.gov/pmc/articles/PMC11710945/</w:t>
        </w:r>
      </w:hyperlink>
    </w:p>
    <w:p>
      <w:pPr>
        <w:spacing w:after="200"/>
      </w:pPr>
      <w:r>
        <w:t xml:space="preserve">19. An Unusual Presentation of Choriocarcinoma in a Postmenopausal Woman: A case report. </w:t>
      </w:r>
      <w:hyperlink w:history="1" r:id="rIdri8f0uzeab7mj09umszb4">
        <w:r>
          <w:rPr>
            <w:rStyle w:val="Hyperlink"/>
            <w:color w:val="0563C1"/>
            <w:u w:val="single"/>
          </w:rPr>
          <w:t xml:space="preserve">https://www.ncbi.nlm.nih.gov/pmc/articles/PMC10906773/</w:t>
        </w:r>
      </w:hyperlink>
    </w:p>
    <w:p>
      <w:pPr>
        <w:spacing w:after="200"/>
      </w:pPr>
      <w:r>
        <w:t xml:space="preserve">20. Choriocarcinoma (Archived). StatPearls. </w:t>
      </w:r>
      <w:hyperlink w:history="1" r:id="rIdjippre_dlkgr3m1szwqvm">
        <w:r>
          <w:rPr>
            <w:rStyle w:val="Hyperlink"/>
            <w:color w:val="0563C1"/>
            <w:u w:val="single"/>
          </w:rPr>
          <w:t xml:space="preserve">https://www.ncbi.nlm.nih.gov/books/NBK535434/</w:t>
        </w:r>
      </w:hyperlink>
    </w:p>
    <w:p>
      <w:pPr>
        <w:spacing w:after="200"/>
      </w:pPr>
      <w:r>
        <w:t xml:space="preserve">21. Incidence and prognosis factors of extragonadal choriocarcinoma in males: a population-based study. </w:t>
      </w:r>
      <w:hyperlink w:history="1" r:id="rIdbf6htmit1clnsbloakyd0">
        <w:r>
          <w:rPr>
            <w:rStyle w:val="Hyperlink"/>
            <w:color w:val="0563C1"/>
            <w:u w:val="single"/>
          </w:rPr>
          <w:t xml:space="preserve">https://pmc.ncbi.nlm.nih.gov/articles/PMC6197831/</w:t>
        </w:r>
      </w:hyperlink>
    </w:p>
    <w:p>
      <w:pPr>
        <w:spacing w:after="200"/>
      </w:pPr>
      <w:r>
        <w:t xml:space="preserve">22. A poor prognostic metastatic nongestational choriocarcinoma of the ovary: a case report and the literature review. </w:t>
      </w:r>
      <w:hyperlink w:history="1" r:id="rIde6pm8zzoqtgd1ojukwbs1">
        <w:r>
          <w:rPr>
            <w:rStyle w:val="Hyperlink"/>
            <w:color w:val="0563C1"/>
            <w:u w:val="single"/>
          </w:rPr>
          <w:t xml:space="preserve">https://www.ncbi.nlm.nih.gov/pmc/articles/PMC8063363/</w:t>
        </w:r>
      </w:hyperlink>
    </w:p>
    <w:p>
      <w:pPr>
        <w:spacing w:after="200"/>
      </w:pPr>
      <w:r>
        <w:t xml:space="preserve">23. Feto-maternal microchimerism: Memories from pregnancy. </w:t>
      </w:r>
      <w:hyperlink w:history="1" r:id="rIdydbrq62omjq4l7n31r_0k">
        <w:r>
          <w:rPr>
            <w:rStyle w:val="Hyperlink"/>
            <w:color w:val="0563C1"/>
            <w:u w:val="single"/>
          </w:rPr>
          <w:t xml:space="preserve">https://pmc.ncbi.nlm.nih.gov/articles/PMC8762399/</w:t>
        </w:r>
      </w:hyperlink>
    </w:p>
    <w:p>
      <w:pPr>
        <w:spacing w:after="200"/>
      </w:pPr>
      <w:r>
        <w:t xml:space="preserve">24. Fetal microchimerism and maternal health during and after pregnancy. </w:t>
      </w:r>
      <w:hyperlink w:history="1" r:id="rIdz_xpsulju1jwtgvx93xjj">
        <w:r>
          <w:rPr>
            <w:rStyle w:val="Hyperlink"/>
            <w:color w:val="0563C1"/>
            <w:u w:val="single"/>
          </w:rPr>
          <w:t xml:space="preserve">https://pubmed.ncbi.nlm.nih.gov/27582787/</w:t>
        </w:r>
      </w:hyperlink>
    </w:p>
    <w:p>
      <w:pPr>
        <w:spacing w:after="200"/>
      </w:pPr>
      <w:r>
        <w:t xml:space="preserve">25. Fetal microchimerism and implications for maternal health. </w:t>
      </w:r>
      <w:hyperlink w:history="1" r:id="rIdcjh-coechqf8wpx1ibcyy">
        <w:r>
          <w:rPr>
            <w:rStyle w:val="Hyperlink"/>
            <w:color w:val="0563C1"/>
            <w:u w:val="single"/>
          </w:rPr>
          <w:t xml:space="preserve">https://pmc.ncbi.nlm.nih.gov/articles/PMC7543167/</w:t>
        </w:r>
      </w:hyperlink>
    </w:p>
    <w:p>
      <w:r>
        <w:br w:type="page"/>
      </w:r>
    </w:p>
    <w:p>
      <w:pPr>
        <w:spacing w:after="3000"/>
      </w:pPr>
      <w:r>
        <w:t xml:space="preserve"/>
      </w:r>
    </w:p>
    <w:p>
      <w:pPr>
        <w:spacing w:after="200"/>
        <w:jc w:val="center"/>
      </w:pPr>
      <w:r>
        <w:rPr>
          <w:b/>
          <w:bCs/>
          <w:color w:val="888888"/>
          <w:sz w:val="32"/>
          <w:szCs w:val="32"/>
        </w:rPr>
        <w:t xml:space="preserve">Part IV</w:t>
      </w:r>
    </w:p>
    <w:p>
      <w:pPr>
        <w:spacing w:after="0"/>
        <w:jc w:val="center"/>
      </w:pPr>
      <w:r>
        <w:rPr>
          <w:b/>
          <w:bCs/>
          <w:sz w:val="44"/>
          <w:szCs w:val="44"/>
        </w:rPr>
        <w:t xml:space="preserve">Conceptual Integration</w:t>
      </w:r>
    </w:p>
    <w:p>
      <w:r>
        <w:br w:type="page"/>
      </w:r>
    </w:p>
    <w:p>
      <w:pPr>
        <w:spacing w:after="60"/>
      </w:pPr>
      <w:r>
        <w:rPr>
          <w:i/>
          <w:iCs/>
          <w:color w:val="666666"/>
        </w:rPr>
        <w:t xml:space="preserve">Framework 1.2 — Part IV</w:t>
      </w:r>
    </w:p>
    <w:p>
      <w:pPr>
        <w:spacing w:after="60"/>
      </w:pPr>
      <w:r>
        <w:rPr>
          <w:b/>
          <w:bCs/>
          <w:color w:val="555555"/>
          <w:sz w:val="24"/>
          <w:szCs w:val="24"/>
        </w:rPr>
        <w:t xml:space="preserve">Chapter 12</w:t>
      </w:r>
    </w:p>
    <w:p>
      <w:pPr>
        <w:pStyle w:val="Title"/>
        <w:spacing w:after="100"/>
      </w:pPr>
      <w:r>
        <w:t xml:space="preserve">Who Owns the Reserve?</w:t>
      </w:r>
    </w:p>
    <w:p>
      <w:pPr>
        <w:spacing w:after="300"/>
      </w:pPr>
      <w:r>
        <w:rPr>
          <w:i/>
          <w:iCs/>
        </w:rPr>
        <w:t xml:space="preserve">A Conceptual Essay Closing Framework 1.2</w:t>
      </w:r>
    </w:p>
    <w:p>
      <w:pPr>
        <w:spacing w:after="200"/>
      </w:pPr>
      <w:r>
        <w:t xml:space="preserve">Modern biology traditionally interprets cancer through mutations, signaling pathways, epigenetic alterations, immune escape, and clonal selection. Each of these perspectives explains an important aspect of oncogenesis. Yet they share one limitation: they primarily describe how a clone changes, rather than how it persists over decades despite continuous losses.</w:t>
      </w:r>
    </w:p>
    <w:p>
      <w:pPr>
        <w:spacing w:after="200"/>
      </w:pPr>
      <w:r>
        <w:t xml:space="preserve">Framework 1.2 approaches this question from a different direction.</w:t>
      </w:r>
    </w:p>
    <w:p>
      <w:pPr>
        <w:spacing w:after="200"/>
      </w:pPr>
      <w:r>
        <w:t xml:space="preserve">It proposes that one of the most fundamental organizational principles of multicellular life is the existence of a functional reserve.</w:t>
      </w:r>
    </w:p>
    <w:p>
      <w:pPr>
        <w:spacing w:after="200"/>
      </w:pPr>
      <w:r>
        <w:t xml:space="preserve">Every long-lived biological system requires a protected compartment capable of replacing active functional elements. Without such a reserve, tissues could neither regenerate after injury nor adapt to changing environmental conditions. Stem-cell niches, quiescent hepatocytes, satellite cells of skeletal muscle, and many other physiological examples demonstrate this principle. The reserve exists not for itself, but for the organism.</w:t>
      </w:r>
    </w:p>
    <w:p>
      <w:pPr>
        <w:spacing w:after="200"/>
      </w:pPr>
      <w:r>
        <w:t xml:space="preserve">In this view, the reserve is not merely a population of inactive cells.</w:t>
      </w:r>
    </w:p>
    <w:p>
      <w:pPr>
        <w:spacing w:after="200"/>
      </w:pPr>
      <w:r>
        <w:t xml:space="preserve">It is a mechanism for preserving biological continuity.</w:t>
      </w:r>
    </w:p>
    <w:p>
      <w:pPr>
        <w:spacing w:after="200"/>
      </w:pPr>
      <w:r>
        <w:t xml:space="preserve">The active compartment performs work, experiences stress, and is continuously lost. The reserve replenishes it while simultaneously maintaining its own integrity. Stability therefore emerges not because individual cells survive indefinitely, but because the system continually replaces them.</w:t>
      </w:r>
    </w:p>
    <w:p>
      <w:pPr>
        <w:spacing w:after="200"/>
      </w:pPr>
      <w:r>
        <w:t xml:space="preserve">The same principle appears throughout biology.</w:t>
      </w:r>
    </w:p>
    <w:p>
      <w:pPr>
        <w:spacing w:after="200"/>
      </w:pPr>
      <w:r>
        <w:t xml:space="preserve">Granulomas maintain long-term containment of persistent infection through a protected cellular architecture. Immune memory preserves adaptive immunity long after the initial pathogen has disappeared. Tissue regeneration relies on dormant or slowly cycling cellular populations that can rapidly become active when needed.</w:t>
      </w:r>
    </w:p>
    <w:p>
      <w:pPr>
        <w:spacing w:after="200"/>
      </w:pPr>
      <w:r>
        <w:t xml:space="preserve">Under physiological conditions, all of these reserves serve one purpose: they preserve the organism.</w:t>
      </w:r>
    </w:p>
    <w:p>
      <w:pPr>
        <w:spacing w:after="200"/>
      </w:pPr>
      <w:r>
        <w:t xml:space="preserve">Framework 1.2 proposes that oncogenesis begins to emerge when this relationship gradually changes.</w:t>
      </w:r>
    </w:p>
    <w:p>
      <w:pPr>
        <w:spacing w:after="200"/>
      </w:pPr>
      <w:r>
        <w:t xml:space="preserve">Clonal evolution does not necessarily invent new biological mechanisms. Instead, it progressively captures mechanisms that already exist.</w:t>
      </w:r>
    </w:p>
    <w:p>
      <w:pPr>
        <w:spacing w:after="200"/>
      </w:pPr>
      <w:r>
        <w:t xml:space="preserve">The functional reserve remains.</w:t>
      </w:r>
    </w:p>
    <w:p>
      <w:pPr>
        <w:spacing w:after="200"/>
      </w:pPr>
      <w:r>
        <w:t xml:space="preserve">The architecture remains.</w:t>
      </w:r>
    </w:p>
    <w:p>
      <w:pPr>
        <w:spacing w:after="200"/>
      </w:pPr>
      <w:r>
        <w:t xml:space="preserve">The mechanisms of maintenance remain.</w:t>
      </w:r>
    </w:p>
    <w:p>
      <w:pPr>
        <w:spacing w:after="200"/>
      </w:pPr>
      <w:r>
        <w:t xml:space="preserve">What changes is their beneficiary.</w:t>
      </w:r>
    </w:p>
    <w:p>
      <w:pPr>
        <w:spacing w:after="200"/>
      </w:pPr>
      <w:r>
        <w:t xml:space="preserve">Instead of serving the organism, the reserve begins to serve the clone.</w:t>
      </w:r>
    </w:p>
    <w:p>
      <w:pPr>
        <w:spacing w:after="200"/>
      </w:pPr>
      <w:r>
        <w:t xml:space="preserve">At first, this transition may be subtle. A small population of altered cells acquires a selective advantage and gradually gains preferential access to the reserve compartment. As stochastic selection continues, the reserve increasingly replenishes the evolving clone rather than the normal tissue. Eventually, the reserve itself becomes functionally autonomous.</w:t>
      </w:r>
    </w:p>
    <w:p>
      <w:pPr>
        <w:spacing w:after="200"/>
      </w:pPr>
      <w:r>
        <w:t xml:space="preserve">At this stage, the pathological clone acquires something more important than unlimited proliferation.</w:t>
      </w:r>
    </w:p>
    <w:p>
      <w:pPr>
        <w:spacing w:after="200"/>
      </w:pPr>
      <w:r>
        <w:t xml:space="preserve">It acquires continuity.</w:t>
      </w:r>
    </w:p>
    <w:p>
      <w:pPr>
        <w:spacing w:after="200"/>
      </w:pPr>
      <w:r>
        <w:t xml:space="preserve">The proliferating peripheral cells become expendable. Immune attack, spontaneous cell death, hypoxia, therapy, and mechanical stress continuously eliminate large numbers of cells. Yet the clone persists because these losses are compensated by recruitment from an autonomous reserve.</w:t>
      </w:r>
    </w:p>
    <w:p>
      <w:pPr>
        <w:spacing w:after="200"/>
      </w:pPr>
      <w:r>
        <w:t xml:space="preserve">From this perspective, the decisive event in oncogenesis is not uncontrolled proliferation alone.</w:t>
      </w:r>
    </w:p>
    <w:p>
      <w:pPr>
        <w:spacing w:after="200"/>
      </w:pPr>
      <w:r>
        <w:t xml:space="preserve">It is the gradual transfer of functional ownership over the reserve.</w:t>
      </w:r>
    </w:p>
    <w:p>
      <w:pPr>
        <w:spacing w:after="200"/>
      </w:pPr>
      <w:r>
        <w:t xml:space="preserve">The biological mechanism itself has not fundamentally changed.</w:t>
      </w:r>
    </w:p>
    <w:p>
      <w:pPr>
        <w:spacing w:after="200"/>
      </w:pPr>
      <w:r>
        <w:t xml:space="preserve">Only its purpose has.</w:t>
      </w:r>
    </w:p>
    <w:p>
      <w:pPr>
        <w:spacing w:after="200"/>
      </w:pPr>
      <w:r>
        <w:t xml:space="preserve">This interpretation also provides a common language for several seemingly unrelated biological phenomena.</w:t>
      </w:r>
    </w:p>
    <w:p>
      <w:pPr>
        <w:spacing w:after="200"/>
      </w:pPr>
      <w:r>
        <w:t xml:space="preserve">Regeneration represents successful use of the reserve for tissue repair.</w:t>
      </w:r>
    </w:p>
    <w:p>
      <w:pPr>
        <w:spacing w:after="200"/>
      </w:pPr>
      <w:r>
        <w:t xml:space="preserve">Immune memory represents successful use of the reserve for long-term defense.</w:t>
      </w:r>
    </w:p>
    <w:p>
      <w:pPr>
        <w:spacing w:after="200"/>
      </w:pPr>
      <w:r>
        <w:t xml:space="preserve">Granulomas represent successful use of the reserve for long-term containment of persistent infection.</w:t>
      </w:r>
    </w:p>
    <w:p>
      <w:pPr>
        <w:spacing w:after="200"/>
      </w:pPr>
      <w:r>
        <w:t xml:space="preserve">Cancer represents pathological redirection of the reserve toward maintaining an autonomous clone.</w:t>
      </w:r>
    </w:p>
    <w:p>
      <w:pPr>
        <w:spacing w:after="200"/>
      </w:pPr>
      <w:r>
        <w:t xml:space="preserve">Thus, the same organizational principle may underlie adaptation, regeneration, immunity, and oncogenesis.</w:t>
      </w:r>
    </w:p>
    <w:p>
      <w:pPr>
        <w:spacing w:after="200"/>
      </w:pPr>
      <w:r>
        <w:t xml:space="preserve">Whether the outcome is beneficial or harmful depends not on the existence of the reserve itself, but on who controls it.</w:t>
      </w:r>
    </w:p>
    <w:p>
      <w:pPr>
        <w:spacing w:after="200"/>
      </w:pPr>
      <w:r>
        <w:t xml:space="preserve">Framework 1.2 therefore does not propose that cancer invents a new biology.</w:t>
      </w:r>
    </w:p>
    <w:p>
      <w:pPr>
        <w:spacing w:after="200"/>
      </w:pPr>
      <w:r>
        <w:t xml:space="preserve">It proposes something both simpler and potentially more general.</w:t>
      </w:r>
    </w:p>
    <w:p>
      <w:pPr>
        <w:spacing w:after="200"/>
      </w:pPr>
      <w:r>
        <w:t xml:space="preserve">Cancer may arise when one of the organism's most fundamental adaptive mechanisms — the maintenance of a long-term functional reserve — is progressively appropriated by an evolving clone.</w:t>
      </w:r>
    </w:p>
    <w:p>
      <w:pPr>
        <w:spacing w:after="200"/>
      </w:pPr>
      <w:r>
        <w:t xml:space="preserve">The central question is therefore no longer:</w:t>
      </w:r>
    </w:p>
    <w:p>
      <w:pPr>
        <w:spacing w:after="200"/>
      </w:pPr>
      <w:r>
        <w:rPr>
          <w:i/>
          <w:iCs/>
        </w:rPr>
        <w:t xml:space="preserve">“Why do cancer cells proliferate?”</w:t>
      </w:r>
    </w:p>
    <w:p>
      <w:pPr>
        <w:spacing w:after="200"/>
      </w:pPr>
      <w:r>
        <w:t xml:space="preserve">The deeper question becomes:</w:t>
      </w:r>
    </w:p>
    <w:p>
      <w:pPr>
        <w:spacing w:after="200"/>
      </w:pPr>
      <w:r>
        <w:rPr>
          <w:i/>
          <w:iCs/>
        </w:rPr>
        <w:t xml:space="preserve">“Who owns the reserve?”</w:t>
      </w:r>
    </w:p>
    <w:p>
      <w:pPr>
        <w:spacing w:after="200"/>
      </w:pPr>
      <w:r>
        <w:t xml:space="preserve">If the reserve belongs to the organism, it supports life.</w:t>
      </w:r>
    </w:p>
    <w:p>
      <w:pPr>
        <w:spacing w:after="200"/>
      </w:pPr>
      <w:r>
        <w:t xml:space="preserve">If the reserve belongs to the clone, it supports disease.</w:t>
      </w:r>
    </w:p>
    <w:p>
      <w:pPr>
        <w:spacing w:after="200"/>
      </w:pPr>
      <w:r>
        <w:t xml:space="preserve">This distinction, rather than proliferation alone, may represent one of the fundamental organizational transitions separating physiological adaptation from malignant evolution.</w:t>
      </w:r>
    </w:p>
    <w:p>
      <w:pPr>
        <w:pStyle w:val="Heading1"/>
        <w:spacing w:after="150" w:before="300"/>
      </w:pPr>
      <w:r>
        <w:rPr>
          <w:b/>
          <w:bCs/>
        </w:rPr>
        <w:t xml:space="preserve">Coda: The Reserve Across the Series</w:t>
      </w:r>
    </w:p>
    <w:p>
      <w:pPr>
        <w:spacing w:after="200"/>
      </w:pPr>
      <w:r>
        <w:t xml:space="preserve">Each case examined in this monograph is, on this reading, a different answer to the same question, asked of a different tissue.</w:t>
      </w:r>
    </w:p>
    <w:p>
      <w:pPr>
        <w:pStyle w:val="ListParagraph"/>
        <w:numPr>
          <w:ilvl w:val="0"/>
          <w:numId w:val="1"/>
        </w:numPr>
        <w:spacing w:after="120"/>
      </w:pPr>
      <w:r>
        <w:t xml:space="preserve">Chapter 6 (CHIP) — CHIP is the reserve in the earliest, most reversible stage of change of ownership — a clone overrepresented in the compartment, the compartment still answering to the organism.</w:t>
      </w:r>
    </w:p>
    <w:p>
      <w:pPr>
        <w:pStyle w:val="ListParagraph"/>
        <w:numPr>
          <w:ilvl w:val="0"/>
          <w:numId w:val="1"/>
        </w:numPr>
        <w:spacing w:after="120"/>
      </w:pPr>
      <w:r>
        <w:t xml:space="preserve">Chapter 7 (Leukemia) — Leukemia is the reserve fully transferred — the clone no longer occupying the niche but actively building one of its own.</w:t>
      </w:r>
    </w:p>
    <w:p>
      <w:pPr>
        <w:pStyle w:val="ListParagraph"/>
        <w:numPr>
          <w:ilvl w:val="0"/>
          <w:numId w:val="1"/>
        </w:numPr>
        <w:spacing w:after="120"/>
      </w:pPr>
      <w:r>
        <w:t xml:space="preserve">Chapter 9 (Lymphomas) — The germinal center is the reserve question asked of a tissue built to run the transition constantly, on purpose, as its normal function — and lymphoma is what happens when one cycle of that transition stops returning ownership to the organism.</w:t>
      </w:r>
    </w:p>
    <w:p>
      <w:pPr>
        <w:pStyle w:val="ListParagraph"/>
        <w:numPr>
          <w:ilvl w:val="0"/>
          <w:numId w:val="1"/>
        </w:numPr>
        <w:spacing w:after="120"/>
      </w:pPr>
      <w:r>
        <w:t xml:space="preserve">Chapter 10 (Granulomas) — The granuloma is the control case: a reserve, an architecture, a beneficiary — the organism — with no clone in the story at all, proving the mechanism does not require malignancy to exist.</w:t>
      </w:r>
    </w:p>
    <w:p>
      <w:pPr>
        <w:pStyle w:val="ListParagraph"/>
        <w:numPr>
          <w:ilvl w:val="0"/>
          <w:numId w:val="1"/>
        </w:numPr>
        <w:spacing w:after="120"/>
      </w:pPr>
      <w:r>
        <w:t xml:space="preserve">Chapter 11 (Gestational Choriocarcinoma) — Gestational choriocarcinoma is the reserve question asked of a tissue that was never fully the organism's to begin with — the longest-lived answer in the series, because the clone inherited a claim on the reserve rather than having to win one.</w:t>
      </w:r>
    </w:p>
    <w:p>
      <w:pPr>
        <w:spacing w:after="200"/>
      </w:pPr>
      <w:r>
        <w:t xml:space="preserve">None of these cases required a new biological invention. Each required only a change of beneficiary — the same reserve, the same architecture, the same maintenance mechanisms, answering to someone else.</w:t>
      </w:r>
    </w:p>
    <w:p>
      <w:pPr>
        <w:spacing w:after="200"/>
      </w:pPr>
      <w:r>
        <w:t xml:space="preserve">That is the claim this monograph has tried to make measurable, case by case, rather than only stated in the abstract.</w:t>
      </w:r>
    </w:p>
    <w:p>
      <w:r>
        <w:br w:type="page"/>
      </w:r>
    </w:p>
    <w:p>
      <w:pPr>
        <w:spacing w:after="3000"/>
      </w:pPr>
      <w:r>
        <w:t xml:space="preserve"/>
      </w:r>
    </w:p>
    <w:p>
      <w:pPr>
        <w:spacing w:after="200"/>
        <w:jc w:val="center"/>
      </w:pPr>
      <w:r>
        <w:rPr>
          <w:b/>
          <w:bCs/>
          <w:color w:val="888888"/>
          <w:sz w:val="32"/>
          <w:szCs w:val="32"/>
        </w:rPr>
        <w:t xml:space="preserve">Back Matter</w:t>
      </w:r>
    </w:p>
    <w:p>
      <w:pPr>
        <w:spacing w:after="0"/>
        <w:jc w:val="center"/>
      </w:pPr>
      <w:r>
        <w:rPr>
          <w:b/>
          <w:bCs/>
          <w:sz w:val="44"/>
          <w:szCs w:val="44"/>
        </w:rPr>
        <w:t xml:space="preserve"/>
      </w:r>
    </w:p>
    <w:p>
      <w:r>
        <w:br w:type="page"/>
      </w:r>
    </w:p>
    <w:p>
      <w:pPr>
        <w:spacing w:after="60"/>
      </w:pPr>
      <w:r>
        <w:rPr>
          <w:i/>
          <w:iCs/>
          <w:color w:val="666666"/>
        </w:rPr>
        <w:t xml:space="preserve">Framework 1.2 — Back Matter</w:t>
      </w:r>
    </w:p>
    <w:p>
      <w:pPr>
        <w:pStyle w:val="Title"/>
        <w:spacing w:after="100"/>
      </w:pPr>
      <w:r>
        <w:t xml:space="preserve">Afterword</w:t>
      </w:r>
    </w:p>
    <w:p>
      <w:pPr>
        <w:spacing w:after="300"/>
      </w:pPr>
      <w:r>
        <w:rPr>
          <w:i/>
          <w:iCs/>
        </w:rPr>
        <w:t xml:space="preserve">Oncogenesis &amp; Dormant Cells</w:t>
      </w:r>
    </w:p>
    <w:p>
      <w:pPr>
        <w:spacing w:after="200"/>
      </w:pPr>
      <w:r>
        <w:t xml:space="preserve">This monograph marks the completion of one stage of a long intellectual journey rather than its conclusion. Whether the ideas presented here ultimately prove correct will be decided not by the author, but by future experimental work and scientific discussion.</w:t>
      </w:r>
    </w:p>
    <w:p>
      <w:pPr>
        <w:spacing w:after="200"/>
      </w:pPr>
      <w:r>
        <w:t xml:space="preserve">I would like to express my sincere gratitude to my faithful AI research assistants, Claude (Anthropic) and ChatGPT. Throughout this project, they served not as replacements for scientific thinking, but as tireless partners in literature exploration, critical analysis, and the organization of complex interdisciplinary ideas.</w:t>
      </w:r>
    </w:p>
    <w:p>
      <w:pPr>
        <w:spacing w:after="200"/>
      </w:pPr>
      <w:r>
        <w:t xml:space="preserve">My deepest thanks go to my daughter, Sarah-Lana Demi, Data Scientist, for her patience, understanding, and unwavering support throughout this work, and for enduring my often difficult character during the many months devoted to this project.</w:t>
      </w:r>
    </w:p>
    <w:p>
      <w:pPr>
        <w:spacing w:after="200"/>
      </w:pPr>
      <w:r>
        <w:t xml:space="preserve">I am also deeply grateful to my colleagues at Hillel Yaffe Medical Center, Israel, for their encouragement, professional advice, and for generously sharing their knowledge and clinical experience:</w:t>
      </w:r>
    </w:p>
    <w:p>
      <w:pPr>
        <w:spacing w:after="150"/>
        <w:jc w:val="center"/>
      </w:pPr>
      <w:r>
        <w:t xml:space="preserve">Professor Ilan Bruchim</w:t>
      </w:r>
    </w:p>
    <w:p>
      <w:pPr>
        <w:spacing w:after="150"/>
        <w:jc w:val="center"/>
      </w:pPr>
      <w:r>
        <w:t xml:space="preserve">Dr. Haim David</w:t>
      </w:r>
    </w:p>
    <w:p>
      <w:pPr>
        <w:spacing w:after="150"/>
        <w:jc w:val="center"/>
      </w:pPr>
      <w:r>
        <w:t xml:space="preserve">Dr. Ariel Polonsky</w:t>
      </w:r>
    </w:p>
    <w:p>
      <w:pPr>
        <w:spacing w:after="200"/>
      </w:pPr>
      <w:r>
        <w:t xml:space="preserve">Finally, I wish to thank everyone who will read this work with an open and critical mind.</w:t>
      </w:r>
    </w:p>
    <w:p>
      <w:pPr>
        <w:spacing w:after="0" w:before="200"/>
      </w:pPr>
      <w:r>
        <w:rPr>
          <w:i/>
          <w:iCs/>
        </w:rPr>
        <w:t xml:space="preserve">Science advances not only through answers, but through questions that are worth asking.</w:t>
      </w:r>
    </w:p>
    <w:p>
      <w:r>
        <w:br w:type="page"/>
      </w:r>
    </w:p>
    <w:p>
      <w:pPr>
        <w:spacing w:after="60"/>
      </w:pPr>
      <w:r>
        <w:rPr>
          <w:i/>
          <w:iCs/>
          <w:color w:val="666666"/>
        </w:rPr>
        <w:t xml:space="preserve">Framework 1.2 — Back Matter</w:t>
      </w:r>
    </w:p>
    <w:p>
      <w:pPr>
        <w:pStyle w:val="Title"/>
        <w:spacing w:after="100"/>
      </w:pPr>
      <w:r>
        <w:t xml:space="preserve">References</w:t>
      </w:r>
    </w:p>
    <w:p>
      <w:pPr>
        <w:spacing w:after="200"/>
      </w:pPr>
      <w:r>
        <w:t xml:space="preserve">Full, individually numbered reference lists — each hyperlinked to its source — are provided at the end of every chapter in Parts I–III, immediately following that chapter's Testable Predictions and Limitations sections. They are not repeated here as a single consolidated list, since each chapter's citations are numbered independently and are most useful in place, alongside the specific claims they support.</w:t>
      </w:r>
    </w:p>
    <w:p>
      <w:pPr>
        <w:spacing w:after="200"/>
      </w:pPr>
      <w:r>
        <w:t xml:space="preserve">Readers seeking the complete bibliography for a specific chapter should consult the References section at the close of that chapter.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qxzy0gyhrxat6nn8dpuv" Type="http://schemas.openxmlformats.org/officeDocument/2006/relationships/hyperlink" Target="https://www.science.org/doi/10.1126/science.1070919" TargetMode="External"/><Relationship Id="rId1ueg2rtukta2yjkvyzldw" Type="http://schemas.openxmlformats.org/officeDocument/2006/relationships/hyperlink" Target="https://journals.plos.org/ploscompbiol/article?id=10.1371%2Fjournal.pcbi.1013014" TargetMode="External"/><Relationship Id="rIdjoztga8xa1imp1ybfpwzv" Type="http://schemas.openxmlformats.org/officeDocument/2006/relationships/hyperlink" Target="https://pmc.ncbi.nlm.nih.gov/articles/PMC9428886/" TargetMode="External"/><Relationship Id="rIdxigibclbzw7yvffvea_fz" Type="http://schemas.openxmlformats.org/officeDocument/2006/relationships/hyperlink" Target="https://www.ncbi.nlm.nih.gov/pmc/articles/PMC11290965/" TargetMode="External"/><Relationship Id="rId-sdps6sxmpmqt0m8dcjat" Type="http://schemas.openxmlformats.org/officeDocument/2006/relationships/hyperlink" Target="https://www.ncbi.nlm.nih.gov/pmc/articles/PMC10153277/" TargetMode="External"/><Relationship Id="rIdebfhfqldyogryrqdtkoof" Type="http://schemas.openxmlformats.org/officeDocument/2006/relationships/hyperlink" Target="https://pmc.ncbi.nlm.nih.gov/articles/PMC12283745/" TargetMode="External"/><Relationship Id="rIdyy6j-z_ganogltqjiilos" Type="http://schemas.openxmlformats.org/officeDocument/2006/relationships/hyperlink" Target="https://www.pnas.org/doi/10.1073/pnas.2405717121" TargetMode="External"/><Relationship Id="rIddxthx1d-au1xzsoi3u3t-" Type="http://schemas.openxmlformats.org/officeDocument/2006/relationships/hyperlink" Target="https://pmc.ncbi.nlm.nih.gov/articles/PMC10239871/" TargetMode="External"/><Relationship Id="rIdwpfpqh22nfrrrxsbt-vr7" Type="http://schemas.openxmlformats.org/officeDocument/2006/relationships/hyperlink" Target="https://pmc.ncbi.nlm.nih.gov/articles/PMC11034720/" TargetMode="External"/><Relationship Id="rIdr58dub1m4vcetsoctq_uy" Type="http://schemas.openxmlformats.org/officeDocument/2006/relationships/hyperlink" Target="https://pmc.ncbi.nlm.nih.gov/articles/PMC5138279/" TargetMode="External"/><Relationship Id="rId7typjib8k77zzswqqjh_1" Type="http://schemas.openxmlformats.org/officeDocument/2006/relationships/hyperlink" Target="https://pubmed.ncbi.nlm.nih.gov/18515327/" TargetMode="External"/><Relationship Id="rIdapvuiksuzre-96s44jekc" Type="http://schemas.openxmlformats.org/officeDocument/2006/relationships/hyperlink" Target="https://pubmed.ncbi.nlm.nih.gov/24531241/" TargetMode="External"/><Relationship Id="rIddlbotkfisxme-r_x3e_fk" Type="http://schemas.openxmlformats.org/officeDocument/2006/relationships/hyperlink" Target="https://www.thermofisher.com/us/en/home/life-science/antibodies/antibodies-learning-center/antibodies-resource-library/cell-signaling-pathways/cancer-immunoediting.html" TargetMode="External"/><Relationship Id="rIdkqdyuhn16qqxihthts-mb" Type="http://schemas.openxmlformats.org/officeDocument/2006/relationships/hyperlink" Target="https://pmc.ncbi.nlm.nih.gov/articles/PMC8546790/" TargetMode="External"/><Relationship Id="rIda1hon67zkdbskgb3x5g9l" Type="http://schemas.openxmlformats.org/officeDocument/2006/relationships/hyperlink" Target="https://www.sciencedirect.com/science/article/abs/pii/S0022519313002622" TargetMode="External"/><Relationship Id="rIdiu6lfq2-0wnumzxwefcgq" Type="http://schemas.openxmlformats.org/officeDocument/2006/relationships/hyperlink" Target="https://www.sciencepublishinggroup.com/article/10.11648/j.sdmath.20260101.14" TargetMode="External"/><Relationship Id="rIdwx6qotclms_atf1ignja1" Type="http://schemas.openxmlformats.org/officeDocument/2006/relationships/hyperlink" Target="https://www.researchgate.net/publication/268388988_Mathematical_Models_of_Tumor-Immune_System_Dynamics" TargetMode="External"/><Relationship Id="rId6dktrkuuwjmfumhx7ch10" Type="http://schemas.openxmlformats.org/officeDocument/2006/relationships/hyperlink" Target="https://www.researchgate.net/publication/227068317_Multifocal_and_Multicentric_Tumors" TargetMode="External"/><Relationship Id="rIdgp3kpuq3g4w2upziq-k6x" Type="http://schemas.openxmlformats.org/officeDocument/2006/relationships/hyperlink" Target="https://www.ncbi.nlm.nih.gov/pmc/articles/PMC9351068/" TargetMode="External"/><Relationship Id="rIdli9lhq0tjbqw_sl8fss2u" Type="http://schemas.openxmlformats.org/officeDocument/2006/relationships/hyperlink" Target="https://journals.sagepub.com/doi/10.1177/19714009231193162" TargetMode="External"/><Relationship Id="rIdjvpufgze7w2dpe0ox8vkv" Type="http://schemas.openxmlformats.org/officeDocument/2006/relationships/hyperlink" Target="https://www.ncbi.nlm.nih.gov/pmc/articles/PMC12746531/" TargetMode="External"/><Relationship Id="rIdjhdcoovgtimzl6gjgnrs5" Type="http://schemas.openxmlformats.org/officeDocument/2006/relationships/hyperlink" Target="https://onlinelibrary.wiley.com/doi/10.1046/j.1365-2958.2001.02532.x" TargetMode="External"/><Relationship Id="rIdtitimhnmyiqoj47vrb-hr" Type="http://schemas.openxmlformats.org/officeDocument/2006/relationships/hyperlink" Target="https://pmc.ncbi.nlm.nih.gov/articles/PMC1913387/" TargetMode="External"/><Relationship Id="rIdalwqgdg_kifstnm0_3obb" Type="http://schemas.openxmlformats.org/officeDocument/2006/relationships/hyperlink" Target="https://www.bmglabtech.com/en/blog/quorum-sensing-how-bacteria-stay-in-touch/" TargetMode="External"/><Relationship Id="rIdanmxkcfmmu8x28q3qjakq" Type="http://schemas.openxmlformats.org/officeDocument/2006/relationships/hyperlink" Target="https://www.biorxiv.org/content/10.1101/2024.10.17.618937.full.pdf" TargetMode="External"/><Relationship Id="rIdthbgogzcluxbkoudobxgd" Type="http://schemas.openxmlformats.org/officeDocument/2006/relationships/hyperlink" Target="https://journals.plos.org/plospathogens/article?id=10.1371%2Fjournal.ppat.1007945" TargetMode="External"/><Relationship Id="rIdbxyv3lo1e71rm4alyqkmt" Type="http://schemas.openxmlformats.org/officeDocument/2006/relationships/hyperlink" Target="https://journals.asm.org/doi/10.1128/msphere.00493-24" TargetMode="External"/><Relationship Id="rId2endo4bambcdb7mkztrvk" Type="http://schemas.openxmlformats.org/officeDocument/2006/relationships/hyperlink" Target="https://www.ncbi.nlm.nih.gov/pmc/articles/PMC2726123/" TargetMode="External"/><Relationship Id="rIdtzk7wkbjublg7dqq7prbu" Type="http://schemas.openxmlformats.org/officeDocument/2006/relationships/hyperlink" Target="https://www.ncbi.nlm.nih.gov/pmc/articles/PMC4075484/" TargetMode="External"/><Relationship Id="rIdlavfxfnso1huyzygqbh7f" Type="http://schemas.openxmlformats.org/officeDocument/2006/relationships/hyperlink" Target="https://www.moldynamicssci.com/posts/the-chalone-concept-revisiting-the-bodys-natural-brakes-on-growth" TargetMode="External"/><Relationship Id="rIdonoorwufmh0hshbtgtqkq" Type="http://schemas.openxmlformats.org/officeDocument/2006/relationships/hyperlink" Target="https://pubmed.ncbi.nlm.nih.gov/4256041/" TargetMode="External"/><Relationship Id="rId1qbhr9gfry2zlfdmcdqc-" Type="http://schemas.openxmlformats.org/officeDocument/2006/relationships/hyperlink" Target="https://www.sciencedirect.com/science/article/abs/pii/0014482775904528" TargetMode="External"/><Relationship Id="rId6sb0ymtszlyka5a-5gkir" Type="http://schemas.openxmlformats.org/officeDocument/2006/relationships/hyperlink" Target="https://journals.plos.org/plosbiology/article?id=10.1371%2Fjournal.pbio.1000015" TargetMode="External"/><Relationship Id="rIdhva26efssgsq5re4ptktf" Type="http://schemas.openxmlformats.org/officeDocument/2006/relationships/hyperlink" Target="https://elifesciences.org/articles/39596" TargetMode="External"/><Relationship Id="rIdymz2xjxfigctjyyeazcel" Type="http://schemas.openxmlformats.org/officeDocument/2006/relationships/hyperlink" Target="https://www.cell.com/cell-stem-cell/fulltext/S1934-5909(19)30011-6" TargetMode="External"/><Relationship Id="rId63titfqmripdsac0syusg" Type="http://schemas.openxmlformats.org/officeDocument/2006/relationships/hyperlink" Target="https://arxiv.org/pdf/2603.12713" TargetMode="External"/><Relationship Id="rIdkheh6mmlayzfzsyngwb3i" Type="http://schemas.openxmlformats.org/officeDocument/2006/relationships/hyperlink" Target="https://pmc.ncbi.nlm.nih.gov/articles/PMC11113271/" TargetMode="External"/><Relationship Id="rIddsna4yfd7ciof5af4bzia" Type="http://schemas.openxmlformats.org/officeDocument/2006/relationships/hyperlink" Target="https://pmc.ncbi.nlm.nih.gov/articles/PMC9490140/" TargetMode="External"/><Relationship Id="rId52lbnyp94uaoq1hsht-z_" Type="http://schemas.openxmlformats.org/officeDocument/2006/relationships/hyperlink" Target="https://www.sciencedirect.com/science/article/pii/S1044579X24000361" TargetMode="External"/><Relationship Id="rId9ye6je-pngrlghtuuhydd" Type="http://schemas.openxmlformats.org/officeDocument/2006/relationships/hyperlink" Target="https://pmc.ncbi.nlm.nih.gov/articles/PMC9428886/" TargetMode="External"/><Relationship Id="rIdjuy2zmnc7y0eu_chs5vre" Type="http://schemas.openxmlformats.org/officeDocument/2006/relationships/hyperlink" Target="https://www.ncbi.nlm.nih.gov/pmc/articles/PMC10153277/" TargetMode="External"/><Relationship Id="rIdsijbadphl1oxw2zycu8ci" Type="http://schemas.openxmlformats.org/officeDocument/2006/relationships/hyperlink" Target="https://www.ncbi.nlm.nih.gov/pmc/articles/PMC10619442/" TargetMode="External"/><Relationship Id="rIdl-fx2ftvhvpaes3l3n_vf" Type="http://schemas.openxmlformats.org/officeDocument/2006/relationships/hyperlink" Target="https://www.nature.com/articles/nature11965" TargetMode="External"/><Relationship Id="rIduieeaprqtkms92jqbkkqg" Type="http://schemas.openxmlformats.org/officeDocument/2006/relationships/hyperlink" Target="https://www.biorxiv.org/content/10.1101/320895.full.pdf" TargetMode="External"/><Relationship Id="rIdvstth8enh6fd3cf45bkln" Type="http://schemas.openxmlformats.org/officeDocument/2006/relationships/hyperlink" Target="https://pmc.ncbi.nlm.nih.gov/articles/PMC2755200/" TargetMode="External"/><Relationship Id="rIdqegmoy_psnescvha5irru" Type="http://schemas.openxmlformats.org/officeDocument/2006/relationships/hyperlink" Target="https://pmc.ncbi.nlm.nih.gov/articles/PMC3871423/" TargetMode="External"/><Relationship Id="rIdlnozctcso0vikogxw8k_h" Type="http://schemas.openxmlformats.org/officeDocument/2006/relationships/hyperlink" Target="https://link.springer.com/article/10.1186/s12943-025-02484-7" TargetMode="External"/><Relationship Id="rIdgawge9lelzhuto2yjsdqv" Type="http://schemas.openxmlformats.org/officeDocument/2006/relationships/hyperlink" Target="https://www.frontiersin.org/journals/immunology/articles/10.3389/fimmu.2025.1712547/full" TargetMode="External"/><Relationship Id="rId1znf3ylsiib2l4wtiu1l9" Type="http://schemas.openxmlformats.org/officeDocument/2006/relationships/hyperlink" Target="https://www.ncbi.nlm.nih.gov/pmc/articles/PMC11290965/" TargetMode="External"/><Relationship Id="rIdujc1tx_r3hkizcktqvulf" Type="http://schemas.openxmlformats.org/officeDocument/2006/relationships/hyperlink" Target="https://www.nature.com/articles/s41467-025-65803-y" TargetMode="External"/><Relationship Id="rIdcf0jtpfouiiqrb53dl-h3" Type="http://schemas.openxmlformats.org/officeDocument/2006/relationships/hyperlink" Target="https://image-ppubs.uspto.gov/dirsearch-public/print/downloadPdf/8756711" TargetMode="External"/><Relationship Id="rIdorf0zz1a4kxskivwmvyyz" Type="http://schemas.openxmlformats.org/officeDocument/2006/relationships/hyperlink" Target="https://www.ncbi.nlm.nih.gov/pmc/articles/PMC10357884/" TargetMode="External"/><Relationship Id="rIdz2skhoiob-ykgjhqxyvkg" Type="http://schemas.openxmlformats.org/officeDocument/2006/relationships/hyperlink" Target="https://pmc.ncbi.nlm.nih.gov/articles/PMC4792648/" TargetMode="External"/><Relationship Id="rIdyi8yv38-twskhpw_brzcl" Type="http://schemas.openxmlformats.org/officeDocument/2006/relationships/hyperlink" Target="https://pmc.ncbi.nlm.nih.gov/articles/PMC7856634/" TargetMode="External"/><Relationship Id="rIdry42r-qtoo9etvef3tdzx" Type="http://schemas.openxmlformats.org/officeDocument/2006/relationships/hyperlink" Target="https://link.springer.com/article/10.1007/BF00319629" TargetMode="External"/><Relationship Id="rIdzesuu-ucrk2mizt5nbotb" Type="http://schemas.openxmlformats.org/officeDocument/2006/relationships/hyperlink" Target="https://www.ncbi.nlm.nih.gov/pmc/articles/PMC10984086/" TargetMode="External"/><Relationship Id="rId88t6r8squm585dzk1vhm4" Type="http://schemas.openxmlformats.org/officeDocument/2006/relationships/hyperlink" Target="https://www.jpatholtm.org/journal/view.php?doi=10.4132%2Fjptm.2021.09.29" TargetMode="External"/><Relationship Id="rIdwfsal-eu_zk4dtft2mfow" Type="http://schemas.openxmlformats.org/officeDocument/2006/relationships/hyperlink" Target="https://ashpublications.org/blood/article/143/12/1069/507075/The-follicular-lymphoma-tumor-microenvironment-at" TargetMode="External"/><Relationship Id="rIde_elvda0q0eies2_jfeyh" Type="http://schemas.openxmlformats.org/officeDocument/2006/relationships/hyperlink" Target="https://www.ncbi.nlm.nih.gov/pmc/articles/PMC6347644/" TargetMode="External"/><Relationship Id="rIdmmjderg293godmtrxzb38" Type="http://schemas.openxmlformats.org/officeDocument/2006/relationships/hyperlink" Target="https://www.ncbi.nlm.nih.gov/pmc/articles/PMC10582093/" TargetMode="External"/><Relationship Id="rIddgwnabq47dnjhbj9t5sdv" Type="http://schemas.openxmlformats.org/officeDocument/2006/relationships/hyperlink" Target="https://www.biorxiv.org/content/10.1101/2021.12.07.471619.full.pdf" TargetMode="External"/><Relationship Id="rIdocvxwyrzfii41bemr4grs" Type="http://schemas.openxmlformats.org/officeDocument/2006/relationships/hyperlink" Target="https://pmc.ncbi.nlm.nih.gov/articles/PMC8147207/" TargetMode="External"/><Relationship Id="rIdpvwrlzebmfuime2jwrqxq" Type="http://schemas.openxmlformats.org/officeDocument/2006/relationships/hyperlink" Target="https://www.ncbi.nlm.nih.gov/pmc/articles/PMC6098600/" TargetMode="External"/><Relationship Id="rIdf0hnry23gfmarzvzpmfsd" Type="http://schemas.openxmlformats.org/officeDocument/2006/relationships/hyperlink" Target="https://www.ncbi.nlm.nih.gov/pmc/articles/PMC7649335/" TargetMode="External"/><Relationship Id="rId2tzd0iresceyue-bst_zf" Type="http://schemas.openxmlformats.org/officeDocument/2006/relationships/hyperlink" Target="https://www.ncbi.nlm.nih.gov/pmc/articles/PMC8339690/" TargetMode="External"/><Relationship Id="rIdr5q1lm--cqabykppjya9s" Type="http://schemas.openxmlformats.org/officeDocument/2006/relationships/hyperlink" Target="https://www.frontiersin.org/journals/immunology/articles/10.3389/fimmu.2020.02166/full" TargetMode="External"/><Relationship Id="rIdbw1vcfdaor1suhdbcycuz" Type="http://schemas.openxmlformats.org/officeDocument/2006/relationships/hyperlink" Target="https://www.nature.com/articles/s41467-024-46524-0" TargetMode="External"/><Relationship Id="rIdb2ks8yatkxinlbmyqczmb" Type="http://schemas.openxmlformats.org/officeDocument/2006/relationships/hyperlink" Target="https://www.ncbi.nlm.nih.gov/pmc/articles/PMC12889818/" TargetMode="External"/><Relationship Id="rIdliwxfpnzr7thxtmqksg_t" Type="http://schemas.openxmlformats.org/officeDocument/2006/relationships/hyperlink" Target="https://www.nature.com/articles/s41580-022-00568-6" TargetMode="External"/><Relationship Id="rIdcj6fc_stzdm8tewjksvbk" Type="http://schemas.openxmlformats.org/officeDocument/2006/relationships/hyperlink" Target="https://www.cell.com/trends/cell-biology/fulltext/S0962-8924(19)30079-0" TargetMode="External"/><Relationship Id="rId_2fjmpb7pivvrknzt6-jt" Type="http://schemas.openxmlformats.org/officeDocument/2006/relationships/hyperlink" Target="https://pubmed.ncbi.nlm.nih.gov/15260986/" TargetMode="External"/><Relationship Id="rIdm8u0fsvlu5qcvvqhw6bz6" Type="http://schemas.openxmlformats.org/officeDocument/2006/relationships/hyperlink" Target="https://www.annualreviews.org/content/journals/10.1146/annurev-cellbio-101323-023806" TargetMode="External"/><Relationship Id="rIdd2gbgwccsaqowcztgqpri" Type="http://schemas.openxmlformats.org/officeDocument/2006/relationships/hyperlink" Target="https://pubmed.ncbi.nlm.nih.gov/24522534/" TargetMode="External"/><Relationship Id="rId0syjgwo3nljutqsatdxyx" Type="http://schemas.openxmlformats.org/officeDocument/2006/relationships/hyperlink" Target="https://pmc.ncbi.nlm.nih.gov/articles/PMC6873493/" TargetMode="External"/><Relationship Id="rIdyrgdqzyunksdqdmiichyb" Type="http://schemas.openxmlformats.org/officeDocument/2006/relationships/hyperlink" Target="https://pmc.ncbi.nlm.nih.gov/articles/PMC4947105/" TargetMode="External"/><Relationship Id="rIdzxw5y2q4cyj6p8ispu-n3" Type="http://schemas.openxmlformats.org/officeDocument/2006/relationships/hyperlink" Target="https://pmc.ncbi.nlm.nih.gov/articles/PMC8867255/" TargetMode="External"/><Relationship Id="rIdple1fktyeg1iu_hhjay43" Type="http://schemas.openxmlformats.org/officeDocument/2006/relationships/hyperlink" Target="https://www.ncbi.nlm.nih.gov/pmc/articles/PMC10014694/" TargetMode="External"/><Relationship Id="rIdmcgsnhtupehmqwkdepvll" Type="http://schemas.openxmlformats.org/officeDocument/2006/relationships/hyperlink" Target="https://www.science.org/doi/10.1126/scitranslmed.abb5817" TargetMode="External"/><Relationship Id="rIdgs3k8ttrbe_c-6uxam8ia" Type="http://schemas.openxmlformats.org/officeDocument/2006/relationships/hyperlink" Target="https://pmc.ncbi.nlm.nih.gov/articles/PMC2519109/" TargetMode="External"/><Relationship Id="rId--mkfwvvk0i6mgrkeusgi" Type="http://schemas.openxmlformats.org/officeDocument/2006/relationships/hyperlink" Target="https://breast-cancer-research.biomedcentral.com/articles/10.1186/s13058-021-01416-9" TargetMode="External"/><Relationship Id="rIdhbj_souiygyln6k-jxun7" Type="http://schemas.openxmlformats.org/officeDocument/2006/relationships/hyperlink" Target="https://pmc.ncbi.nlm.nih.gov/articles/PMC3729747/" TargetMode="External"/><Relationship Id="rIdotoh_jgie1hjoomvs-vit" Type="http://schemas.openxmlformats.org/officeDocument/2006/relationships/hyperlink" Target="https://www.ncbi.nlm.nih.gov/pmc/articles/PMC12838584/" TargetMode="External"/><Relationship Id="rId-uog03w6ye-v5ky7drlf-" Type="http://schemas.openxmlformats.org/officeDocument/2006/relationships/hyperlink" Target="https://aacrjournals.org/cancerres/article/66/9/4553/532836/Normal-Stem-Cells-and-Cancer-Stem-Cells-The-Niche" TargetMode="External"/><Relationship Id="rIdjsrbb6gookctc41he1mav" Type="http://schemas.openxmlformats.org/officeDocument/2006/relationships/hyperlink" Target="https://pubmed.ncbi.nlm.nih.gov/25426838/" TargetMode="External"/><Relationship Id="rIdtumfpneejxea9khrubszx" Type="http://schemas.openxmlformats.org/officeDocument/2006/relationships/hyperlink" Target="https://pubmed.ncbi.nlm.nih.gov/25426837/" TargetMode="External"/><Relationship Id="rId2ymzidcv1o7r0c0xsr3q8" Type="http://schemas.openxmlformats.org/officeDocument/2006/relationships/hyperlink" Target="https://www.science.org/doi/10.1126/science.959840" TargetMode="External"/><Relationship Id="rId0szwfcvdhq6rfnsz0x7yn" Type="http://schemas.openxmlformats.org/officeDocument/2006/relationships/hyperlink" Target="https://www.mdpi.com/1422-0067/26/6/2739" TargetMode="External"/><Relationship Id="rId5dpyyblve82okyuyisqem" Type="http://schemas.openxmlformats.org/officeDocument/2006/relationships/hyperlink" Target="https://www.jthjournal.org/article/S1538-7836(25)00359-9/fulltext" TargetMode="External"/><Relationship Id="rIdid4tsjibd9xtmcgfnzrrd" Type="http://schemas.openxmlformats.org/officeDocument/2006/relationships/hyperlink" Target="https://pmc.ncbi.nlm.nih.gov/articles/PMC12892922/" TargetMode="External"/><Relationship Id="rIdq7awrwo9-9yry3pyiu5x_" Type="http://schemas.openxmlformats.org/officeDocument/2006/relationships/hyperlink" Target="https://pmc.ncbi.nlm.nih.gov/articles/PMC8486184/" TargetMode="External"/><Relationship Id="rIdmxtkitxhx_onj74mlt0l7" Type="http://schemas.openxmlformats.org/officeDocument/2006/relationships/hyperlink" Target="https://pubmed.ncbi.nlm.nih.gov/34298011/" TargetMode="External"/><Relationship Id="rId6pkvhkvonlvihrj_vggnj" Type="http://schemas.openxmlformats.org/officeDocument/2006/relationships/hyperlink" Target="https://link.springer.com/article/10.1007/s11010-025-05261-8" TargetMode="External"/><Relationship Id="rIddsej_1wofp3k5nvolnzkk" Type="http://schemas.openxmlformats.org/officeDocument/2006/relationships/hyperlink" Target="https://mmrjournal.biomedcentral.com/articles/10.1186/s40779-025-00654-8" TargetMode="External"/><Relationship Id="rIddc0yy468iaaeszluz_bwf" Type="http://schemas.openxmlformats.org/officeDocument/2006/relationships/hyperlink" Target="https://pmc.ncbi.nlm.nih.gov/articles/PMC12795708/" TargetMode="External"/><Relationship Id="rIdb_fo41rwpgmtgjqyt4sna" Type="http://schemas.openxmlformats.org/officeDocument/2006/relationships/hyperlink" Target="https://www.ncbi.nlm.nih.gov/pmc/articles/PMC10623128/" TargetMode="External"/><Relationship Id="rIdv5xaayplnxafnvoxhs76w" Type="http://schemas.openxmlformats.org/officeDocument/2006/relationships/hyperlink" Target="https://www.biorxiv.org/content/10.1101/2023.04.20.537683.full.pdf" TargetMode="External"/><Relationship Id="rIdpyt68ftizqz6objdnjs3b" Type="http://schemas.openxmlformats.org/officeDocument/2006/relationships/hyperlink" Target="https://www.ncbi.nlm.nih.gov/pmc/articles/PMC10355022/" TargetMode="External"/><Relationship Id="rId5tpjeuvs0dv8obf461tiw" Type="http://schemas.openxmlformats.org/officeDocument/2006/relationships/hyperlink" Target="https://www.ncbi.nlm.nih.gov/pmc/articles/PMC5444751/" TargetMode="External"/><Relationship Id="rId7qj0asnupzvhfkze3hsty" Type="http://schemas.openxmlformats.org/officeDocument/2006/relationships/hyperlink" Target="https://pmc.ncbi.nlm.nih.gov/articles/PMC6016729/" TargetMode="External"/><Relationship Id="rId0wntizd3qbuagmzzdggsf" Type="http://schemas.openxmlformats.org/officeDocument/2006/relationships/hyperlink" Target="https://pmc.ncbi.nlm.nih.gov/articles/PMC12153897/" TargetMode="External"/><Relationship Id="rIdl196o7ekq3zkhatmjrqzk" Type="http://schemas.openxmlformats.org/officeDocument/2006/relationships/hyperlink" Target="https://ashpublications.org/blood/article/144/1/21/515641/Bone-marrow-niches-for-hematopoietic-stem-cells" TargetMode="External"/><Relationship Id="rIdvyohjdammy3j5iwzofktj" Type="http://schemas.openxmlformats.org/officeDocument/2006/relationships/hyperlink" Target="https://www.ncbi.nlm.nih.gov/pmc/articles/PMC12627676/" TargetMode="External"/><Relationship Id="rIdnch9qs2v0nzvdzs7ipyoe" Type="http://schemas.openxmlformats.org/officeDocument/2006/relationships/hyperlink" Target="https://www.frontiersin.org/journals/hematology/articles/10.3389/frhem.2026.1850831/full" TargetMode="External"/><Relationship Id="rIdpoiu00hlwtnis2dugf9b8" Type="http://schemas.openxmlformats.org/officeDocument/2006/relationships/hyperlink" Target="https://pmc.ncbi.nlm.nih.gov/articles/PMC11304419/" TargetMode="External"/><Relationship Id="rIdzgiihar0xy38nefqyat4x" Type="http://schemas.openxmlformats.org/officeDocument/2006/relationships/hyperlink" Target="https://www.nature.com/articles/s41375-024-02415-3" TargetMode="External"/><Relationship Id="rIdkg3z9qf3r5y2fbjr_kunh" Type="http://schemas.openxmlformats.org/officeDocument/2006/relationships/hyperlink" Target="https://pmc.ncbi.nlm.nih.gov/articles/PMC6182008/" TargetMode="External"/><Relationship Id="rIdzyag5oxqibraigmouydrv" Type="http://schemas.openxmlformats.org/officeDocument/2006/relationships/hyperlink" Target="https://www.ncbi.nlm.nih.gov/pmc/articles/PMC7260026/" TargetMode="External"/><Relationship Id="rId5ty0bfpcbbxcl_ygjmlbi" Type="http://schemas.openxmlformats.org/officeDocument/2006/relationships/hyperlink" Target="https://www.sciencedirect.com/science/article/pii/S0753332226003288" TargetMode="External"/><Relationship Id="rIdwcwh2kjfbfhiubkkwpb2-" Type="http://schemas.openxmlformats.org/officeDocument/2006/relationships/hyperlink" Target="https://pmc.ncbi.nlm.nih.gov/articles/PMC9890038/" TargetMode="External"/><Relationship Id="rIdzq-zfk9q4wamuoao7x0ar" Type="http://schemas.openxmlformats.org/officeDocument/2006/relationships/hyperlink" Target="https://www.ncbi.nlm.nih.gov/pmc/articles/PMC12911078/" TargetMode="External"/><Relationship Id="rIdx1nkq0jbotdipc-swo4sf" Type="http://schemas.openxmlformats.org/officeDocument/2006/relationships/hyperlink" Target="https://pmc.ncbi.nlm.nih.gov/articles/PMC10216329/" TargetMode="External"/><Relationship Id="rIdpt4ebgu6tbtky_1blnphk" Type="http://schemas.openxmlformats.org/officeDocument/2006/relationships/hyperlink" Target="https://www.ncbi.nlm.nih.gov/pmc/articles/PMC8126705/" TargetMode="External"/><Relationship Id="rIdezgtehv4jwzqp2fnpvlsc" Type="http://schemas.openxmlformats.org/officeDocument/2006/relationships/hyperlink" Target="https://pmc.ncbi.nlm.nih.gov/articles/PMC3163846/" TargetMode="External"/><Relationship Id="rIdst5dk4earthvtdhcmggfi" Type="http://schemas.openxmlformats.org/officeDocument/2006/relationships/hyperlink" Target="https://pmc.ncbi.nlm.nih.gov/articles/PMC6972492/" TargetMode="External"/><Relationship Id="rIdaye101sufrlekr0-o8txv" Type="http://schemas.openxmlformats.org/officeDocument/2006/relationships/hyperlink" Target="https://www.ncbi.nlm.nih.gov/pmc/articles/PMC6337734/" TargetMode="External"/><Relationship Id="rIdgacamjucxdzor3pedmuq0" Type="http://schemas.openxmlformats.org/officeDocument/2006/relationships/hyperlink" Target="https://pmc.ncbi.nlm.nih.gov/articles/PMC8707658/" TargetMode="External"/><Relationship Id="rIdbkzy64ja4u2uvuldargtt" Type="http://schemas.openxmlformats.org/officeDocument/2006/relationships/hyperlink" Target="https://pmc.ncbi.nlm.nih.gov/articles/PMC11104806/" TargetMode="External"/><Relationship Id="rIdtxvi-mo83tf8kx6tqxbhj" Type="http://schemas.openxmlformats.org/officeDocument/2006/relationships/hyperlink" Target="https://www.nature.com/articles/s12276-024-01192-4" TargetMode="External"/><Relationship Id="rIdvjjqxtxrbtodbforz7xxl" Type="http://schemas.openxmlformats.org/officeDocument/2006/relationships/hyperlink" Target="https://www.nature.com/articles/s41598-026-41461-y" TargetMode="External"/><Relationship Id="rIdekbizadwow4lfjrhen9rt" Type="http://schemas.openxmlformats.org/officeDocument/2006/relationships/hyperlink" Target="https://pmc.ncbi.nlm.nih.gov/articles/PMC10466439/" TargetMode="External"/><Relationship Id="rId7kadf9nripo7wmjm9kabo" Type="http://schemas.openxmlformats.org/officeDocument/2006/relationships/hyperlink" Target="https://www.sciencedirect.com/science/article/pii/S215226502030210X" TargetMode="External"/><Relationship Id="rIdll1_avwnzhq6vzw39iyim" Type="http://schemas.openxmlformats.org/officeDocument/2006/relationships/hyperlink" Target="https://www.cancernetwork.com/view/risk-factors-myelofibrosis-linked-poor-outcome-after-splenectomy" TargetMode="External"/><Relationship Id="rIdnaxbpowgav8eqmijlanko" Type="http://schemas.openxmlformats.org/officeDocument/2006/relationships/hyperlink" Target="https://pmc.ncbi.nlm.nih.gov/articles/PMC3874259/" TargetMode="External"/><Relationship Id="rId6jf7lulecupfv4pzdu4f8" Type="http://schemas.openxmlformats.org/officeDocument/2006/relationships/hyperlink" Target="https://www.sciencedirect.com/science/article/pii/S0006497120641805" TargetMode="External"/><Relationship Id="rIdxnkbrg38qd1ckfmdjgtul" Type="http://schemas.openxmlformats.org/officeDocument/2006/relationships/hyperlink" Target="https://ashpublications.org/blood/article/110/11/2553/57368/Splenectomy-in-Patients-with-Chronic-Myeloid" TargetMode="External"/><Relationship Id="rIdejevgzdovjglrnsbfstfk" Type="http://schemas.openxmlformats.org/officeDocument/2006/relationships/hyperlink" Target="https://www.biorxiv.org/content/10.1101/2025.09.23.678021.full.pdf" TargetMode="External"/><Relationship Id="rIdifzdpobyecsycgziinggo" Type="http://schemas.openxmlformats.org/officeDocument/2006/relationships/hyperlink" Target="https://pubs.rsc.org/en/content/articlelanding/2024/tb/d3tb02575f" TargetMode="External"/><Relationship Id="rIdpa9to1afbzoyr6vjzqjno" Type="http://schemas.openxmlformats.org/officeDocument/2006/relationships/hyperlink" Target="https://www.ncbi.nlm.nih.gov/pmc/articles/PMC12590926/" TargetMode="External"/><Relationship Id="rIdhvk_uerxcdjmhc7eobdee" Type="http://schemas.openxmlformats.org/officeDocument/2006/relationships/hyperlink" Target="https://www.ovid.com/journals/ctorg/fulltext/10.1159/000514851" TargetMode="External"/><Relationship Id="rIdvzt5lzux4w_le3cipsqdx" Type="http://schemas.openxmlformats.org/officeDocument/2006/relationships/hyperlink" Target="https://www.biorxiv.org/content/10.1101/2025.05.10.653220v1.full" TargetMode="External"/><Relationship Id="rIdwzoxx461gzkzgt9sbllqn" Type="http://schemas.openxmlformats.org/officeDocument/2006/relationships/hyperlink" Target="https://sciencedirect.com/science/article/abs/pii/B9780128239674000014" TargetMode="External"/><Relationship Id="rIdotgi0n7khirksutpeg4fg" Type="http://schemas.openxmlformats.org/officeDocument/2006/relationships/hyperlink" Target="https://www.science.org/doi/10.1126/science.aaf4382" TargetMode="External"/><Relationship Id="rId7kejze-f7kcgfkhdug4rg" Type="http://schemas.openxmlformats.org/officeDocument/2006/relationships/hyperlink" Target="https://www.nature.com/collections/iabcefgejd" TargetMode="External"/><Relationship Id="rId5ohjp9bx0vdjomfeysqhh" Type="http://schemas.openxmlformats.org/officeDocument/2006/relationships/hyperlink" Target="https://www.ncbi.nlm.nih.gov/pmc/articles/PMC8268629/" TargetMode="External"/><Relationship Id="rIddhqlzozgqjuoybabxssn5" Type="http://schemas.openxmlformats.org/officeDocument/2006/relationships/hyperlink" Target="https://www.ncbi.nlm.nih.gov/pmc/articles/PMC11703843/" TargetMode="External"/><Relationship Id="rIdv4nygzml5ddkuzbjo7nk_" Type="http://schemas.openxmlformats.org/officeDocument/2006/relationships/hyperlink" Target="https://www.ncbi.nlm.nih.gov/pmc/articles/PMC7359388/" TargetMode="External"/><Relationship Id="rId_75yiau43tfaecdyp5ord" Type="http://schemas.openxmlformats.org/officeDocument/2006/relationships/hyperlink" Target="https://www.ncbi.nlm.nih.gov/pmc/articles/PMC6373247/" TargetMode="External"/><Relationship Id="rIdohoz8dbbk69ote-8xicug" Type="http://schemas.openxmlformats.org/officeDocument/2006/relationships/hyperlink" Target="https://www.nature.com/articles/s42003-021-02257-0" TargetMode="External"/><Relationship Id="rIdhcfbdxmyl93awjqjjliwm" Type="http://schemas.openxmlformats.org/officeDocument/2006/relationships/hyperlink" Target="https://www.sciencedirect.com/science/article/pii/S0304383524002921" TargetMode="External"/><Relationship Id="rIdbubb_9khdiviglxnjnane" Type="http://schemas.openxmlformats.org/officeDocument/2006/relationships/hyperlink" Target="https://www.science.org/doi/10.1126/scitranslmed.abb5817" TargetMode="External"/><Relationship Id="rIdpx0z-4n1oh6tkuj2hxyy7" Type="http://schemas.openxmlformats.org/officeDocument/2006/relationships/hyperlink" Target="https://www.biorxiv.org/content/10.1101/694406v1.full" TargetMode="External"/><Relationship Id="rIdwypt1tlcfciyzpokar13q" Type="http://schemas.openxmlformats.org/officeDocument/2006/relationships/hyperlink" Target="https://www.nature.com/articles/s41467-024-55469-3" TargetMode="External"/><Relationship Id="rIdwkb7jynq4thzj22g7qgda" Type="http://schemas.openxmlformats.org/officeDocument/2006/relationships/hyperlink" Target="https://www.ncbi.nlm.nih.gov/pmc/articles/PMC10562473/" TargetMode="External"/><Relationship Id="rIdaeohdaeuwdbkptlwjnsaq" Type="http://schemas.openxmlformats.org/officeDocument/2006/relationships/hyperlink" Target="https://www.biorxiv.org/content/10.1101/796755.full.pdf" TargetMode="External"/><Relationship Id="rIdg8b1ux4oyjkdmez3od-gt" Type="http://schemas.openxmlformats.org/officeDocument/2006/relationships/hyperlink" Target="https://arxiv.org/pdf/2309.00065" TargetMode="External"/><Relationship Id="rIdvbscmhqw2f7znr02iu8i6" Type="http://schemas.openxmlformats.org/officeDocument/2006/relationships/hyperlink" Target="https://pmc.ncbi.nlm.nih.gov/articles/PMC5039674/" TargetMode="External"/><Relationship Id="rIdjnhidsnnolr_hn7hy9gv2" Type="http://schemas.openxmlformats.org/officeDocument/2006/relationships/hyperlink" Target="https://www.ncbi.nlm.nih.gov/pmc/articles/PMC4081130/" TargetMode="External"/><Relationship Id="rIduoas8wj0ohhk5qg-2hugz" Type="http://schemas.openxmlformats.org/officeDocument/2006/relationships/hyperlink" Target="https://www.ncbi.nlm.nih.gov/pmc/articles/PMC10377224/" TargetMode="External"/><Relationship Id="rIdqj9fb_oaia6y1s-tqisxr" Type="http://schemas.openxmlformats.org/officeDocument/2006/relationships/hyperlink" Target="https://www.ncbi.nlm.nih.gov/pmc/articles/PMC4876309/" TargetMode="External"/><Relationship Id="rIdhn8dd7ldl7trhehfvuxyo" Type="http://schemas.openxmlformats.org/officeDocument/2006/relationships/hyperlink" Target="https://www.ajronline.org/doi/10.2214/AJR.12.9713" TargetMode="External"/><Relationship Id="rIdtwc_rwwofnh8ofzzbacpn" Type="http://schemas.openxmlformats.org/officeDocument/2006/relationships/hyperlink" Target="https://radiogyan.com/articles/56652/" TargetMode="External"/><Relationship Id="rId1qtb56b2woxceofvnw2kx" Type="http://schemas.openxmlformats.org/officeDocument/2006/relationships/hyperlink" Target="https://science.sciencemag.org/content/358/6360/eaao2602" TargetMode="External"/><Relationship Id="rId3ru7om_s7wc72pcn2beuh" Type="http://schemas.openxmlformats.org/officeDocument/2006/relationships/hyperlink" Target="https://www.cell.com/immunity/fulltext/S1074-7613(07)00370-6" TargetMode="External"/><Relationship Id="rIdrp6ieuxowlbz9k-rk2pbw" Type="http://schemas.openxmlformats.org/officeDocument/2006/relationships/hyperlink" Target="https://pmc.ncbi.nlm.nih.gov/articles/PMC7255947/" TargetMode="External"/><Relationship Id="rIdarhno3xcmvta0zem_lxzg" Type="http://schemas.openxmlformats.org/officeDocument/2006/relationships/hyperlink" Target="https://pmc.ncbi.nlm.nih.gov/articles/PMC4216731/" TargetMode="External"/><Relationship Id="rIdvbbda23_hybofq43oplhg" Type="http://schemas.openxmlformats.org/officeDocument/2006/relationships/hyperlink" Target="https://pmc.ncbi.nlm.nih.gov/articles/PMC4444076/" TargetMode="External"/><Relationship Id="rId54kpv-paavgnngq6ony-x" Type="http://schemas.openxmlformats.org/officeDocument/2006/relationships/hyperlink" Target="https://ascopubs.org/doi/10.1200/JCO.2013.52.8190" TargetMode="External"/><Relationship Id="rIdw5leqesifq_vuwbd5i0ut" Type="http://schemas.openxmlformats.org/officeDocument/2006/relationships/hyperlink" Target="https://ashpublications.org/blood/article/123/22/3462/32548/Human-t-14-18-positive-germinal-center-B-cells-a" TargetMode="External"/><Relationship Id="rId4_sqrgtnuwymtuxtmv1lw" Type="http://schemas.openxmlformats.org/officeDocument/2006/relationships/hyperlink" Target="https://www.thelancet.com/journals/lanhae/article/PIIS2352-3026(25)00105-X/fulltext" TargetMode="External"/><Relationship Id="rIdtqy2577zgyzbhqfs83iee" Type="http://schemas.openxmlformats.org/officeDocument/2006/relationships/hyperlink" Target="https://www.nature.com/articles/s41598-023-32736-9" TargetMode="External"/><Relationship Id="rIdaai61etii0_dfro1owkch" Type="http://schemas.openxmlformats.org/officeDocument/2006/relationships/hyperlink" Target="https://www.healio.com/news/hematology-oncology/20220602/watchandwait-approach-remains-reasonable-for-some-patients-with-follicular-lymphoma" TargetMode="External"/><Relationship Id="rIduwwkgfao8pzn4svcn9kns" Type="http://schemas.openxmlformats.org/officeDocument/2006/relationships/hyperlink" Target="https://pmc.ncbi.nlm.nih.gov/articles/PMC3489567/" TargetMode="External"/><Relationship Id="rId2vejv94snzj_6qjhl-msk" Type="http://schemas.openxmlformats.org/officeDocument/2006/relationships/hyperlink" Target="https://pmc.ncbi.nlm.nih.gov/articles/PMC6699002/" TargetMode="External"/><Relationship Id="rIdrfb82cv7e4r88g-dhkcbd" Type="http://schemas.openxmlformats.org/officeDocument/2006/relationships/hyperlink" Target="https://www.sciencedirect.com/science/article/pii/S0923753419410697" TargetMode="External"/><Relationship Id="rId4qd0skhqltdns8vopwat8" Type="http://schemas.openxmlformats.org/officeDocument/2006/relationships/hyperlink" Target="https://pmc.ncbi.nlm.nih.gov/articles/PMC5003192/" TargetMode="External"/><Relationship Id="rIdgdrhnyfsblp3nbgefkye6" Type="http://schemas.openxmlformats.org/officeDocument/2006/relationships/hyperlink" Target="https://www.ncbi.nlm.nih.gov/pmc/articles/PMC1856121/" TargetMode="External"/><Relationship Id="rIdd2nwodvanizatecmv7pdj" Type="http://schemas.openxmlformats.org/officeDocument/2006/relationships/hyperlink" Target="https://pubmed.ncbi.nlm.nih.gov/17895764/" TargetMode="External"/><Relationship Id="rIdal6ltyhbgh9_p3dkwb4kc" Type="http://schemas.openxmlformats.org/officeDocument/2006/relationships/hyperlink" Target="https://pmc.ncbi.nlm.nih.gov/articles/PMC10912031/" TargetMode="External"/><Relationship Id="rId_wnhmpuovua4bkthb3j1i" Type="http://schemas.openxmlformats.org/officeDocument/2006/relationships/hyperlink" Target="https://www.sciencedirect.com/science/article/pii/S1044579X26000210" TargetMode="External"/><Relationship Id="rIdpklddecuyz5_ysl-mmdmy" Type="http://schemas.openxmlformats.org/officeDocument/2006/relationships/hyperlink" Target="https://www.ncbi.nlm.nih.gov/pmc/articles/PMC11380716/" TargetMode="External"/><Relationship Id="rIdy08untpjpffupf0-eql1x" Type="http://schemas.openxmlformats.org/officeDocument/2006/relationships/hyperlink" Target="https://onlinelibrary.wiley.com/doi/10.1155/2012/139127" TargetMode="External"/><Relationship Id="rIdmkxatyayy2jxqudlrle6i" Type="http://schemas.openxmlformats.org/officeDocument/2006/relationships/hyperlink" Target="https://www.ncbi.nlm.nih.gov/books/NBK554586/" TargetMode="External"/><Relationship Id="rIdfcd9vncv6sakdikdreimd" Type="http://schemas.openxmlformats.org/officeDocument/2006/relationships/hyperlink" Target="https://pmc.ncbi.nlm.nih.gov/articles/PMC3927347/" TargetMode="External"/><Relationship Id="rIdzimpz8ttrcskv86msj5cw" Type="http://schemas.openxmlformats.org/officeDocument/2006/relationships/hyperlink" Target="https://grokipedia.com/page/Granuloma" TargetMode="External"/><Relationship Id="rId5-l-cf26d4ylltrn-xxrz" Type="http://schemas.openxmlformats.org/officeDocument/2006/relationships/hyperlink" Target="https://scienceinsights.org/tuberculosis-persistence-lifecycle-dormancy-and-reactivation/" TargetMode="External"/><Relationship Id="rIdwcvar0vqwzxxqcosvrwup" Type="http://schemas.openxmlformats.org/officeDocument/2006/relationships/hyperlink" Target="https://pmc.ncbi.nlm.nih.gov/articles/PMC12292817/" TargetMode="External"/><Relationship Id="rId9ilj_grhkejfqpdi2k0gy" Type="http://schemas.openxmlformats.org/officeDocument/2006/relationships/hyperlink" Target="https://www.mdpi.com/2076-2607/10/12/2334" TargetMode="External"/><Relationship Id="rIdgjyzefyerap1ydghxdip8" Type="http://schemas.openxmlformats.org/officeDocument/2006/relationships/hyperlink" Target="https://www.ncbi.nlm.nih.gov/pmc/articles/PMC7419014/" TargetMode="External"/><Relationship Id="rIdu-gkkinw5anavkhx6zmrv" Type="http://schemas.openxmlformats.org/officeDocument/2006/relationships/hyperlink" Target="https://link.springer.com/article/10.1186/s43162-026-00619-w" TargetMode="External"/><Relationship Id="rIdszvthn3d8penfrn06wa1-" Type="http://schemas.openxmlformats.org/officeDocument/2006/relationships/hyperlink" Target="https://www.ajronline.org/doi/10.2214/AJR.10.7262" TargetMode="External"/><Relationship Id="rIdwodoy3b7somm0vbfhfeof" Type="http://schemas.openxmlformats.org/officeDocument/2006/relationships/hyperlink" Target="https://pubmed.ncbi.nlm.nih.gov/22612014/" TargetMode="External"/><Relationship Id="rId2pfqsvr8hcnfmtqeyt8ci" Type="http://schemas.openxmlformats.org/officeDocument/2006/relationships/hyperlink" Target="https://pmc.ncbi.nlm.nih.gov/articles/PMC12019096/" TargetMode="External"/><Relationship Id="rIdwrqtcf0i80hvkipyd0hsn" Type="http://schemas.openxmlformats.org/officeDocument/2006/relationships/hyperlink" Target="https://pmc.ncbi.nlm.nih.gov/articles/PMC3492405/" TargetMode="External"/><Relationship Id="rIdeowyitqicimaf7vfqa002" Type="http://schemas.openxmlformats.org/officeDocument/2006/relationships/hyperlink" Target="https://pmc.ncbi.nlm.nih.gov/articles/PMC5862057/" TargetMode="External"/><Relationship Id="rIdo04rqwjqudbjxxrnfqrh0" Type="http://schemas.openxmlformats.org/officeDocument/2006/relationships/hyperlink" Target="https://www.ncbi.nlm.nih.gov/pmc/articles/PMC7922209/" TargetMode="External"/><Relationship Id="rIdy50v7u31flitznayavxaj" Type="http://schemas.openxmlformats.org/officeDocument/2006/relationships/hyperlink" Target="https://www.mdpi.com/2075-4418/15/17/2238" TargetMode="External"/><Relationship Id="rIdaj8m9ko-plptapvf0omod" Type="http://schemas.openxmlformats.org/officeDocument/2006/relationships/hyperlink" Target="https://www.ncbi.nlm.nih.gov/pmc/articles/PMC8790176/" TargetMode="External"/><Relationship Id="rIdveok-7n1hyw_gemu950-h" Type="http://schemas.openxmlformats.org/officeDocument/2006/relationships/hyperlink" Target="https://www.ncbi.nlm.nih.gov/pmc/articles/PMC12267876/" TargetMode="External"/><Relationship Id="rId53jasjuoej2oatvrsjmyn" Type="http://schemas.openxmlformats.org/officeDocument/2006/relationships/hyperlink" Target="https://pubmed.ncbi.nlm.nih.gov/7534683/" TargetMode="External"/><Relationship Id="rId740u9ozz4ymxitfgd-kan" Type="http://schemas.openxmlformats.org/officeDocument/2006/relationships/hyperlink" Target="https://www.sciencedirect.com/science/article/abs/pii/S0738081X14002314" TargetMode="External"/><Relationship Id="rIdirmoh6emcypcd3iwgsitv" Type="http://schemas.openxmlformats.org/officeDocument/2006/relationships/hyperlink" Target="https://www.ncbi.nlm.nih.gov/pmc/articles/PMC10452754/" TargetMode="External"/><Relationship Id="rIdwv99a1s0brgrthkhpj1ao" Type="http://schemas.openxmlformats.org/officeDocument/2006/relationships/hyperlink" Target="https://academic.oup.com/molehr/article/6/6/535/1058863" TargetMode="External"/><Relationship Id="rIdlpy3apteiw3wodvtzeuib" Type="http://schemas.openxmlformats.org/officeDocument/2006/relationships/hyperlink" Target="https://www.pnas.org/doi/10.1073/pnas.1602886113" TargetMode="External"/><Relationship Id="rId_vfh4oo4ons8lzh9yw442" Type="http://schemas.openxmlformats.org/officeDocument/2006/relationships/hyperlink" Target="https://www.ncbi.nlm.nih.gov/pmc/articles/PMC4009271/" TargetMode="External"/><Relationship Id="rIdqw7vew_cntgpdkqmuuucn" Type="http://schemas.openxmlformats.org/officeDocument/2006/relationships/hyperlink" Target="https://www.ncbi.nlm.nih.gov/pmc/articles/PMC6698345/" TargetMode="External"/><Relationship Id="rIdp0ejbczcrzmagoyao3trq" Type="http://schemas.openxmlformats.org/officeDocument/2006/relationships/hyperlink" Target="https://www.researchgate.net/publication/221696184_Relapse_rates_after_two_versus_three_consolidation_courses_of_methotrexate_in_the_treatment_of_low-risk_gestational_trophoblastic_neoplasia" TargetMode="External"/><Relationship Id="rIdwbbkcljizkhe3_m2u_0kd" Type="http://schemas.openxmlformats.org/officeDocument/2006/relationships/hyperlink" Target="https://www.sciencedirect.com/science/article/abs/pii/S0002937806003723" TargetMode="External"/><Relationship Id="rIdvs98dqaeu2xda3mfpmh_l" Type="http://schemas.openxmlformats.org/officeDocument/2006/relationships/hyperlink" Target="https://pmc.ncbi.nlm.nih.gov/articles/PMC2395266/" TargetMode="External"/><Relationship Id="rIdycwtdqyml1wgj5t3r5gyw" Type="http://schemas.openxmlformats.org/officeDocument/2006/relationships/hyperlink" Target="https://www.sciencedirect.com/science/article/abs/pii/S0090825825001106" TargetMode="External"/><Relationship Id="rIde4rt84jeqkrqgbjrsbtfq" Type="http://schemas.openxmlformats.org/officeDocument/2006/relationships/hyperlink" Target="https://pubmed.ncbi.nlm.nih.gov/30266260/" TargetMode="External"/><Relationship Id="rIds2sjsddmihcqtlgh77rfq" Type="http://schemas.openxmlformats.org/officeDocument/2006/relationships/hyperlink" Target="https://www.ajog.org/article/S0002-9378(16)00233-7/fulltext" TargetMode="External"/><Relationship Id="rIdkzjknodayrt7ieqxnngln" Type="http://schemas.openxmlformats.org/officeDocument/2006/relationships/hyperlink" Target="https://www.international-journal-of-gynecological-cancer.com/article/S1048-891X(24)01728-6/fulltext" TargetMode="External"/><Relationship Id="rIdlnugg9lqtnmbac260luda" Type="http://schemas.openxmlformats.org/officeDocument/2006/relationships/hyperlink" Target="https://pubmed.ncbi.nlm.nih.gov/10620452/" TargetMode="External"/><Relationship Id="rIdcdyyelftca64cgfb7nmvz" Type="http://schemas.openxmlformats.org/officeDocument/2006/relationships/hyperlink" Target="https://pubmed.ncbi.nlm.nih.gov/9454662/?dopt=Abstract" TargetMode="External"/><Relationship Id="rIdqsgqjmokf0d3kf2w8umb9" Type="http://schemas.openxmlformats.org/officeDocument/2006/relationships/hyperlink" Target="https://www.ncbi.nlm.nih.gov/pmc/articles/PMC1164436/" TargetMode="External"/><Relationship Id="rIdjyrbdwor4h_6szwnuys3e" Type="http://schemas.openxmlformats.org/officeDocument/2006/relationships/hyperlink" Target="https://pmc.ncbi.nlm.nih.gov/articles/PMC11239987/" TargetMode="External"/><Relationship Id="rIdjh9eyr2cvst5ht6vtkd82" Type="http://schemas.openxmlformats.org/officeDocument/2006/relationships/hyperlink" Target="https://www.sciencedirect.com/science/article/abs/pii/S0748798324000647" TargetMode="External"/><Relationship Id="rIdobumgua-epgxsyplvyt-o" Type="http://schemas.openxmlformats.org/officeDocument/2006/relationships/hyperlink" Target="https://www.ncbi.nlm.nih.gov/pmc/articles/PMC11710945/" TargetMode="External"/><Relationship Id="rIdri8f0uzeab7mj09umszb4" Type="http://schemas.openxmlformats.org/officeDocument/2006/relationships/hyperlink" Target="https://www.ncbi.nlm.nih.gov/pmc/articles/PMC10906773/" TargetMode="External"/><Relationship Id="rIdjippre_dlkgr3m1szwqvm" Type="http://schemas.openxmlformats.org/officeDocument/2006/relationships/hyperlink" Target="https://www.ncbi.nlm.nih.gov/books/NBK535434/" TargetMode="External"/><Relationship Id="rIdbf6htmit1clnsbloakyd0" Type="http://schemas.openxmlformats.org/officeDocument/2006/relationships/hyperlink" Target="https://pmc.ncbi.nlm.nih.gov/articles/PMC6197831/" TargetMode="External"/><Relationship Id="rIde6pm8zzoqtgd1ojukwbs1" Type="http://schemas.openxmlformats.org/officeDocument/2006/relationships/hyperlink" Target="https://www.ncbi.nlm.nih.gov/pmc/articles/PMC8063363/" TargetMode="External"/><Relationship Id="rIdydbrq62omjq4l7n31r_0k" Type="http://schemas.openxmlformats.org/officeDocument/2006/relationships/hyperlink" Target="https://pmc.ncbi.nlm.nih.gov/articles/PMC8762399/" TargetMode="External"/><Relationship Id="rIdz_xpsulju1jwtgvx93xjj" Type="http://schemas.openxmlformats.org/officeDocument/2006/relationships/hyperlink" Target="https://pubmed.ncbi.nlm.nih.gov/27582787/" TargetMode="External"/><Relationship Id="rIdcjh-coechqf8wpx1ibcyy" Type="http://schemas.openxmlformats.org/officeDocument/2006/relationships/hyperlink" Target="https://pmc.ncbi.nlm.nih.gov/articles/PMC7543167/" TargetMode="External"/><Relationship Id="rId7" Type="http://schemas.openxmlformats.org/officeDocument/2006/relationships/image" Target="media/5011dbece6e51c3ce9d5449ef1a32432d2ee1c3a.undefined"/><Relationship Id="rId2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2026-07-03T08:54:41.855Z</dcterms:created>
  <dcterms:modified xsi:type="dcterms:W3CDTF">2026-07-03T08:54:41.863Z</dcterms:modified>
</cp:coreProperties>
</file>

<file path=docProps/custom.xml><?xml version="1.0" encoding="utf-8"?>
<Properties xmlns="http://schemas.openxmlformats.org/officeDocument/2006/custom-properties" xmlns:vt="http://schemas.openxmlformats.org/officeDocument/2006/docPropsVTypes"/>
</file>