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lineRule="auto"/>
        <w:jc w:val="center"/>
      </w:pPr>
      <w:r>
        <w:drawing>
          <wp:inline xmlns:a="http://schemas.openxmlformats.org/drawingml/2006/main" xmlns:pic="http://schemas.openxmlformats.org/drawingml/2006/picture">
            <wp:extent cx="5361497" cy="7589520"/>
            <wp:docPr id="2" name="Picture 2"/>
            <wp:cNvGraphicFramePr>
              <a:graphicFrameLocks noChangeAspect="1"/>
            </wp:cNvGraphicFramePr>
            <a:graphic>
              <a:graphicData uri="http://schemas.openxmlformats.org/drawingml/2006/picture">
                <pic:pic>
                  <pic:nvPicPr>
                    <pic:cNvPr id="0" name="Framework_1_3_Cover.jpg"/>
                    <pic:cNvPicPr/>
                  </pic:nvPicPr>
                  <pic:blipFill>
                    <a:blip r:embed="rId13"/>
                    <a:stretch>
                      <a:fillRect/>
                    </a:stretch>
                  </pic:blipFill>
                  <pic:spPr>
                    <a:xfrm>
                      <a:off x="0" y="0"/>
                      <a:ext cx="5361497" cy="7589520"/>
                    </a:xfrm>
                    <a:prstGeom prst="rect"/>
                  </pic:spPr>
                </pic:pic>
              </a:graphicData>
            </a:graphic>
          </wp:inline>
        </w:drawing>
      </w:r>
    </w:p>
    <w:p>
      <w:pPr>
        <w:spacing w:before="0" w:after="0"/>
      </w:pPr>
      <w:r>
        <w:br w:type="page"/>
      </w:r>
    </w:p>
    <w:p>
      <w:pPr>
        <w:spacing w:after="2400"/>
      </w:pPr>
      <w:r>
        <w:rPr>
          <w:rFonts w:ascii="Times New Roman" w:cs="Times New Roman" w:eastAsia="Times New Roman" w:hAnsi="Times New Roman"/>
          <w:sz w:val="24"/>
          <w:szCs w:val="24"/>
        </w:rPr>
        <w:t xml:space="preserve"/>
      </w:r>
    </w:p>
    <w:p>
      <w:pPr>
        <w:spacing w:after="480"/>
        <w:jc w:val="center"/>
      </w:pPr>
      <w:r>
        <w:rPr>
          <w:rFonts w:ascii="Times New Roman" w:cs="Times New Roman" w:eastAsia="Times New Roman" w:hAnsi="Times New Roman"/>
          <w:b/>
          <w:bCs/>
          <w:sz w:val="40"/>
          <w:szCs w:val="40"/>
        </w:rPr>
        <w:t xml:space="preserve">FRAMEWORK 1.3</w:t>
      </w:r>
    </w:p>
    <w:p>
      <w:pPr>
        <w:pBdr>
          <w:top w:val="single" w:color="1F1F1F" w:sz="6" w:space="1"/>
        </w:pBdr>
        <w:spacing w:after="480"/>
      </w:pPr>
      <w:r>
        <w:rPr>
          <w:rFonts w:ascii="Times New Roman" w:cs="Times New Roman" w:eastAsia="Times New Roman" w:hAnsi="Times New Roman"/>
          <w:sz w:val="24"/>
          <w:szCs w:val="24"/>
        </w:rPr>
        <w:t xml:space="preserve"/>
      </w:r>
    </w:p>
    <w:p>
      <w:pPr>
        <w:spacing w:after="1200"/>
        <w:jc w:val="center"/>
      </w:pPr>
      <w:r>
        <w:rPr>
          <w:rFonts w:ascii="Times New Roman" w:cs="Times New Roman" w:eastAsia="Times New Roman" w:hAnsi="Times New Roman"/>
          <w:b/>
          <w:bCs/>
          <w:i/>
          <w:iCs/>
          <w:sz w:val="32"/>
          <w:szCs w:val="32"/>
        </w:rPr>
        <w:t xml:space="preserve">Receptors, Energetics, Cell-State Transitions, and Oncogenesis</w:t>
      </w:r>
    </w:p>
    <w:p>
      <w:pPr>
        <w:spacing w:after="2000"/>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sz w:val="28"/>
          <w:szCs w:val="28"/>
        </w:rPr>
        <w:t xml:space="preserve">Yuri Dmitrochenko, MD</w:t>
      </w:r>
    </w:p>
    <w:p>
      <w:pPr>
        <w:spacing w:after="1600"/>
        <w:jc w:val="center"/>
      </w:pPr>
      <w:r>
        <w:rPr>
          <w:rFonts w:ascii="Times New Roman" w:cs="Times New Roman" w:eastAsia="Times New Roman" w:hAnsi="Times New Roman"/>
          <w:i/>
          <w:iCs/>
          <w:sz w:val="24"/>
          <w:szCs w:val="24"/>
        </w:rPr>
        <w:t xml:space="preserve">Independent researcher, Israel</w:t>
      </w:r>
    </w:p>
    <w:p>
      <w:pPr>
        <w:spacing w:after="2400"/>
      </w:pPr>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sz w:val="24"/>
          <w:szCs w:val="24"/>
        </w:rPr>
        <w:t xml:space="preserve">2026</w:t>
      </w:r>
    </w:p>
    <w:p>
      <w:pPr/>
    </w:p>
    <w:p>
      <w:pPr>
        <w:spacing w:after="480"/>
        <w:jc w:val="center"/>
      </w:pPr>
      <w:r>
        <w:rPr>
          <w:rFonts w:ascii="Times New Roman" w:cs="Times New Roman" w:eastAsia="Times New Roman" w:hAnsi="Times New Roman"/>
          <w:b/>
          <w:bCs/>
          <w:sz w:val="30"/>
          <w:szCs w:val="30"/>
        </w:rPr>
        <w:t xml:space="preserve">Contents</w:t>
      </w:r>
    </w:p>
    <w:p>
      <w:pPr>
        <w:spacing w:after="240"/>
      </w:pPr>
      <w:r>
        <w:rPr>
          <w:rFonts w:ascii="Times New Roman" w:cs="Times New Roman" w:eastAsia="Times New Roman" w:hAnsi="Times New Roman"/>
          <w:sz w:val="24"/>
          <w:szCs w:val="24"/>
        </w:rPr>
        <w:t xml:space="preserve">Preface</w:t>
      </w:r>
    </w:p>
    <w:p>
      <w:pPr>
        <w:spacing w:after="240"/>
        <w:jc w:val="both"/>
      </w:pPr>
      <w:r>
        <w:rPr>
          <w:rFonts w:ascii="Times New Roman" w:cs="Times New Roman" w:eastAsia="Times New Roman" w:hAnsi="Times New Roman"/>
          <w:b/>
          <w:bCs/>
          <w:sz w:val="24"/>
          <w:szCs w:val="24"/>
        </w:rPr>
        <w:t xml:space="preserve">Article 1. </w:t>
      </w:r>
      <w:r>
        <w:rPr>
          <w:rFonts w:ascii="Times New Roman" w:cs="Times New Roman" w:eastAsia="Times New Roman" w:hAnsi="Times New Roman"/>
          <w:sz w:val="24"/>
          <w:szCs w:val="24"/>
        </w:rPr>
        <w:t xml:space="preserve">Energetic and Receptor Architecture of Cell and Organ Survival Under Hypoxia: Glycogen, Perfusion, and Hypothermia as Determinants of Adaptive Capacity</w:t>
      </w:r>
    </w:p>
    <w:p>
      <w:pPr>
        <w:spacing w:after="240"/>
        <w:jc w:val="both"/>
      </w:pPr>
      <w:r>
        <w:rPr>
          <w:rFonts w:ascii="Times New Roman" w:cs="Times New Roman" w:eastAsia="Times New Roman" w:hAnsi="Times New Roman"/>
          <w:b/>
          <w:bCs/>
          <w:sz w:val="24"/>
          <w:szCs w:val="24"/>
        </w:rPr>
        <w:t xml:space="preserve">Article 2. </w:t>
      </w:r>
      <w:r>
        <w:rPr>
          <w:rFonts w:ascii="Times New Roman" w:cs="Times New Roman" w:eastAsia="Times New Roman" w:hAnsi="Times New Roman"/>
          <w:sz w:val="24"/>
          <w:szCs w:val="24"/>
        </w:rPr>
        <w:t xml:space="preserve">From Division to Dormancy: Receptor and Energetic Architecture of Cell Fate — Mitotic Phases and the Post-Mitotic Vulnerability Window</w:t>
      </w:r>
    </w:p>
    <w:p>
      <w:pPr>
        <w:spacing w:after="240"/>
        <w:jc w:val="both"/>
      </w:pPr>
      <w:r>
        <w:rPr>
          <w:rFonts w:ascii="Times New Roman" w:cs="Times New Roman" w:eastAsia="Times New Roman" w:hAnsi="Times New Roman"/>
          <w:b/>
          <w:bCs/>
          <w:sz w:val="24"/>
          <w:szCs w:val="24"/>
        </w:rPr>
        <w:t xml:space="preserve">Article 3. </w:t>
      </w:r>
      <w:r>
        <w:rPr>
          <w:rFonts w:ascii="Times New Roman" w:cs="Times New Roman" w:eastAsia="Times New Roman" w:hAnsi="Times New Roman"/>
          <w:sz w:val="24"/>
          <w:szCs w:val="24"/>
        </w:rPr>
        <w:t xml:space="preserve">Cell Death Under Hypoglycemia and Glycogen Depletion: Cell State as a Determinant of the Death Pathway</w:t>
      </w:r>
    </w:p>
    <w:p>
      <w:pPr>
        <w:spacing w:after="240"/>
        <w:jc w:val="both"/>
      </w:pPr>
      <w:r>
        <w:rPr>
          <w:rFonts w:ascii="Times New Roman" w:cs="Times New Roman" w:eastAsia="Times New Roman" w:hAnsi="Times New Roman"/>
          <w:b/>
          <w:bCs/>
          <w:sz w:val="24"/>
          <w:szCs w:val="24"/>
        </w:rPr>
        <w:t xml:space="preserve">Article 4. </w:t>
      </w:r>
      <w:r>
        <w:rPr>
          <w:rFonts w:ascii="Times New Roman" w:cs="Times New Roman" w:eastAsia="Times New Roman" w:hAnsi="Times New Roman"/>
          <w:sz w:val="24"/>
          <w:szCs w:val="24"/>
        </w:rPr>
        <w:t xml:space="preserve">Active Maintenance of Stable Cell States — Differentiation as the First Biological Demonstration</w:t>
      </w:r>
    </w:p>
    <w:p>
      <w:pPr>
        <w:spacing w:after="240"/>
        <w:jc w:val="both"/>
      </w:pPr>
      <w:r>
        <w:rPr>
          <w:rFonts w:ascii="Times New Roman" w:cs="Times New Roman" w:eastAsia="Times New Roman" w:hAnsi="Times New Roman"/>
          <w:b/>
          <w:bCs/>
          <w:sz w:val="24"/>
          <w:szCs w:val="24"/>
        </w:rPr>
        <w:t xml:space="preserve">Article 5. </w:t>
      </w:r>
      <w:r>
        <w:rPr>
          <w:rFonts w:ascii="Times New Roman" w:cs="Times New Roman" w:eastAsia="Times New Roman" w:hAnsi="Times New Roman"/>
          <w:sz w:val="24"/>
          <w:szCs w:val="24"/>
        </w:rPr>
        <w:t xml:space="preserve">Active ↔ Dormant — Asymmetric Transition Pathways and the Role of the Glycogen Reserve</w:t>
      </w:r>
    </w:p>
    <w:p>
      <w:pPr>
        <w:spacing w:after="240"/>
        <w:jc w:val="both"/>
      </w:pPr>
      <w:r>
        <w:rPr>
          <w:rFonts w:ascii="Times New Roman" w:cs="Times New Roman" w:eastAsia="Times New Roman" w:hAnsi="Times New Roman"/>
          <w:b/>
          <w:bCs/>
          <w:sz w:val="24"/>
          <w:szCs w:val="24"/>
        </w:rPr>
        <w:t xml:space="preserve">Article 6. </w:t>
      </w:r>
      <w:r>
        <w:rPr>
          <w:rFonts w:ascii="Times New Roman" w:cs="Times New Roman" w:eastAsia="Times New Roman" w:hAnsi="Times New Roman"/>
          <w:sz w:val="24"/>
          <w:szCs w:val="24"/>
        </w:rPr>
        <w:t xml:space="preserve">Senescence as a Modular Arrest Regime, and Mitochondrial Migration as a Physical Mechanism of Forced Cellular Maturation</w:t>
      </w:r>
    </w:p>
    <w:p>
      <w:pPr>
        <w:spacing w:after="240"/>
        <w:jc w:val="both"/>
      </w:pPr>
      <w:r>
        <w:rPr>
          <w:rFonts w:ascii="Times New Roman" w:cs="Times New Roman" w:eastAsia="Times New Roman" w:hAnsi="Times New Roman"/>
          <w:b/>
          <w:bCs/>
          <w:sz w:val="24"/>
          <w:szCs w:val="24"/>
        </w:rPr>
        <w:t xml:space="preserve">Article 7. </w:t>
      </w:r>
      <w:r>
        <w:rPr>
          <w:rFonts w:ascii="Times New Roman" w:cs="Times New Roman" w:eastAsia="Times New Roman" w:hAnsi="Times New Roman"/>
          <w:sz w:val="24"/>
          <w:szCs w:val="24"/>
        </w:rPr>
        <w:t xml:space="preserve">The Complete Matrix of Cell-State Transitions: States, Energetics, and Receptors</w:t>
      </w:r>
    </w:p>
    <w:p>
      <w:pPr>
        <w:spacing w:after="240"/>
        <w:jc w:val="both"/>
      </w:pPr>
      <w:r>
        <w:rPr>
          <w:rFonts w:ascii="Times New Roman" w:cs="Times New Roman" w:eastAsia="Times New Roman" w:hAnsi="Times New Roman"/>
          <w:b/>
          <w:bCs/>
          <w:sz w:val="24"/>
          <w:szCs w:val="24"/>
        </w:rPr>
        <w:t xml:space="preserve">Article 8. </w:t>
      </w:r>
      <w:r>
        <w:rPr>
          <w:rFonts w:ascii="Times New Roman" w:cs="Times New Roman" w:eastAsia="Times New Roman" w:hAnsi="Times New Roman"/>
          <w:sz w:val="24"/>
          <w:szCs w:val="24"/>
        </w:rPr>
        <w:t xml:space="preserve">Cell Transitions as a Stochastic Process: From a Single Cell's Markov Chain to Non-Markovian Tissue Dynamics</w:t>
      </w:r>
    </w:p>
    <w:p>
      <w:pPr>
        <w:spacing w:after="240"/>
        <w:jc w:val="both"/>
      </w:pPr>
      <w:r>
        <w:rPr>
          <w:rFonts w:ascii="Times New Roman" w:cs="Times New Roman" w:eastAsia="Times New Roman" w:hAnsi="Times New Roman"/>
          <w:b/>
          <w:bCs/>
          <w:sz w:val="24"/>
          <w:szCs w:val="24"/>
        </w:rPr>
        <w:t xml:space="preserve">Article 9. </w:t>
      </w:r>
      <w:r>
        <w:rPr>
          <w:rFonts w:ascii="Times New Roman" w:cs="Times New Roman" w:eastAsia="Times New Roman" w:hAnsi="Times New Roman"/>
          <w:sz w:val="24"/>
          <w:szCs w:val="24"/>
        </w:rPr>
        <w:t xml:space="preserve">Dormant Cell Collecting as a Competitive Mechanism of Oncogenesis: The Reserve Copy Hypothesis</w:t>
      </w:r>
    </w:p>
    <w:p>
      <w:r>
        <w:br w:type="page"/>
      </w:r>
    </w:p>
    <w:p>
      <w:pPr>
        <w:pStyle w:val="Heading1"/>
        <w:spacing w:after="160" w:before="320"/>
      </w:pPr>
      <w:r>
        <w:t xml:space="preserve">Preface</w:t>
      </w:r>
    </w:p>
    <w:p>
      <w:pPr>
        <w:spacing w:after="200" w:line="360"/>
        <w:jc w:val="both"/>
      </w:pPr>
      <w:r>
        <w:rPr>
          <w:rFonts w:ascii="Times New Roman" w:cs="Times New Roman" w:eastAsia="Times New Roman" w:hAnsi="Times New Roman"/>
          <w:sz w:val="24"/>
          <w:szCs w:val="24"/>
        </w:rPr>
        <w:t xml:space="preserve">This monograph did not grow from a single plan but from a sequence of questions, each one pulling the next behind it.</w:t>
      </w:r>
    </w:p>
    <w:p>
      <w:pPr>
        <w:spacing w:after="200" w:line="360"/>
        <w:jc w:val="both"/>
      </w:pPr>
      <w:r>
        <w:rPr>
          <w:rFonts w:ascii="Times New Roman" w:cs="Times New Roman" w:eastAsia="Times New Roman" w:hAnsi="Times New Roman"/>
          <w:sz w:val="24"/>
          <w:szCs w:val="24"/>
        </w:rPr>
        <w:t xml:space="preserve">The first part began as an attempt to build a tool — a filter for artificial intelligence, capable of searching and analyzing literature across different fields of knowledge without being confined to the boundaries of a single specialty. I wanted to know whether such a tool could work at all: whether it could hold together a complex, multi-layered conceptual structure, check itself against primary sources, and distinguish an established fact from an interpretation and from a hypothesis.</w:t>
      </w:r>
    </w:p>
    <w:p>
      <w:pPr>
        <w:spacing w:after="200" w:line="360"/>
        <w:jc w:val="both"/>
      </w:pPr>
      <w:r>
        <w:rPr>
          <w:rFonts w:ascii="Times New Roman" w:cs="Times New Roman" w:eastAsia="Times New Roman" w:hAnsi="Times New Roman"/>
          <w:sz w:val="24"/>
          <w:szCs w:val="24"/>
        </w:rPr>
        <w:t xml:space="preserve">The second part became a test of that method on two specific, current subjects — cancer and aging. It was on these two topics that it became clear whether the approach actually worked, or was simply a construction that sounded elegant but was empty underneath.</w:t>
      </w:r>
    </w:p>
    <w:p>
      <w:pPr>
        <w:spacing w:after="200" w:line="360"/>
        <w:jc w:val="both"/>
      </w:pPr>
      <w:r>
        <w:rPr>
          <w:rFonts w:ascii="Times New Roman" w:cs="Times New Roman" w:eastAsia="Times New Roman" w:hAnsi="Times New Roman"/>
          <w:sz w:val="24"/>
          <w:szCs w:val="24"/>
        </w:rPr>
        <w:t xml:space="preserve">The third monograph was devoted to dormant cells — a state that turned out to be far more central to understanding both cancer and aging than I expected at the outset. It was the work on dormant cells that made it necessary to bring together everything developed separately — receptors, energetics, transitions between cell states — in the fourth work.</w:t>
      </w:r>
    </w:p>
    <w:p>
      <w:pPr>
        <w:spacing w:after="200" w:line="360"/>
        <w:jc w:val="both"/>
      </w:pPr>
      <w:r>
        <w:rPr>
          <w:rFonts w:ascii="Times New Roman" w:cs="Times New Roman" w:eastAsia="Times New Roman" w:hAnsi="Times New Roman"/>
          <w:sz w:val="24"/>
          <w:szCs w:val="24"/>
        </w:rPr>
        <w:t xml:space="preserve">Out of that synthesis came proposals that surprised me. Not all of them are confirmed; some remain open hypotheses. But the architecture itself seemed, to me, coherent enough to bring to the reader in its present form, rather than waiting for it to be complete.</w:t>
      </w:r>
    </w:p>
    <w:p>
      <w:pPr>
        <w:spacing w:after="200" w:line="360"/>
        <w:jc w:val="both"/>
      </w:pPr>
      <w:r>
        <w:rPr>
          <w:rFonts w:ascii="Times New Roman" w:cs="Times New Roman" w:eastAsia="Times New Roman" w:hAnsi="Times New Roman"/>
          <w:sz w:val="24"/>
          <w:szCs w:val="24"/>
        </w:rPr>
        <w:t xml:space="preserve">If you do not have the patience to read all of it — load all of the works into your own AI and read only the chapters that are clear and interesting to you. Then ask the AI questions from fields adjacent to your own specialty. On many questions, once this material has been loaded, you will get unexpectedly interesting answers — compare them, through the same AI, against the generally accepted data in the relevant field, and begin your own scientific search.</w:t>
      </w:r>
    </w:p>
    <w:p>
      <w:pPr>
        <w:spacing w:after="200" w:line="360"/>
        <w:jc w:val="both"/>
      </w:pPr>
      <w:r>
        <w:rPr>
          <w:rFonts w:ascii="Times New Roman" w:cs="Times New Roman" w:eastAsia="Times New Roman" w:hAnsi="Times New Roman"/>
          <w:sz w:val="24"/>
          <w:szCs w:val="24"/>
        </w:rPr>
        <w:t xml:space="preserve">If you find errors — and there surely are some — enter the corrections into your own Framework and move on. This is a working tool, not a finished monument.</w:t>
      </w:r>
    </w:p>
    <w:p>
      <w:pPr>
        <w:spacing w:after="200" w:line="360"/>
        <w:jc w:val="both"/>
      </w:pPr>
      <w:r>
        <w:rPr>
          <w:rFonts w:ascii="Times New Roman" w:cs="Times New Roman" w:eastAsia="Times New Roman" w:hAnsi="Times New Roman"/>
          <w:sz w:val="24"/>
          <w:szCs w:val="24"/>
        </w:rPr>
        <w:t xml:space="preserve">Good luck.</w:t>
      </w:r>
    </w:p>
    <w:p>
      <w:pPr>
        <w:spacing w:after="60"/>
        <w:jc w:val="center"/>
      </w:pPr>
      <w:r>
        <w:rPr>
          <w:rFonts w:ascii="Times New Roman" w:cs="Times New Roman" w:eastAsia="Times New Roman" w:hAnsi="Times New Roman"/>
          <w:i w:val="false"/>
          <w:iCs w:val="false"/>
          <w:sz w:val="24"/>
          <w:szCs w:val="24"/>
        </w:rPr>
        <w:t xml:space="preserve">Yuri Dmitrochenko, MD</w:t>
      </w:r>
    </w:p>
    <w:p>
      <w:pPr>
        <w:spacing w:after="60"/>
        <w:jc w:val="center"/>
      </w:pPr>
      <w:r>
        <w:rPr>
          <w:rFonts w:ascii="Times New Roman" w:cs="Times New Roman" w:eastAsia="Times New Roman" w:hAnsi="Times New Roman"/>
          <w:i/>
          <w:iCs/>
          <w:sz w:val="24"/>
          <w:szCs w:val="24"/>
        </w:rPr>
        <w:t xml:space="preserve">Independent researcher, Israel</w:t>
      </w:r>
    </w:p>
    <w:p>
      <w:r>
        <w:br w:type="page"/>
      </w:r>
    </w:p>
    <w:p>
      <w:pPr>
        <w:spacing w:after="400"/>
        <w:jc w:val="center"/>
      </w:pPr>
      <w:r>
        <w:rPr>
          <w:rFonts w:ascii="Times New Roman" w:cs="Times New Roman" w:eastAsia="Times New Roman" w:hAnsi="Times New Roman"/>
          <w:b/>
          <w:bCs/>
          <w:sz w:val="25"/>
          <w:szCs w:val="25"/>
        </w:rPr>
        <w:t xml:space="preserve">Framework 1.3, Article 1: Energetic and Receptor Architecture of Cell and Organ Survival Under Hypoxia: Glycogen, Perfusion, and Hypothermia as Determinants of Adaptive Capacity</w:t>
      </w:r>
    </w:p>
    <w:p>
      <w:pPr>
        <w:spacing w:after="60"/>
        <w:jc w:val="center"/>
      </w:pPr>
      <w:r>
        <w:rPr>
          <w:rFonts w:ascii="Times New Roman" w:cs="Times New Roman" w:eastAsia="Times New Roman" w:hAnsi="Times New Roman"/>
          <w:sz w:val="24"/>
          <w:szCs w:val="24"/>
        </w:rPr>
        <w:t xml:space="preserve">Yuri Dmitrochenko, MD</w:t>
      </w:r>
    </w:p>
    <w:p>
      <w:pPr>
        <w:spacing w:after="500"/>
        <w:jc w:val="center"/>
      </w:pPr>
      <w:r>
        <w:rPr>
          <w:rFonts w:ascii="Times New Roman" w:cs="Times New Roman" w:eastAsia="Times New Roman" w:hAnsi="Times New Roman"/>
          <w:i/>
          <w:iCs/>
          <w:sz w:val="22"/>
          <w:szCs w:val="22"/>
        </w:rPr>
        <w:t xml:space="preserve">Independent researcher, Israel</w:t>
      </w:r>
    </w:p>
    <w:p>
      <w:pPr>
        <w:pStyle w:val="Heading1"/>
        <w:spacing w:after="160" w:before="320"/>
      </w:pPr>
      <w:r>
        <w:t xml:space="preserve">Introduction</w:t>
      </w:r>
    </w:p>
    <w:p>
      <w:pPr>
        <w:spacing w:after="200" w:line="360"/>
        <w:jc w:val="both"/>
      </w:pPr>
      <w:r>
        <w:rPr>
          <w:rFonts w:ascii="Times New Roman" w:cs="Times New Roman" w:eastAsia="Times New Roman" w:hAnsi="Times New Roman"/>
          <w:i w:val="false"/>
          <w:iCs w:val="false"/>
          <w:sz w:val="24"/>
          <w:szCs w:val="24"/>
        </w:rPr>
        <w:t xml:space="preserve">Hypoxic cell death is commonly described as a continuous function of oxygen deprivation, with injury progressing according to the severity and duration of ischemia. The present work proposes a different perspective. Hypoxia is viewed not as a single metabolic state but as a family of energetic states determined by the combined availability of oxygen, glycolytic substrate, and residual ATP.</w:t>
      </w:r>
    </w:p>
    <w:p>
      <w:pPr>
        <w:spacing w:after="200" w:line="360"/>
        <w:jc w:val="both"/>
      </w:pPr>
      <w:r>
        <w:rPr>
          <w:rFonts w:ascii="Times New Roman" w:cs="Times New Roman" w:eastAsia="Times New Roman" w:hAnsi="Times New Roman"/>
          <w:i w:val="false"/>
          <w:iCs w:val="false"/>
          <w:sz w:val="24"/>
          <w:szCs w:val="24"/>
        </w:rPr>
        <w:t xml:space="preserve">Many adaptive signaling pathways become molecularly activated during hypoxia, yet their successful execution depends on whether sufficient ATP remains available to support transcription, translation, membrane transport, and receptor remodeling. Stabilization of signaling molecules alone therefore does not guarantee a protective response.</w:t>
      </w:r>
    </w:p>
    <w:p>
      <w:pPr>
        <w:spacing w:after="200" w:line="360"/>
        <w:jc w:val="both"/>
      </w:pPr>
      <w:r>
        <w:rPr>
          <w:rFonts w:ascii="Times New Roman" w:cs="Times New Roman" w:eastAsia="Times New Roman" w:hAnsi="Times New Roman"/>
          <w:i w:val="false"/>
          <w:iCs w:val="false"/>
          <w:sz w:val="24"/>
          <w:szCs w:val="24"/>
        </w:rPr>
        <w:t xml:space="preserve">In this framework, ATP functions not merely as the universal energy currency of the cell but as a permissive regulator determining which protective programs remain biologically executable. Temperature acts as a separate modulatory axis that slows or accelerates the entire process without fundamentally changing its architecture.</w:t>
      </w:r>
    </w:p>
    <w:p>
      <w:pPr>
        <w:spacing w:after="200" w:line="360"/>
        <w:jc w:val="both"/>
      </w:pPr>
      <w:r>
        <w:rPr>
          <w:rFonts w:ascii="Times New Roman" w:cs="Times New Roman" w:eastAsia="Times New Roman" w:hAnsi="Times New Roman"/>
          <w:i w:val="false"/>
          <w:iCs w:val="false"/>
          <w:sz w:val="24"/>
          <w:szCs w:val="24"/>
        </w:rPr>
        <w:t xml:space="preserve">The aim of this work is to integrate tissue survival data, isolated organ perfusion experiments, receptor biology, and metabolic regulation into a unified architecture of hypoxic adaptation.</w:t>
      </w:r>
    </w:p>
    <w:p>
      <w:pPr>
        <w:pStyle w:val="Heading1"/>
        <w:spacing w:after="160" w:before="320"/>
      </w:pPr>
      <w:r>
        <w:t xml:space="preserve">1. Time Windows of Hypoxic Injury Across Tissues</w:t>
      </w:r>
    </w:p>
    <w:p>
      <w:pPr>
        <w:spacing w:after="200" w:line="360"/>
        <w:jc w:val="both"/>
      </w:pPr>
      <w:r>
        <w:rPr>
          <w:rFonts w:ascii="Times New Roman" w:cs="Times New Roman" w:eastAsia="Times New Roman" w:hAnsi="Times New Roman"/>
          <w:i w:val="false"/>
          <w:iCs w:val="false"/>
          <w:sz w:val="24"/>
          <w:szCs w:val="24"/>
        </w:rPr>
        <w:t xml:space="preserve">Organ tolerance to ischemia depends on three factors: the size of the available stored energy pool, the energy demand per unit time, and the efficiency of anaerobically obtained energy (1). At 37°C, the maximum tolerable ischemic time is approximately 30–45 minutes for the heart, 30–60 minutes for the liver, and less than 5 minutes for the brain (1). Within the brain itself, vulnerability is markedly non-uniform: hippocampal CA1 pyramidal neurons are among the most vulnerable cell populations to ischemia, while neighboring regions tolerate the same insult considerably longer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Tissue</w:t>
            </w:r>
          </w:p>
        </w:tc>
        <w:tc>
          <w:tcPr>
            <w:tcW w:type="dxa" w:w="22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Warm ischemia limit</w:t>
            </w:r>
          </w:p>
        </w:tc>
        <w:tc>
          <w:tcPr>
            <w:tcW w:type="dxa" w:w="476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Dominant early mechanism</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Brain (CA1 hippocampus)</w:t>
            </w:r>
          </w:p>
        </w:tc>
        <w:tc>
          <w:tcPr>
            <w:tcW w:type="dxa" w:w="2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3–5 min</w:t>
            </w:r>
          </w:p>
        </w:tc>
        <w:tc>
          <w:tcPr>
            <w:tcW w:type="dxa" w:w="47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Glutamate/NMDA excitotoxicity</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Heart</w:t>
            </w:r>
          </w:p>
        </w:tc>
        <w:tc>
          <w:tcPr>
            <w:tcW w:type="dxa" w:w="22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30–45 min</w:t>
            </w:r>
          </w:p>
        </w:tc>
        <w:tc>
          <w:tcPr>
            <w:tcW w:type="dxa" w:w="47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ATP-dependent receptor switching (TNFR1)</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Liver</w:t>
            </w:r>
          </w:p>
        </w:tc>
        <w:tc>
          <w:tcPr>
            <w:tcW w:type="dxa" w:w="2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30–60 min</w:t>
            </w:r>
          </w:p>
        </w:tc>
        <w:tc>
          <w:tcPr>
            <w:tcW w:type="dxa" w:w="47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Succinate accumulation, HIF response</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Kidney/pancreas (clinical)</w:t>
            </w:r>
          </w:p>
        </w:tc>
        <w:tc>
          <w:tcPr>
            <w:tcW w:type="dxa" w:w="22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~11–12 min functional threshold</w:t>
            </w:r>
          </w:p>
        </w:tc>
        <w:tc>
          <w:tcPr>
            <w:tcW w:type="dxa" w:w="47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Similar to liver, smaller glycogen buffer</w:t>
            </w:r>
          </w:p>
        </w:tc>
      </w:tr>
    </w:tbl>
    <w:p>
      <w:pPr>
        <w:spacing w:after="8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 Warm ischemic tolerance across tissues at 37°C (log scale). Note the roughly tenfold gap between brain and the other organs.</w:t>
      </w:r>
    </w:p>
    <w:p>
      <w:pPr>
        <w:spacing w:after="200" w:line="360"/>
        <w:jc w:val="both"/>
      </w:pPr>
      <w:r>
        <w:rPr>
          <w:rFonts w:ascii="Times New Roman" w:cs="Times New Roman" w:eastAsia="Times New Roman" w:hAnsi="Times New Roman"/>
          <w:i w:val="false"/>
          <w:iCs w:val="false"/>
          <w:sz w:val="24"/>
          <w:szCs w:val="24"/>
        </w:rPr>
        <w:t xml:space="preserve">This order of vulnerability tracks tissue glycogen architecture rather than oxygen dependence alone: brain glycogen is sparse (on the order of a few μmol/g, sufficient for at most a few minutes of basal metabolism during combined anoxia and aglycemia) and is stored in astrocytes rather than in neurons themselves, whereas liver and heart maintain larger, locally accessible glycogen pools (3, 4).</w:t>
      </w:r>
    </w:p>
    <w:p>
      <w:pPr>
        <w:pStyle w:val="Heading1"/>
        <w:spacing w:after="160" w:before="320"/>
      </w:pPr>
      <w:r>
        <w:t xml:space="preserve">2. Two Metabolic Scenarios</w:t>
      </w:r>
    </w:p>
    <w:p>
      <w:pPr>
        <w:spacing w:after="200" w:line="360"/>
        <w:jc w:val="both"/>
      </w:pPr>
      <w:r>
        <w:rPr>
          <w:rFonts w:ascii="Times New Roman" w:cs="Times New Roman" w:eastAsia="Times New Roman" w:hAnsi="Times New Roman"/>
          <w:i w:val="false"/>
          <w:iCs w:val="false"/>
          <w:sz w:val="24"/>
          <w:szCs w:val="24"/>
        </w:rPr>
        <w:t xml:space="preserve">A critical distinction, often collapsed in the literature, is between hypoxia occurring alongside glycogen/glucose depletion and hypoxia occurring while glucose remains available. These converge on the same initial lesion — failure of oxidative phosphorylation — but diverge sharply in which receptor programs remain executable, because several of the relevant programs themselves require ATP to be built.</w:t>
      </w:r>
    </w:p>
    <w:p>
      <w:pPr>
        <w:pStyle w:val="Heading2"/>
        <w:spacing w:after="120" w:before="240"/>
      </w:pPr>
      <w:r>
        <w:t xml:space="preserve">2.1. Pure Hypoxia with Glycogen/Glucose Depletion</w:t>
      </w:r>
    </w:p>
    <w:p>
      <w:pPr>
        <w:spacing w:after="200" w:line="360"/>
        <w:jc w:val="both"/>
      </w:pPr>
      <w:r>
        <w:rPr>
          <w:rFonts w:ascii="Times New Roman" w:cs="Times New Roman" w:eastAsia="Times New Roman" w:hAnsi="Times New Roman"/>
          <w:i w:val="false"/>
          <w:iCs w:val="false"/>
          <w:sz w:val="24"/>
          <w:szCs w:val="24"/>
        </w:rPr>
        <w:t xml:space="preserve">Here, anaerobic glycolysis is unavailable as a fallback, so total ATP production collapses rather than merely becoming inefficient. HIF-1α is stabilized because the oxygen-sensing prolyl hydroxylases (PHDs) that mark it for degradation require oxygen as a co-substrate (5), but the transcriptional program it initiates — including CD73 and the adenosine A2B receptor — cannot be fully executed without ATP for transcription and translation. NMDA/AMPA-mediated glutamate excitotoxicity dominates rapidly: anoxic depolarization triggers presynaptic glutamate release, over-activation of NMDA receptors, and massive Ca2+ influx that engages mitochondrial Ca2+ accumulation, calpain activation, and reactive oxygen species production (2, 6). Within this scenario, TNFR1 signaling is skewed toward death rather than survival, because the NF-κB-induced protein FLIP — required to block caspase-8 activity in Complex II — cannot be synthesized in sufficient quantity under severe ATP restriction (7). The NLRP3 inflammasome, being strictly glycolysis-dependent (8), is effectively unavailable in this scenario.</w:t>
      </w:r>
    </w:p>
    <w:p>
      <w:pPr>
        <w:pStyle w:val="Heading2"/>
        <w:spacing w:after="120" w:before="240"/>
      </w:pPr>
      <w:r>
        <w:t xml:space="preserve">2.2. Hypoxia with Glucose Perfusion</w:t>
      </w:r>
    </w:p>
    <w:p>
      <w:pPr>
        <w:spacing w:after="200" w:line="360"/>
        <w:jc w:val="both"/>
      </w:pPr>
      <w:r>
        <w:rPr>
          <w:rFonts w:ascii="Times New Roman" w:cs="Times New Roman" w:eastAsia="Times New Roman" w:hAnsi="Times New Roman"/>
          <w:i w:val="false"/>
          <w:iCs w:val="false"/>
          <w:sz w:val="24"/>
          <w:szCs w:val="24"/>
        </w:rPr>
        <w:t xml:space="preserve">When glucose is supplied despite the absence of oxygen, anaerobic glycolysis continues to generate a reduced but non-zero ATP supply. This is sufficient to partially sustain Na+/K+-ATPase activity, moderate the rate and extent of depolarization, and — critically — to power the transcriptional and translational machinery required to execute the HIF-dependent adenosine program (CD73, A2A/A2B receptors) and the parallel HIF-2α/AREG/EGFR/Akt survival axis (9–11). TNFR1 signaling is correspondingly more likely to resolve through Complex I/NF-κB/FLIP-mediated survival rather than Complex II-driven apoptosis. The inflammasome remains active, and pyroptosis, where it occurs, proceeds as a regulated rather than chaotic process. The principal liability of this scenario is metabolic rather than receptor-mediated: partially functioning mitochondria accumulate succinate during the hypoxic period, which is rapidly oxidized upon reoxygenation, driving a burst of reactive oxygen species via reverse electron transport at Complex I (12, 13).</w:t>
      </w:r>
    </w:p>
    <w:p>
      <w:pPr>
        <w:pStyle w:val="Heading1"/>
        <w:spacing w:after="160" w:before="320"/>
      </w:pPr>
      <w:r>
        <w:t xml:space="preserve">3. The Receptor Architecture Specific to Hypoxia</w:t>
      </w:r>
    </w:p>
    <w:p>
      <w:pPr>
        <w:pStyle w:val="Heading2"/>
        <w:spacing w:after="120" w:before="240"/>
      </w:pPr>
      <w:r>
        <w:t xml:space="preserve">3.1. HIF-1/HIF-2: An Oxygen Sensor That Builds Its Own Receptors</w:t>
      </w:r>
    </w:p>
    <w:p>
      <w:pPr>
        <w:spacing w:after="200" w:line="360"/>
        <w:jc w:val="both"/>
      </w:pPr>
      <w:r>
        <w:rPr>
          <w:rFonts w:ascii="Times New Roman" w:cs="Times New Roman" w:eastAsia="Times New Roman" w:hAnsi="Times New Roman"/>
          <w:i w:val="false"/>
          <w:iCs w:val="false"/>
          <w:sz w:val="24"/>
          <w:szCs w:val="24"/>
        </w:rPr>
        <w:t xml:space="preserve">HIF is a heterodimeric transcription factor whose oxygen-labile α-subunit is continuously degraded under normoxia by PHD enzymes and is stabilized when oxygen becomes limiting (5). Unlike the receptors discussed elsewhere in this series, HIF does not itself respond to a pre-existing external ligand; instead, it constructs new receptor capacity as part of an adaptive transcriptional program, including CD73 and adenosine receptors, and, via HIF-2α, the EGFR ligand amphiregulin (AREG) (9, 11). Deletion of Hif2a in cardiac myocytes produces larger infarcts than deletion of Hif1a, and deletion of the AREG receptor ErbB1 similarly increases susceptibility to ischemia-reperfusion injury, identifying HIF-2α/AREG/EGFR as a distinct protective axis running parallel to the adenosine system (11).</w:t>
      </w:r>
    </w:p>
    <w:p>
      <w:pPr>
        <w:pStyle w:val="Heading2"/>
        <w:spacing w:after="120" w:before="240"/>
      </w:pPr>
      <w:r>
        <w:t xml:space="preserve">3.2. Adenosine Receptors (A2A/A2B)</w:t>
      </w:r>
    </w:p>
    <w:p>
      <w:pPr>
        <w:spacing w:after="200" w:line="360"/>
        <w:jc w:val="both"/>
      </w:pPr>
      <w:r>
        <w:rPr>
          <w:rFonts w:ascii="Times New Roman" w:cs="Times New Roman" w:eastAsia="Times New Roman" w:hAnsi="Times New Roman"/>
          <w:i w:val="false"/>
          <w:iCs w:val="false"/>
          <w:sz w:val="24"/>
          <w:szCs w:val="24"/>
        </w:rPr>
        <w:t xml:space="preserve">HIF-driven induction of CD73, the rate-limiting enzyme for extracellular adenosine production, together with upregulation of A2A and A2B receptors, constitutes a coordinated protective response demonstrated in intestinal, hepatic, and cardiac ischemia-reperfusion models (9, 10). Genetic or pharmacological targeting of CD73 abolishes this protection in both the liver and the intestine, confirming a causal, non-redundant role (9, 10).</w:t>
      </w:r>
    </w:p>
    <w:p>
      <w:pPr>
        <w:pStyle w:val="Heading2"/>
        <w:spacing w:after="120" w:before="240"/>
      </w:pPr>
      <w:r>
        <w:t xml:space="preserve">3.3. TNFR1: An ATP-Gated Survival/Death Switch</w:t>
      </w:r>
    </w:p>
    <w:p>
      <w:pPr>
        <w:spacing w:after="200" w:line="360"/>
        <w:jc w:val="both"/>
      </w:pPr>
      <w:r>
        <w:rPr>
          <w:rFonts w:ascii="Times New Roman" w:cs="Times New Roman" w:eastAsia="Times New Roman" w:hAnsi="Times New Roman"/>
          <w:i w:val="false"/>
          <w:iCs w:val="false"/>
          <w:sz w:val="24"/>
          <w:szCs w:val="24"/>
        </w:rPr>
        <w:t xml:space="preserve">TNFR1 forms two sequential complexes upon TNF-α binding: membrane-associated Complex I (TRADD/RIP1/TRAF2), which activates NF-κB and induces FLIP, and cytoplasmic Complex II (TRADD/RIP1/FADD/caspase-8), which drives apoptosis if FLIP fails to arrive in time (7). Because FLIP synthesis requires ATP-dependent transcription and translation, the outcome of TNFR1 engagement under hypoxia is itself an indirect readout of cellular energy status — a receptor-level instantiation of the same threshold logic developed elsewhere in this framework for the mTOR/NR2F1 axis.</w:t>
      </w:r>
    </w:p>
    <w:p>
      <w:pPr>
        <w:pStyle w:val="Heading2"/>
        <w:spacing w:after="120" w:before="240"/>
      </w:pPr>
      <w:r>
        <w:t xml:space="preserve">3.4. NMDA/AMPA Excitotoxicity</w:t>
      </w:r>
    </w:p>
    <w:p>
      <w:pPr>
        <w:spacing w:after="200" w:line="360"/>
        <w:jc w:val="both"/>
      </w:pPr>
      <w:r>
        <w:rPr>
          <w:rFonts w:ascii="Times New Roman" w:cs="Times New Roman" w:eastAsia="Times New Roman" w:hAnsi="Times New Roman"/>
          <w:i w:val="false"/>
          <w:iCs w:val="false"/>
          <w:sz w:val="24"/>
          <w:szCs w:val="24"/>
        </w:rPr>
        <w:t xml:space="preserve">In neurons, glutamate release following anoxic depolarization over-activates AMPA and NMDA receptors, producing Ca2+ overload that damages mitochondria, activates calpains and phospholipases, and triggers parallel necrotic, apoptotic, and parthanatos (PARP-dependent) death programs depending on the severity and location of injury within the ischemic core versus penumbra (2, 6).</w:t>
      </w:r>
    </w:p>
    <w:p>
      <w:pPr>
        <w:pStyle w:val="Heading2"/>
        <w:spacing w:after="120" w:before="240"/>
      </w:pPr>
      <w:r>
        <w:t xml:space="preserve">3.5. The Inflammasome as a Glycolysis-Gated Pathway</w:t>
      </w:r>
    </w:p>
    <w:p>
      <w:pPr>
        <w:spacing w:after="200" w:line="360"/>
        <w:jc w:val="both"/>
      </w:pPr>
      <w:r>
        <w:rPr>
          <w:rFonts w:ascii="Times New Roman" w:cs="Times New Roman" w:eastAsia="Times New Roman" w:hAnsi="Times New Roman"/>
          <w:i w:val="false"/>
          <w:iCs w:val="false"/>
          <w:sz w:val="24"/>
          <w:szCs w:val="24"/>
        </w:rPr>
        <w:t xml:space="preserve">NLRP3 activation is strictly glycolysis-dependent, fueled preferentially by glycogen breakdown in its early phase (8). This makes pyroptosis, uniquely among the pathways considered here, entirely unavailable when glycolytic substrate is absent, regardless of the degree of hypoxia.</w:t>
      </w:r>
    </w:p>
    <w:p>
      <w:pPr>
        <w:pStyle w:val="Heading2"/>
        <w:spacing w:after="120" w:before="240"/>
      </w:pPr>
      <w:r>
        <w:t xml:space="preserve">3.6. Succinate and SUCNR1 (GPR91)</w:t>
      </w:r>
    </w:p>
    <w:p>
      <w:pPr>
        <w:spacing w:after="200" w:line="360"/>
        <w:jc w:val="both"/>
      </w:pPr>
      <w:r>
        <w:rPr>
          <w:rFonts w:ascii="Times New Roman" w:cs="Times New Roman" w:eastAsia="Times New Roman" w:hAnsi="Times New Roman"/>
          <w:i w:val="false"/>
          <w:iCs w:val="false"/>
          <w:sz w:val="24"/>
          <w:szCs w:val="24"/>
        </w:rPr>
        <w:t xml:space="preserve">Succinate accumulates selectively among Krebs cycle intermediates during ischemia in every organ tested (heart, liver, brain, kidney), with the largest accumulation — up to twentyfold — in liver (12, 13). Two-thirds of accumulated succinate is released upon reperfusion via monocarboxylate transporter 1 and acts as a ligand for the widely expressed succinate receptor SUCNR1 (formerly GPR91), whose physiological role in this context is proposed to include paracrine signaling of hypoxic status to neighboring tissue (14). The remaining intracellular succinate is rapidly oxidized, driving reverse electron transport at Complex I and a burst of mitochondrial ROS that potentiates opening of the mitochondrial permeability transition pore and triggers necrotic death (12, 13).</w:t>
      </w:r>
    </w:p>
    <w:p>
      <w:pPr>
        <w:spacing w:after="80" w:before="200"/>
        <w:jc w:val="center"/>
      </w:pPr>
      <w:r>
        <w:drawing>
          <wp:inline distT="0" distB="0" distL="0" distR="0">
            <wp:extent cx="4762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66712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2. Integrative summary: the two metabolic scenarios under hypoxia, their divergent receptor programs and outcomes, and temperature as a rate modulator acting on both branches without altering the underlying architecture.</w:t>
      </w:r>
    </w:p>
    <w:p>
      <w:pPr>
        <w:pStyle w:val="Heading1"/>
        <w:spacing w:after="160" w:before="320"/>
      </w:pPr>
      <w:r>
        <w:t xml:space="preserve">4. Isolated Organ and Tissue Perfusion Without Oxygen</w:t>
      </w:r>
    </w:p>
    <w:p>
      <w:pPr>
        <w:spacing w:after="200" w:line="360"/>
        <w:jc w:val="both"/>
      </w:pPr>
      <w:r>
        <w:rPr>
          <w:rFonts w:ascii="Times New Roman" w:cs="Times New Roman" w:eastAsia="Times New Roman" w:hAnsi="Times New Roman"/>
          <w:i w:val="false"/>
          <w:iCs w:val="false"/>
          <w:sz w:val="24"/>
          <w:szCs w:val="24"/>
        </w:rPr>
        <w:t xml:space="preserve">Direct experimental data distinguish perfusion with an oxygen carrier from perfusion with substrate alone. In ex vivo normothermic limb perfusion using an oxygen-carrying perfusate, hypoxic cell clusters were consistently identified in statically cold-stored control limbs at the study endpoint but were absent in actively perfused limbs, with better-preserved muscle structural integrity in the perfused group (15). More generally, anaerobic ATP production during any period of inadequate oxygen delivery is inherently insufficient to match tissue metabolic demand; it can delay but cannot by itself prevent progressive cellular injury, regardless of whether the shortfall is bridged by glycolytic substrate, hypothermia, or both (16).</w:t>
      </w:r>
    </w:p>
    <w:p>
      <w:pPr>
        <w:spacing w:after="200" w:line="360"/>
        <w:jc w:val="both"/>
      </w:pPr>
      <w:r>
        <w:rPr>
          <w:rFonts w:ascii="Times New Roman" w:cs="Times New Roman" w:eastAsia="Times New Roman" w:hAnsi="Times New Roman"/>
          <w:i w:val="false"/>
          <w:iCs w:val="false"/>
          <w:sz w:val="24"/>
          <w:szCs w:val="24"/>
        </w:rPr>
        <w:t xml:space="preserve">A more striking demonstration comes from the BrainEx experiment, in which pig brains obtained four hours postmortem (a duration far exceeding any classical window of neuronal viability) were connected to an oxygen-carrying, acellular perfusate for six additional hours. Perfused brains showed restored cellular metabolism of oxygen and glucose, spontaneous electrical activity in individual neurons, and preserved cytoskeletal architecture, while unperfused controls at the same ten-hour postmortem interval showed complete cellular disintegration in the hippocampal CA3 region (17). No organized electrical activity consistent with consciousness was observed. This result indicates that the classical minutes-long window of irreversible neuronal injury reflects, at least in part, the fact that reperfusion had not previously been attempted at these later time points, rather than an absolute biological limit.</w:t>
      </w:r>
    </w:p>
    <w:p>
      <w:pPr>
        <w:pStyle w:val="Heading1"/>
        <w:spacing w:after="160" w:before="320"/>
      </w:pPr>
      <w:r>
        <w:t xml:space="preserve">5. Hypothermia as a Rate Modulator</w:t>
      </w:r>
    </w:p>
    <w:p>
      <w:pPr>
        <w:spacing w:after="200" w:line="360"/>
        <w:jc w:val="both"/>
      </w:pPr>
      <w:r>
        <w:rPr>
          <w:rFonts w:ascii="Times New Roman" w:cs="Times New Roman" w:eastAsia="Times New Roman" w:hAnsi="Times New Roman"/>
          <w:i w:val="false"/>
          <w:iCs w:val="false"/>
          <w:sz w:val="24"/>
          <w:szCs w:val="24"/>
        </w:rPr>
        <w:t xml:space="preserve">Hypothermia does not introduce a new receptor input; it rescales the kinetics of the entire system already described. Because PHD enzymes are themselves temperature-sensitive, HIF stabilization proceeds more slowly under cooling, but this is of limited consequence because the underlying ATP demand driving the need for protection falls even faster. In rabbit hearts cooled to 32°C at the onset of ischemia, hypoxanthine and xanthine accumulation was reduced compared to normothermia, consistent with slowed adenine nucleotide breakdown, and the ATP/ADP ratio was better preserved at the end of ischemia (18). Cooling isolated brain and heart mitochondria from 37°C to 6°C produced a graded reduction in oxygen consumption and ROS production (19). Separately, 32°C hypothermia has been shown to activate Nrf2, the principal transcriptional regulator of antioxidant genes, independent of the HIF pathway (20). Because succinate accumulation is the proximate driver of the reperfusion ROS burst (12, 13), and hypothermia independently suppresses this accumulation, the protective effects of cooling and of directly inhibiting succinate accumulation/oxidation have been shown to be additive rather than overlapping (18).</w:t>
      </w:r>
    </w:p>
    <w:p>
      <w:pPr>
        <w:spacing w:after="200" w:line="360"/>
        <w:jc w:val="both"/>
      </w:pPr>
      <w:r>
        <w:rPr>
          <w:rFonts w:ascii="Times New Roman" w:cs="Times New Roman" w:eastAsia="Times New Roman" w:hAnsi="Times New Roman"/>
          <w:i w:val="false"/>
          <w:iCs w:val="false"/>
          <w:sz w:val="24"/>
          <w:szCs w:val="24"/>
        </w:rPr>
        <w:t xml:space="preserve">The net effect across both metabolic scenarios described in Section 2 is the same: hypothermia extends the time window before irreversible injury by lowering the denominator (ATP demand per unit time) rather than by increasing the numerator (available substrate), while additionally and independently blunting the succinate-dependent reperfusion injury that follows either scenario.</w:t>
      </w:r>
    </w:p>
    <w:p>
      <w:pPr>
        <w:spacing w:after="8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3. Ischemic succinate accumulation is organ-selective (largest in liver) and attenuated by hypothermia across all organs (illustrative synthesis based on refs. 12, 13, 18).</w:t>
      </w:r>
    </w:p>
    <w:p>
      <w:pPr>
        <w:pStyle w:val="Heading1"/>
        <w:spacing w:after="160" w:before="320"/>
      </w:pPr>
      <w:r>
        <w:t xml:space="preserve">Discussion</w:t>
      </w:r>
    </w:p>
    <w:p>
      <w:pPr>
        <w:spacing w:after="200" w:line="360"/>
        <w:jc w:val="both"/>
      </w:pPr>
      <w:r>
        <w:rPr>
          <w:rFonts w:ascii="Times New Roman" w:cs="Times New Roman" w:eastAsia="Times New Roman" w:hAnsi="Times New Roman"/>
          <w:i w:val="false"/>
          <w:iCs w:val="false"/>
          <w:sz w:val="24"/>
          <w:szCs w:val="24"/>
        </w:rPr>
        <w:t xml:space="preserve">Two conclusions follow from integrating these data. First, receptor-level protective programs specific to hypoxia — the HIF/adenosine axis, HIF-2α/AREG/EGFR, and TNFR1-mediated survival via FLIP — are not simply oxygen-gated; they are jointly gated by oxygen and by the ATP required to transcribe and translate them. This makes glycogen/glucose availability a permissive condition for receptor-level adaptation, not merely an alternative fuel source. Second, the isolated organ perfusion data, particularly BrainEx, suggest that the field's operational definitions of irreversibility are calibrated to the absence of intervention rather than to a fixed biological ceiling, a distinction with direct relevance to any model, including the one developed in this working series, that treats cell fate as continuously contingent on resource availability rather than as fixed once a stimulus is applied.</w:t>
      </w:r>
    </w:p>
    <w:p>
      <w:pPr>
        <w:pStyle w:val="Heading1"/>
        <w:spacing w:after="160" w:before="320"/>
      </w:pPr>
      <w:r>
        <w:t xml:space="preserve">Predictions</w:t>
      </w:r>
    </w:p>
    <w:p>
      <w:pPr>
        <w:spacing w:after="200" w:line="360"/>
        <w:jc w:val="both"/>
      </w:pPr>
      <w:r>
        <w:rPr>
          <w:rFonts w:ascii="Times New Roman" w:cs="Times New Roman" w:eastAsia="Times New Roman" w:hAnsi="Times New Roman"/>
          <w:i w:val="false"/>
          <w:iCs w:val="false"/>
          <w:sz w:val="24"/>
          <w:szCs w:val="24"/>
        </w:rPr>
        <w:t xml:space="preserve">If this integrated model is correct, the following should be observable:</w:t>
      </w:r>
    </w:p>
    <w:p>
      <w:pPr>
        <w:spacing w:after="20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FLIP synthesis, not just NF-κB activation, should track ATP availability under hypoxia. TNFR1-expressing cells subjected to hypoxia with graded glucose availability should show FLIP protein levels, and consequent caspase-8 suppression, that scale with residual ATP rather than with NF-κB nuclear translocation alone, which may proceed even when FLIP translation fails.</w:t>
      </w:r>
    </w:p>
    <w:p>
      <w:pPr>
        <w:spacing w:after="20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HIF target gene protein output, not just HIF-1α stabilization, should dissociate from glucose availability. Cells hypoxic with and without glucose should show comparable HIF-1α nuclear accumulation but divergent CD73/A2BAR protein expression, confirming that transcript induction and functional protein output are decoupled under severe energy restriction.</w:t>
      </w:r>
    </w:p>
    <w:p>
      <w:pPr>
        <w:spacing w:after="20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Succinate accumulation should scale inversely with temperature and directly with tissue metabolic rate. Comparative measurement across brain, heart, and liver at matched ischemic durations and multiple temperatures should reproduce the reported liver-selective, twentyfold succinate accumulation at normothermia, with a graded reduction at each successively lower temperature.</w:t>
      </w:r>
    </w:p>
    <w:p>
      <w:pPr>
        <w:spacing w:after="200" w:line="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Delayed reperfusion in other organs should replicate the BrainEx effect. Applying oxygenated, acellular perfusion to other postmortem organs (kidney, liver) at delay intervals of several hours, rather than immediately, should reveal a similarly “underappreciated” capacity for partial cellular recovery, testing whether the BrainEx result is brain-specific or reflects a general property of the mechanisms described here.</w:t>
      </w:r>
    </w:p>
    <w:p>
      <w:pPr>
        <w:spacing w:after="200" w:line="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Combined hypothermia and succinate pathway inhibition should be additive across organs. The additive cardioprotection already shown for hypothermia plus succinate accumulation/oxidation inhibition (18) should generalize to liver and kidney ischemia-reperfusion models, given the shared succinate mechanism documented across all four organs tested by Chouchani et al. (12).</w:t>
      </w:r>
    </w:p>
    <w:p>
      <w:pPr>
        <w:pStyle w:val="Heading1"/>
        <w:spacing w:after="160" w:before="320"/>
      </w:pPr>
      <w:r>
        <w:t xml:space="preserve">Limitations</w:t>
      </w:r>
    </w:p>
    <w:p>
      <w:pPr>
        <w:spacing w:after="200" w:line="360"/>
        <w:jc w:val="both"/>
      </w:pPr>
      <w:r>
        <w:rPr>
          <w:rFonts w:ascii="Times New Roman" w:cs="Times New Roman" w:eastAsia="Times New Roman" w:hAnsi="Times New Roman"/>
          <w:i w:val="false"/>
          <w:iCs w:val="false"/>
          <w:sz w:val="24"/>
          <w:szCs w:val="24"/>
        </w:rPr>
        <w:t xml:space="preserve">This article is an integrative conceptual synthesis rather than a report of new experimental observations. Although each component is supported by published evidence, several interactions proposed here have not yet been examined simultaneously within a single experimental system and therefore remain experimentally testable predictions. Figure 3 in particular synthesizes reported organ-selective succinate accumulation and the attenuating effect of hypothermia from separate studies rather than a single matched dataset, and should be read as an illustrative summary rather than as newly measured data.</w:t>
      </w:r>
    </w:p>
    <w:p>
      <w:pPr>
        <w:pStyle w:val="Heading1"/>
        <w:spacing w:after="160" w:before="320"/>
      </w:pPr>
      <w:r>
        <w:t xml:space="preserve">Conclusion</w:t>
      </w:r>
    </w:p>
    <w:p>
      <w:pPr>
        <w:spacing w:after="200" w:line="360"/>
        <w:jc w:val="both"/>
      </w:pPr>
      <w:r>
        <w:rPr>
          <w:rFonts w:ascii="Times New Roman" w:cs="Times New Roman" w:eastAsia="Times New Roman" w:hAnsi="Times New Roman"/>
          <w:i w:val="false"/>
          <w:iCs w:val="false"/>
          <w:sz w:val="24"/>
          <w:szCs w:val="24"/>
        </w:rPr>
        <w:t xml:space="preserve">Rather than representing a single biochemical process, hypoxia appears to expose a general organizational principle of cellular physiology. The biological response depends not only on which signaling pathways are activated but also on whether sufficient metabolic resources remain available to execute them. ATP therefore acts not only as the cell's energy currency but also as a determinant of adaptive capacity and receptor program accessibility.</w:t>
      </w:r>
    </w:p>
    <w:p>
      <w:pPr>
        <w:pStyle w:val="Heading1"/>
        <w:spacing w:after="160" w:before="320"/>
      </w:pPr>
      <w:r>
        <w:t xml:space="preserve">References</w:t>
      </w:r>
    </w:p>
    <w:p>
      <w:pPr>
        <w:spacing w:after="200" w:line="360"/>
        <w:jc w:val="both"/>
      </w:pPr>
      <w:r>
        <w:rPr>
          <w:rFonts w:ascii="Times New Roman" w:cs="Times New Roman" w:eastAsia="Times New Roman" w:hAnsi="Times New Roman"/>
          <w:i w:val="false"/>
          <w:iCs w:val="false"/>
          <w:sz w:val="24"/>
          <w:szCs w:val="24"/>
        </w:rPr>
        <w:t xml:space="preserve">1. Metabolic Management. In: Madame Curie Bioscience Database. Austin (TX): Landes Bioscience; NCBI Bookshelf NBK6156.</w:t>
      </w:r>
    </w:p>
    <w:p>
      <w:pPr>
        <w:spacing w:after="200" w:line="360"/>
        <w:jc w:val="both"/>
      </w:pPr>
      <w:r>
        <w:rPr>
          <w:rFonts w:ascii="Times New Roman" w:cs="Times New Roman" w:eastAsia="Times New Roman" w:hAnsi="Times New Roman"/>
          <w:i w:val="false"/>
          <w:iCs w:val="false"/>
          <w:sz w:val="24"/>
          <w:szCs w:val="24"/>
        </w:rPr>
        <w:t xml:space="preserve">2. Lipton P. Ischemic cell death in brain neurons. Physiol Rev. 1999;79(4):1431–1568. doi:10.1152/physrev.1999.79.4.1431.</w:t>
      </w:r>
    </w:p>
    <w:p>
      <w:pPr>
        <w:spacing w:after="200" w:line="360"/>
        <w:jc w:val="both"/>
      </w:pPr>
      <w:r>
        <w:rPr>
          <w:rFonts w:ascii="Times New Roman" w:cs="Times New Roman" w:eastAsia="Times New Roman" w:hAnsi="Times New Roman"/>
          <w:i w:val="false"/>
          <w:iCs w:val="false"/>
          <w:sz w:val="24"/>
          <w:szCs w:val="24"/>
        </w:rPr>
        <w:t xml:space="preserve">3. Duran J, Saez I, Gruart A, Guinovart JJ, Delgado-García JM. Brain glycogen—new perspectives on its metabolic function and regulation at the subcellular level. Front Neuroenergetics. 2012;4:3. doi:10.3389/fnene.2012.00003.</w:t>
      </w:r>
    </w:p>
    <w:p>
      <w:pPr>
        <w:spacing w:after="200" w:line="360"/>
        <w:jc w:val="both"/>
      </w:pPr>
      <w:r>
        <w:rPr>
          <w:rFonts w:ascii="Times New Roman" w:cs="Times New Roman" w:eastAsia="Times New Roman" w:hAnsi="Times New Roman"/>
          <w:i w:val="false"/>
          <w:iCs w:val="false"/>
          <w:sz w:val="24"/>
          <w:szCs w:val="24"/>
        </w:rPr>
        <w:t xml:space="preserve">4. Choi IY, Seaquist ER, Gruetter R. Effect of hypoglycemia on brain glycogen metabolism in vivo. J Neurosci Res. 2003;72(1):25–32. doi:10.1002/jnr.10574.</w:t>
      </w:r>
    </w:p>
    <w:p>
      <w:pPr>
        <w:spacing w:after="200" w:line="360"/>
        <w:jc w:val="both"/>
      </w:pPr>
      <w:r>
        <w:rPr>
          <w:rFonts w:ascii="Times New Roman" w:cs="Times New Roman" w:eastAsia="Times New Roman" w:hAnsi="Times New Roman"/>
          <w:i w:val="false"/>
          <w:iCs w:val="false"/>
          <w:sz w:val="24"/>
          <w:szCs w:val="24"/>
        </w:rPr>
        <w:t xml:space="preserve">5. Semenza GL. Hypoxia-inducible factors in physiology and medicine. Cell. 2012;148(3):399–408.</w:t>
      </w:r>
    </w:p>
    <w:p>
      <w:pPr>
        <w:spacing w:after="200" w:line="360"/>
        <w:jc w:val="both"/>
      </w:pPr>
      <w:r>
        <w:rPr>
          <w:rFonts w:ascii="Times New Roman" w:cs="Times New Roman" w:eastAsia="Times New Roman" w:hAnsi="Times New Roman"/>
          <w:i w:val="false"/>
          <w:iCs w:val="false"/>
          <w:sz w:val="24"/>
          <w:szCs w:val="24"/>
        </w:rPr>
        <w:t xml:space="preserve">6. Dirnagl U, Iadecola C, Moskowitz MA. Pathobiology of ischaemic stroke: an integrated view. Trends Neurosci. 1999;22(9):391–397. doi:10.1016/S0166-2236(99)01401-0.</w:t>
      </w:r>
    </w:p>
    <w:p>
      <w:pPr>
        <w:spacing w:after="200" w:line="360"/>
        <w:jc w:val="both"/>
      </w:pPr>
      <w:r>
        <w:rPr>
          <w:rFonts w:ascii="Times New Roman" w:cs="Times New Roman" w:eastAsia="Times New Roman" w:hAnsi="Times New Roman"/>
          <w:i w:val="false"/>
          <w:iCs w:val="false"/>
          <w:sz w:val="24"/>
          <w:szCs w:val="24"/>
        </w:rPr>
        <w:t xml:space="preserve">7. Micheau O, Tschopp J. Induction of TNF receptor I-mediated apoptosis via two sequential signaling complexes. Cell. 2003;114(2):181–190. doi:10.1016/S0092-8674(03)00521-X.</w:t>
      </w:r>
    </w:p>
    <w:p>
      <w:pPr>
        <w:spacing w:after="200" w:line="360"/>
        <w:jc w:val="both"/>
      </w:pPr>
      <w:r>
        <w:rPr>
          <w:rFonts w:ascii="Times New Roman" w:cs="Times New Roman" w:eastAsia="Times New Roman" w:hAnsi="Times New Roman"/>
          <w:i w:val="false"/>
          <w:iCs w:val="false"/>
          <w:sz w:val="24"/>
          <w:szCs w:val="24"/>
        </w:rPr>
        <w:t xml:space="preserve">8. Moon JS, Hisata S, Park MA, DeNicola GM, Ryter SW, Nakahira K, Choi AMK. mTORC1-induced HK1-dependent glycolysis regulates NLRP3 inflammasome activation. Cell Rep. 2015;12:102–115.</w:t>
      </w:r>
    </w:p>
    <w:p>
      <w:pPr>
        <w:spacing w:after="200" w:line="360"/>
        <w:jc w:val="both"/>
      </w:pPr>
      <w:r>
        <w:rPr>
          <w:rFonts w:ascii="Times New Roman" w:cs="Times New Roman" w:eastAsia="Times New Roman" w:hAnsi="Times New Roman"/>
          <w:i w:val="false"/>
          <w:iCs w:val="false"/>
          <w:sz w:val="24"/>
          <w:szCs w:val="24"/>
        </w:rPr>
        <w:t xml:space="preserve">9. Kannan KB, Colorado I, Reino D, et al. Targeting the A2B adenosine receptor during gastrointestinal ischemia and inflammation. Am J Physiol Gastrointest Liver Physiol. PMC4077533.</w:t>
      </w:r>
    </w:p>
    <w:p>
      <w:pPr>
        <w:spacing w:after="200" w:line="360"/>
        <w:jc w:val="both"/>
      </w:pPr>
      <w:r>
        <w:rPr>
          <w:rFonts w:ascii="Times New Roman" w:cs="Times New Roman" w:eastAsia="Times New Roman" w:hAnsi="Times New Roman"/>
          <w:i w:val="false"/>
          <w:iCs w:val="false"/>
          <w:sz w:val="24"/>
          <w:szCs w:val="24"/>
        </w:rPr>
        <w:t xml:space="preserve">10. Zhang X, Du P, Luo K, Li Y, Liu Z, Wang W, Zeng C, Ye Q, Xiao Q. Hypoxia-inducible factor-1alpha protects the liver against ischemia-reperfusion injury by regulating the A2B adenosine receptor. Bioengineered. 2021;12(1):4581–4592. doi:10.1080/21655979.2021.1953217.</w:t>
      </w:r>
    </w:p>
    <w:p>
      <w:pPr>
        <w:spacing w:after="200" w:line="360"/>
        <w:jc w:val="both"/>
      </w:pPr>
      <w:r>
        <w:rPr>
          <w:rFonts w:ascii="Times New Roman" w:cs="Times New Roman" w:eastAsia="Times New Roman" w:hAnsi="Times New Roman"/>
          <w:i w:val="false"/>
          <w:iCs w:val="false"/>
          <w:sz w:val="24"/>
          <w:szCs w:val="24"/>
        </w:rPr>
        <w:t xml:space="preserve">11. Weng JH, et al. The hypoxia-adenosine link during myocardial ischemia–reperfusion injury. Biomedicines. 2022;10(8):1939. doi:10.3390/biomedicines10081939.</w:t>
      </w:r>
    </w:p>
    <w:p>
      <w:pPr>
        <w:spacing w:after="200" w:line="360"/>
        <w:jc w:val="both"/>
      </w:pPr>
      <w:r>
        <w:rPr>
          <w:rFonts w:ascii="Times New Roman" w:cs="Times New Roman" w:eastAsia="Times New Roman" w:hAnsi="Times New Roman"/>
          <w:i w:val="false"/>
          <w:iCs w:val="false"/>
          <w:sz w:val="24"/>
          <w:szCs w:val="24"/>
        </w:rPr>
        <w:t xml:space="preserve">12. Chouchani ET, Pell VR, Gaude E, Aksentijević D, Sundier SY, Robb EL, Logan A, Nadtochiy SM, Ord ENJ, Smith AC, Eyassu F, Shirley R, Hu CH, Dare AJ, James AM, Rogatti S, Hartley RC, Eaton S, Costa ASH, Brookes PS, Davidson SM, Duchen MR, Saeb-Parsy K, Shattock MJ, Robinson AJ, Work LM, Frezza C, Krieg T, Murphy MP. Ischaemic accumulation of succinate controls reperfusion injury through mitochondrial ROS. Nature. 2014;515:431–435. doi:10.1038/nature13909.</w:t>
      </w:r>
    </w:p>
    <w:p>
      <w:pPr>
        <w:spacing w:after="200" w:line="360"/>
        <w:jc w:val="both"/>
      </w:pPr>
      <w:r>
        <w:rPr>
          <w:rFonts w:ascii="Times New Roman" w:cs="Times New Roman" w:eastAsia="Times New Roman" w:hAnsi="Times New Roman"/>
          <w:i w:val="false"/>
          <w:iCs w:val="false"/>
          <w:sz w:val="24"/>
          <w:szCs w:val="24"/>
        </w:rPr>
        <w:t xml:space="preserve">13. Zhang J, et al. A unifying mechanism for mitochondrial superoxide production during ischemia-reperfusion injury. Cell Metab. 2016.</w:t>
      </w:r>
    </w:p>
    <w:p>
      <w:pPr>
        <w:spacing w:after="200" w:line="360"/>
        <w:jc w:val="both"/>
      </w:pPr>
      <w:r>
        <w:rPr>
          <w:rFonts w:ascii="Times New Roman" w:cs="Times New Roman" w:eastAsia="Times New Roman" w:hAnsi="Times New Roman"/>
          <w:i w:val="false"/>
          <w:iCs w:val="false"/>
          <w:sz w:val="24"/>
          <w:szCs w:val="24"/>
        </w:rPr>
        <w:t xml:space="preserve">14. Inhibiting succinate release worsens cardiac reperfusion injury by enhancing mitochondrial reactive oxygen species generation. bioRxiv. 2022. doi:10.1101/2022.04.27.489760.</w:t>
      </w:r>
    </w:p>
    <w:p>
      <w:pPr>
        <w:spacing w:after="200" w:line="360"/>
        <w:jc w:val="both"/>
      </w:pPr>
      <w:r>
        <w:rPr>
          <w:rFonts w:ascii="Times New Roman" w:cs="Times New Roman" w:eastAsia="Times New Roman" w:hAnsi="Times New Roman"/>
          <w:i w:val="false"/>
          <w:iCs w:val="false"/>
          <w:sz w:val="24"/>
          <w:szCs w:val="24"/>
        </w:rPr>
        <w:t xml:space="preserve">15. Kueckelhaus M, Fischer S, Sisk GA, Kiwanuka H, Bueno EM, Diaz-Siso JR, Dermietzel A, Pomahac B. A mobile extracorporeal extremity salvage system for replantation and transplantation. Ann Plast Surg. 2016;76(3):355–360. doi:10.1097/SAP.0000000000000681.</w:t>
      </w:r>
    </w:p>
    <w:p>
      <w:pPr>
        <w:spacing w:after="200" w:line="360"/>
        <w:jc w:val="both"/>
      </w:pPr>
      <w:r>
        <w:rPr>
          <w:rFonts w:ascii="Times New Roman" w:cs="Times New Roman" w:eastAsia="Times New Roman" w:hAnsi="Times New Roman"/>
          <w:i w:val="false"/>
          <w:iCs w:val="false"/>
          <w:sz w:val="24"/>
          <w:szCs w:val="24"/>
        </w:rPr>
        <w:t xml:space="preserve">16. Schober P, Schwarte LA. From system to organ to cell: oxygenation and perfusion measurement in anesthesia and critical care. J Clin Monit Comput. 2012;26(4):255–265. doi:10.1007/s10877-012-9350-4.</w:t>
      </w:r>
    </w:p>
    <w:p>
      <w:pPr>
        <w:spacing w:after="200" w:line="360"/>
        <w:jc w:val="both"/>
      </w:pPr>
      <w:r>
        <w:rPr>
          <w:rFonts w:ascii="Times New Roman" w:cs="Times New Roman" w:eastAsia="Times New Roman" w:hAnsi="Times New Roman"/>
          <w:i w:val="false"/>
          <w:iCs w:val="false"/>
          <w:sz w:val="24"/>
          <w:szCs w:val="24"/>
        </w:rPr>
        <w:t xml:space="preserve">17. Vrselja Z, Daniele SG, Silbereis J, et al. Restoration of brain circulation and cellular functions hours post-mortem. Nature. 2019;568:336–343. doi:10.1038/s41586-019-1099-1.</w:t>
      </w:r>
    </w:p>
    <w:p>
      <w:pPr>
        <w:spacing w:after="200" w:line="360"/>
        <w:jc w:val="both"/>
      </w:pPr>
      <w:r>
        <w:rPr>
          <w:rFonts w:ascii="Times New Roman" w:cs="Times New Roman" w:eastAsia="Times New Roman" w:hAnsi="Times New Roman"/>
          <w:i w:val="false"/>
          <w:iCs w:val="false"/>
          <w:sz w:val="24"/>
          <w:szCs w:val="24"/>
        </w:rPr>
        <w:t xml:space="preserve">18. Tissier R, Chenoune M, Ghaleh B, et al. Protection against cardiac ischemia-reperfusion injury by hypothermia and by inhibition of succinate accumulation and oxidation is additive. Basic Res Cardiol. 2019;114:18. doi:10.1007/s00395-019-0727-0.</w:t>
      </w:r>
    </w:p>
    <w:p>
      <w:pPr>
        <w:spacing w:after="200" w:line="360"/>
        <w:jc w:val="both"/>
      </w:pPr>
      <w:r>
        <w:rPr>
          <w:rFonts w:ascii="Times New Roman" w:cs="Times New Roman" w:eastAsia="Times New Roman" w:hAnsi="Times New Roman"/>
          <w:i w:val="false"/>
          <w:iCs w:val="false"/>
          <w:sz w:val="24"/>
          <w:szCs w:val="24"/>
        </w:rPr>
        <w:t xml:space="preserve">19. Bhattacharya S, et al. Cooling uncouples differentially ROS production from respiration and Ca2+ homeostasis dynamic in brain and heart mitochondria. PMC8947173.</w:t>
      </w:r>
    </w:p>
    <w:p>
      <w:pPr>
        <w:spacing w:after="200" w:line="360"/>
        <w:jc w:val="both"/>
      </w:pPr>
      <w:r>
        <w:rPr>
          <w:rFonts w:ascii="Times New Roman" w:cs="Times New Roman" w:eastAsia="Times New Roman" w:hAnsi="Times New Roman"/>
          <w:i w:val="false"/>
          <w:iCs w:val="false"/>
          <w:sz w:val="24"/>
          <w:szCs w:val="24"/>
        </w:rPr>
        <w:t xml:space="preserve">20. Hypothermia alleviates reductive stress, a root cause of ischemia reperfusion injury. PMC9456258.</w:t>
      </w:r>
    </w:p>
    <w:p>
      <w:r>
        <w:br w:type="page"/>
      </w:r>
    </w:p>
    <w:p>
      <w:pPr>
        <w:spacing w:after="400"/>
        <w:jc w:val="center"/>
      </w:pPr>
      <w:r>
        <w:rPr>
          <w:rFonts w:ascii="Times New Roman" w:cs="Times New Roman" w:eastAsia="Times New Roman" w:hAnsi="Times New Roman"/>
          <w:b/>
          <w:bCs/>
          <w:sz w:val="25"/>
          <w:szCs w:val="25"/>
        </w:rPr>
        <w:t xml:space="preserve">Framework 1.3, Article 2: From Division to Dormancy: Receptor and Energetic Architecture of Cell Fate — Mitotic Phases and the Post-Mitotic Vulnerability Window</w:t>
      </w:r>
    </w:p>
    <w:p>
      <w:pPr>
        <w:spacing w:after="60"/>
        <w:jc w:val="center"/>
      </w:pPr>
      <w:r>
        <w:rPr>
          <w:rFonts w:ascii="Times New Roman" w:cs="Times New Roman" w:eastAsia="Times New Roman" w:hAnsi="Times New Roman"/>
          <w:sz w:val="24"/>
          <w:szCs w:val="24"/>
        </w:rPr>
        <w:t xml:space="preserve">Yuri Dmitrochenko, MD</w:t>
      </w:r>
    </w:p>
    <w:p>
      <w:pPr>
        <w:spacing w:after="500"/>
        <w:jc w:val="center"/>
      </w:pPr>
      <w:r>
        <w:rPr>
          <w:rFonts w:ascii="Times New Roman" w:cs="Times New Roman" w:eastAsia="Times New Roman" w:hAnsi="Times New Roman"/>
          <w:i/>
          <w:iCs/>
          <w:sz w:val="22"/>
          <w:szCs w:val="22"/>
        </w:rPr>
        <w:t xml:space="preserve">Independent researcher, Israel</w:t>
      </w:r>
    </w:p>
    <w:p>
      <w:pPr>
        <w:pStyle w:val="Heading1"/>
        <w:spacing w:after="160" w:before="320"/>
      </w:pPr>
      <w:r>
        <w:t xml:space="preserve">Introduction</w:t>
      </w:r>
    </w:p>
    <w:p>
      <w:pPr>
        <w:spacing w:after="200" w:line="360"/>
        <w:jc w:val="both"/>
      </w:pPr>
      <w:r>
        <w:rPr>
          <w:rFonts w:ascii="Times New Roman" w:cs="Times New Roman" w:eastAsia="Times New Roman" w:hAnsi="Times New Roman"/>
          <w:i w:val="false"/>
          <w:iCs w:val="false"/>
          <w:sz w:val="24"/>
          <w:szCs w:val="24"/>
        </w:rPr>
        <w:t xml:space="preserve">This work extends an integrative model of cell fate (the IGF1R–mTOR–NR2F1 axis, Framework 1.2/1.3) by adding three previously missing pieces: (1) the detailed molecular sequence of cell division phases and the order of receptor/kinase complex activation linking a receptor-level decision to the physical acts of DNA replication and mitosis; (2) the energetic architecture of division itself — what fuels it, and what happens to the cell immediately afterward; and (3) a parallel regulatory module, distinct from TNFR1, through which dormant cells are masked from immune surveillance. Given the exploratory nature of parts of this synthesis, claims are explicitly flagged throughout as established, proposed, or hypothetical.</w:t>
      </w:r>
    </w:p>
    <w:p>
      <w:pPr>
        <w:pStyle w:val="Heading1"/>
        <w:spacing w:after="160" w:before="320"/>
      </w:pPr>
      <w:r>
        <w:t xml:space="preserve">1. Immune Evasion and Masking of Dormant Cells</w:t>
      </w:r>
    </w:p>
    <w:p>
      <w:pPr>
        <w:spacing w:after="200" w:line="360"/>
        <w:jc w:val="both"/>
      </w:pPr>
      <w:r>
        <w:rPr>
          <w:rFonts w:ascii="Times New Roman" w:cs="Times New Roman" w:eastAsia="Times New Roman" w:hAnsi="Times New Roman"/>
          <w:i w:val="false"/>
          <w:iCs w:val="false"/>
          <w:sz w:val="24"/>
          <w:szCs w:val="24"/>
        </w:rPr>
        <w:t xml:space="preserve">Dormant disseminated tumor cells (DTCs) appear to be protected from immune clearance by several distinct mechanisms that likely act in parallel.</w:t>
      </w:r>
    </w:p>
    <w:p>
      <w:pPr>
        <w:pStyle w:val="Heading2"/>
        <w:spacing w:after="120" w:before="240"/>
      </w:pPr>
      <w:r>
        <w:t xml:space="preserve">1.1. Reduced Visibility to T Cells: MHC-I Downregulation</w:t>
      </w:r>
    </w:p>
    <w:p>
      <w:pPr>
        <w:spacing w:after="200" w:line="360"/>
        <w:jc w:val="both"/>
      </w:pPr>
      <w:r>
        <w:rPr>
          <w:rFonts w:ascii="Times New Roman" w:cs="Times New Roman" w:eastAsia="Times New Roman" w:hAnsi="Times New Roman"/>
          <w:i w:val="false"/>
          <w:iCs w:val="false"/>
          <w:sz w:val="24"/>
          <w:szCs w:val="24"/>
        </w:rPr>
        <w:t xml:space="preserve">Dormant DTCs downregulate MHC class I expression via UPR (unfolded protein response) activation, rendering them undetectable to CD8+ T cells (1). This appears to create a built-in vulnerability: reduced MHC-I should, by “missing-self” logic, make the cell more conspicuous to NK cells, since MHC-I normally serves as an inhibitory ligand for NK inhibitory KIR receptors (2). Masking from one arm of immune surveillance may therefore create vulnerability to another, motivating a separate, second layer of defense.</w:t>
      </w:r>
    </w:p>
    <w:p>
      <w:pPr>
        <w:pStyle w:val="Heading2"/>
        <w:spacing w:after="120" w:before="240"/>
      </w:pPr>
      <w:r>
        <w:t xml:space="preserve">1.2. Direct NK Masking: CD200–CD200R1 and STING Suppression</w:t>
      </w:r>
    </w:p>
    <w:p>
      <w:pPr>
        <w:spacing w:after="200" w:line="360"/>
        <w:jc w:val="both"/>
      </w:pPr>
      <w:r>
        <w:rPr>
          <w:rFonts w:ascii="Times New Roman" w:cs="Times New Roman" w:eastAsia="Times New Roman" w:hAnsi="Times New Roman"/>
          <w:i w:val="false"/>
          <w:iCs w:val="false"/>
          <w:sz w:val="24"/>
          <w:szCs w:val="24"/>
        </w:rPr>
        <w:t xml:space="preserve">Tumor-expressed CD200 binds CD200R1 on NK cells, suppressing their activation; this has been documented specifically in dormant niches enriched for NK cells, conventional dendritic cells, and monocytes (3). Separately, cells driven into dormancy by NK cells themselves show suppressed STING signaling alongside upregulated BACH1/SOX2 (4). STING reactivation accompanies awakening from dormancy, suggesting that STING suppression may be an integral part of the dormancy lock rather than an incidental side effect — though whether this reflects a shared regulatory mechanism with NR2F1 or a coincidentally correlated program remains untested.</w:t>
      </w:r>
    </w:p>
    <w:p>
      <w:pPr>
        <w:pStyle w:val="Heading2"/>
        <w:spacing w:after="120" w:before="240"/>
      </w:pPr>
      <w:r>
        <w:t xml:space="preserve">1.3. Target Removal: ULBP Downregulation</w:t>
      </w:r>
    </w:p>
    <w:p>
      <w:pPr>
        <w:spacing w:after="200" w:line="360"/>
        <w:jc w:val="both"/>
      </w:pPr>
      <w:r>
        <w:rPr>
          <w:rFonts w:ascii="Times New Roman" w:cs="Times New Roman" w:eastAsia="Times New Roman" w:hAnsi="Times New Roman"/>
          <w:i w:val="false"/>
          <w:iCs w:val="false"/>
          <w:sz w:val="24"/>
          <w:szCs w:val="24"/>
        </w:rPr>
        <w:t xml:space="preserve">A third, apparently independent mechanism is downregulation of ULBP ligands, normally recognized by the activating NK receptor NKG2D (4). Unlike CD200 (a “brake” strategy), this is a “target removal” strategy — structurally similar to MHC-I downregulation but acting on an activating rather than inhibitory receptor.</w:t>
      </w:r>
    </w:p>
    <w:p>
      <w:pPr>
        <w:pStyle w:val="Heading2"/>
        <w:spacing w:after="120" w:before="240"/>
      </w:pPr>
      <w:r>
        <w:t xml:space="preserve">1.4. A Paradox: The Immune System as Inducer, Not Only Antagonist, of Dormancy</w:t>
      </w:r>
    </w:p>
    <w:p>
      <w:pPr>
        <w:spacing w:after="200" w:line="360"/>
        <w:jc w:val="both"/>
      </w:pPr>
      <w:r>
        <w:rPr>
          <w:rFonts w:ascii="Times New Roman" w:cs="Times New Roman" w:eastAsia="Times New Roman" w:hAnsi="Times New Roman"/>
          <w:i w:val="false"/>
          <w:iCs w:val="false"/>
          <w:sz w:val="24"/>
          <w:szCs w:val="24"/>
        </w:rPr>
        <w:t xml:space="preserve">Perhaps the most striking finding is that NK and T cells do not only kill tumor cells but can actively induce dormancy. IFN-γ from NK cells has been reported to directly induce dormancy via the IDO1–kynurenine–AhR–p27 pathway (5). CD8+ T cells, with CD4+ T helper support, induce dormancy via IFN-γ as well, whereas awakening from established dormancy is triggered by a separate signal, IL-17A from CD4+ T cells (6). Notably, maintenance of already-established dormancy appears not to require continued immune surveillance — induction, maintenance, and awakening appear to be three non-overlapping, independently regulated processes (6), though this compartmentalization is based on a limited number of model systems and may not generalize.</w:t>
      </w:r>
    </w:p>
    <w:p>
      <w:pPr>
        <w:pStyle w:val="Heading2"/>
        <w:spacing w:after="120" w:before="240"/>
      </w:pPr>
      <w:r>
        <w:t xml:space="preserve">1.5. A Geometric Layer of Protection: The “Fermi Paradox”</w:t>
      </w:r>
    </w:p>
    <w:p>
      <w:pPr>
        <w:spacing w:after="200" w:line="360"/>
        <w:jc w:val="both"/>
      </w:pPr>
      <w:r>
        <w:rPr>
          <w:rFonts w:ascii="Times New Roman" w:cs="Times New Roman" w:eastAsia="Times New Roman" w:hAnsi="Times New Roman"/>
          <w:i w:val="false"/>
          <w:iCs w:val="false"/>
          <w:sz w:val="24"/>
          <w:szCs w:val="24"/>
        </w:rPr>
        <w:t xml:space="preserve">A separate, purely spatial defense requires no molecular masking at all: dormant DTCs are proposed to be so rare and dispersed (on the order of one cell per &gt;500 μm radius) that the probability of physical encounter with a T cell is close to zero on geometric grounds alone (2). This would make the sheer rarity of the dormant reserve a protective factor independent of any molecular masking mechanism described above, though this remains a modeling argument rather than a directly measured encounter rate.</w:t>
      </w:r>
    </w:p>
    <w:p>
      <w:pPr>
        <w:pStyle w:val="Heading2"/>
        <w:spacing w:after="120" w:before="240"/>
      </w:pPr>
      <w:r>
        <w:t xml:space="preserve">1.6. Open Question</w:t>
      </w:r>
    </w:p>
    <w:p>
      <w:pPr>
        <w:spacing w:after="200" w:line="360"/>
        <w:jc w:val="both"/>
      </w:pPr>
      <w:r>
        <w:rPr>
          <w:rFonts w:ascii="Times New Roman" w:cs="Times New Roman" w:eastAsia="Times New Roman" w:hAnsi="Times New Roman"/>
          <w:i w:val="false"/>
          <w:iCs w:val="false"/>
          <w:sz w:val="24"/>
          <w:szCs w:val="24"/>
        </w:rPr>
        <w:t xml:space="preserve">It remains untested whether NR2F1 status in a dormant cell correlates with the degree of CD200/STING suppression in that same cell — that is, whether immune masking is part of a single NR2F1-driven epigenetic lock or a separate, parallel program. This forms a conceptual counterpart to TNFR1 within the broader architecture: TNFR1 functions as a one-way awakening input (as described in prior work in this series), while the CD200/STING/ULBP complex functions as a parallel regulatory module maintaining immune masking. The two are discussed as analogous in role, not as components of a demonstrated shared pathway.</w:t>
      </w:r>
    </w:p>
    <w:p>
      <w:pPr>
        <w:pStyle w:val="Heading1"/>
        <w:spacing w:after="160" w:before="320"/>
      </w:pPr>
      <w:r>
        <w:t xml:space="preserve">2. Cell Division Phases and the Order of Receptor Activation</w:t>
      </w:r>
    </w:p>
    <w:p>
      <w:pPr>
        <w:spacing w:after="200" w:line="360"/>
        <w:jc w:val="both"/>
      </w:pPr>
      <w:r>
        <w:rPr>
          <w:rFonts w:ascii="Times New Roman" w:cs="Times New Roman" w:eastAsia="Times New Roman" w:hAnsi="Times New Roman"/>
          <w:i w:val="false"/>
          <w:iCs w:val="false"/>
          <w:sz w:val="24"/>
          <w:szCs w:val="24"/>
        </w:rPr>
        <w:t xml:space="preserve">Between a receptor-level decision to divide (IGF1R/INSR → PI3K/AKT → mTOR) and the physical acts of DNA replication and mitosis lies a well-characterized sequence of kinase complex activation, which also defines the molecular location of the restriction point (R-point) discussed elsewhere in this framework as a threshold between division, dormancy, and cytolysis.</w:t>
      </w:r>
    </w:p>
    <w:p>
      <w:pPr>
        <w:pStyle w:val="Heading2"/>
        <w:spacing w:after="120" w:before="240"/>
      </w:pPr>
      <w:r>
        <w:t xml:space="preserve">2.1. Early G1: The First Kinase and a Timing Gradient</w:t>
      </w:r>
    </w:p>
    <w:p>
      <w:pPr>
        <w:spacing w:after="200" w:line="360"/>
        <w:jc w:val="both"/>
      </w:pPr>
      <w:r>
        <w:rPr>
          <w:rFonts w:ascii="Times New Roman" w:cs="Times New Roman" w:eastAsia="Times New Roman" w:hAnsi="Times New Roman"/>
          <w:i w:val="false"/>
          <w:iCs w:val="false"/>
          <w:sz w:val="24"/>
          <w:szCs w:val="24"/>
        </w:rPr>
        <w:t xml:space="preserve">Mitogenic signals induce cyclin D expression, which binds CDK4/6. An important refinement of the classical model: CDK4/6 initially produces mono-phosphorylation of Rb at one of 14 possible sites, rather than immediate full inactivation (7). Mono-phosphorylated Rb retains partial E2F-binding activity, creating a regulated timing gradient that determines the duration of early G1 (7, 8).</w:t>
      </w:r>
    </w:p>
    <w:p>
      <w:pPr>
        <w:pStyle w:val="Heading2"/>
        <w:spacing w:after="120" w:before="240"/>
      </w:pPr>
      <w:r>
        <w:t xml:space="preserve">2.2. Mid-to-Late G1: Full Rb Inactivation</w:t>
      </w:r>
    </w:p>
    <w:p>
      <w:pPr>
        <w:spacing w:after="200" w:line="360"/>
        <w:jc w:val="both"/>
      </w:pPr>
      <w:r>
        <w:rPr>
          <w:rFonts w:ascii="Times New Roman" w:cs="Times New Roman" w:eastAsia="Times New Roman" w:hAnsi="Times New Roman"/>
          <w:i w:val="false"/>
          <w:iCs w:val="false"/>
          <w:sz w:val="24"/>
          <w:szCs w:val="24"/>
        </w:rPr>
        <w:t xml:space="preserve">Cyclin E–CDK2, activated in late G1, produces complete (hyper-) phosphorylation of Rb, fully releasing E2F (9). Free E2F drives transcription of S-phase genes, including the genes for cyclins E and A themselves, forming a positive feedback loop that reinforces its own signal.</w:t>
      </w:r>
    </w:p>
    <w:p>
      <w:pPr>
        <w:pStyle w:val="Heading2"/>
        <w:spacing w:after="120" w:before="240"/>
      </w:pPr>
      <w:r>
        <w:t xml:space="preserve">2.3. The Restriction Point (R-point): Molecular Basis of Irreversible Commitment</w:t>
      </w:r>
    </w:p>
    <w:p>
      <w:pPr>
        <w:spacing w:after="200" w:line="360"/>
        <w:jc w:val="both"/>
      </w:pPr>
      <w:r>
        <w:rPr>
          <w:rFonts w:ascii="Times New Roman" w:cs="Times New Roman" w:eastAsia="Times New Roman" w:hAnsi="Times New Roman"/>
          <w:i w:val="false"/>
          <w:iCs w:val="false"/>
          <w:sz w:val="24"/>
          <w:szCs w:val="24"/>
        </w:rPr>
        <w:t xml:space="preserve">The R-point is the point at which a mitogen-dependent external signal is converted into a self-sustaining positive feedback loop: mitogens → CDK4/6 → Rb phosphorylation → E2F1–3 → transcription of cyclins E and A → cyclin E/A–CDK2 → further Rb phosphorylation (10). Beyond this point, the cell becomes independent of continued mitogen presence. The CDK inhibitors p27, p21, and p57 (which physically block cyclin/CDK–substrate interactions) and p15/p16 (which block CDK4/6 binding to cyclin D) are the same class of suppressor proteins induced by NR2F1 to hold a cell in G0/G1 — that is, NR2F1 is proposed to act by physically blocking entry into this feedback loop before it becomes self-sustaining.</w:t>
      </w:r>
    </w:p>
    <w:p>
      <w:pPr>
        <w:pStyle w:val="Heading2"/>
        <w:spacing w:after="120" w:before="240"/>
      </w:pPr>
      <w:r>
        <w:t xml:space="preserve">2.4. S Phase, G2, and Mitosis</w:t>
      </w:r>
    </w:p>
    <w:p>
      <w:pPr>
        <w:spacing w:after="200" w:line="360"/>
        <w:jc w:val="both"/>
      </w:pPr>
      <w:r>
        <w:rPr>
          <w:rFonts w:ascii="Times New Roman" w:cs="Times New Roman" w:eastAsia="Times New Roman" w:hAnsi="Times New Roman"/>
          <w:i w:val="false"/>
          <w:iCs w:val="false"/>
          <w:sz w:val="24"/>
          <w:szCs w:val="24"/>
        </w:rPr>
        <w:t xml:space="preserve">Cyclin A–CDK2 drives DNA replication in S phase; cyclin A then partners with CDK1 to support quality control in G2. The key mitotic complex, cyclin B–CDK1 (Maturation-Promoting Factor, MPF), is held inactive by inhibitory phosphorylation from Wee1; entry into mitosis occurs when the phosphatase Cdc25 removes this phosphorylation (11).</w:t>
      </w:r>
    </w:p>
    <w:p>
      <w:pPr>
        <w:spacing w:after="80" w:before="200"/>
        <w:jc w:val="center"/>
      </w:pPr>
      <w:r>
        <w:drawing>
          <wp:inline distT="0" distB="0" distL="0" distR="0">
            <wp:extent cx="3048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3952875"/>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 Integrative flow from receptor input through division to the three post-mitotic outcomes, and their proposed links to NR2F1-mediated dormancy and immune masking. Elements below the dashed conceptual boundary (cytolysis; immune masking) are proposed/hypothetical extensions rather than directly demonstrated links.</w:t>
      </w:r>
    </w:p>
    <w:p>
      <w:pPr>
        <w:pStyle w:val="Heading1"/>
        <w:spacing w:after="160" w:before="320"/>
      </w:pPr>
      <w:r>
        <w:t xml:space="preserve">3. The Energetic Architecture of Division: Glycogen as Internal Fuel</w:t>
      </w:r>
    </w:p>
    <w:p>
      <w:pPr>
        <w:pStyle w:val="Heading2"/>
        <w:spacing w:after="120" w:before="240"/>
      </w:pPr>
      <w:r>
        <w:t xml:space="preserve">3.1. CDK1 Mobilizes Glycogen Directly</w:t>
      </w:r>
    </w:p>
    <w:p>
      <w:pPr>
        <w:spacing w:after="200" w:line="360"/>
        <w:jc w:val="both"/>
      </w:pPr>
      <w:r>
        <w:rPr>
          <w:rFonts w:ascii="Times New Roman" w:cs="Times New Roman" w:eastAsia="Times New Roman" w:hAnsi="Times New Roman"/>
          <w:i w:val="false"/>
          <w:iCs w:val="false"/>
          <w:sz w:val="24"/>
          <w:szCs w:val="24"/>
        </w:rPr>
        <w:t xml:space="preserve">Cdk1 — the same cyclin B–CDK1 complex that triggers mitosis — has been shown to directly phosphorylate and activate glycogen phosphorylase, releasing additional glucose from glycogen into glycolysis specifically during S/G2/M (12). This is not merely a temporal coincidence but a direct causal link: the same kinase that initiates the mitotic program simultaneously opens access to the internal energy reserve.</w:t>
      </w:r>
    </w:p>
    <w:p>
      <w:pPr>
        <w:pStyle w:val="Heading2"/>
        <w:spacing w:after="120" w:before="240"/>
      </w:pPr>
      <w:r>
        <w:t xml:space="preserve">3.2. Why the Source Is Likely Internal</w:t>
      </w:r>
    </w:p>
    <w:p>
      <w:pPr>
        <w:spacing w:after="200" w:line="360"/>
        <w:jc w:val="both"/>
      </w:pPr>
      <w:r>
        <w:rPr>
          <w:rFonts w:ascii="Times New Roman" w:cs="Times New Roman" w:eastAsia="Times New Roman" w:hAnsi="Times New Roman"/>
          <w:i w:val="false"/>
          <w:iCs w:val="false"/>
          <w:sz w:val="24"/>
          <w:szCs w:val="24"/>
        </w:rPr>
        <w:t xml:space="preserve">Mitosis is a period of metabolic suppression — transcription and translation are largely paused during division itself (13). This suggests that a cell cannot readily upregulate glucose import via receptors during mitosis; the necessary infrastructure and reserve would need to be prepared in advance, during G2. A checkpoint symmetric to the R-point has been identified: AMPK, a cellular energy-status sensor, directly phosphorylates Cdc25C, delaying mitotic entry under inadequate energy status (13). The cell thus appears to check the sufficiency of its internal reserve twice — once before DNA replication (G1/S) and once before mitosis itself (G2/M).</w:t>
      </w:r>
    </w:p>
    <w:p>
      <w:pPr>
        <w:pStyle w:val="Heading1"/>
        <w:spacing w:after="160" w:before="320"/>
      </w:pPr>
      <w:r>
        <w:t xml:space="preserve">4. The Post-Mitotic Vulnerability Window</w:t>
      </w:r>
    </w:p>
    <w:p>
      <w:pPr>
        <w:spacing w:after="200" w:line="360"/>
        <w:jc w:val="both"/>
      </w:pPr>
      <w:r>
        <w:rPr>
          <w:rFonts w:ascii="Times New Roman" w:cs="Times New Roman" w:eastAsia="Times New Roman" w:hAnsi="Times New Roman"/>
          <w:i w:val="false"/>
          <w:iCs w:val="false"/>
          <w:sz w:val="24"/>
          <w:szCs w:val="24"/>
        </w:rPr>
        <w:t xml:space="preserve">It is plausible that mitotic glycogen mobilization leaves daughter cells with a transiently reduced internal energy reserve immediately after division, though direct experimental confirmation of this specific state in newly divided daughter cells is limited, and this should be regarded as a working hypothesis rather than an established fact. This raises the question of what happens if external glucose is also unavailable immediately after division.</w:t>
      </w:r>
    </w:p>
    <w:p>
      <w:pPr>
        <w:pStyle w:val="Heading2"/>
        <w:spacing w:after="120" w:before="240"/>
      </w:pPr>
      <w:r>
        <w:t xml:space="preserve">4.1. p21 as an Immediate Protective Checkpoint</w:t>
      </w:r>
    </w:p>
    <w:p>
      <w:pPr>
        <w:spacing w:after="200" w:line="360"/>
        <w:jc w:val="both"/>
      </w:pPr>
      <w:r>
        <w:rPr>
          <w:rFonts w:ascii="Times New Roman" w:cs="Times New Roman" w:eastAsia="Times New Roman" w:hAnsi="Times New Roman"/>
          <w:i w:val="false"/>
          <w:iCs w:val="false"/>
          <w:sz w:val="24"/>
          <w:szCs w:val="24"/>
        </w:rPr>
        <w:t xml:space="preserve">Under glucose deprivation, cells accumulate p21, a CDK inhibitor of the same class as p27/p16 in the NR2F1-driven dormancy program (14). Notably, p21 accumulation can begin in the mother cell before division if that cell itself experienced glucose deprivation — that is, a mother cell may pre-emptively signal unfavorable conditions to its daughters by passing on an elevated starting level of p21 (14).</w:t>
      </w:r>
    </w:p>
    <w:p>
      <w:pPr>
        <w:spacing w:after="200" w:line="360"/>
        <w:jc w:val="both"/>
      </w:pPr>
      <w:r>
        <w:rPr>
          <w:rFonts w:ascii="Times New Roman" w:cs="Times New Roman" w:eastAsia="Times New Roman" w:hAnsi="Times New Roman"/>
          <w:i w:val="false"/>
          <w:iCs w:val="false"/>
          <w:sz w:val="24"/>
          <w:szCs w:val="24"/>
        </w:rPr>
        <w:t xml:space="preserve">Experimental removal of p21 under glucose deprivation does not prevent S-phase entry, but results in a failed S phase followed by arrest and DNA damage accumulation (14). In other words, p21 does not supply energy; rather, it appears to prevent the cell from attempting a process it cannot resource, redirecting it into protected arrest instead of a blind, likely catastrophic division attempt — functionally analogous to the role of NR2F1/p27/p16 in the dormancy model, but operating within an immediate, narrow post-mitotic window.</w:t>
      </w:r>
    </w:p>
    <w:p>
      <w:pPr>
        <w:pStyle w:val="Heading2"/>
        <w:spacing w:after="120" w:before="240"/>
      </w:pPr>
      <w:r>
        <w:t xml:space="preserve">4.2. Three Outcomes Rather Than Two</w:t>
      </w:r>
    </w:p>
    <w:p>
      <w:pPr>
        <w:spacing w:after="200" w:line="360"/>
        <w:jc w:val="both"/>
      </w:pPr>
      <w:r>
        <w:rPr>
          <w:rFonts w:ascii="Times New Roman" w:cs="Times New Roman" w:eastAsia="Times New Roman" w:hAnsi="Times New Roman"/>
          <w:i w:val="false"/>
          <w:iCs w:val="false"/>
          <w:sz w:val="24"/>
          <w:szCs w:val="24"/>
        </w:rPr>
        <w:t xml:space="preserve">This suggests a three-way branch for a newly divided cell, rather than a simple binary of division versus cytolysis: (1) with sufficient glucose, p21 is degraded and the cell re-enters the cycle; (2) with insufficient glucose for division but timely p21 checkpoint engagement, the cell enters protected arrest — a small-scale, immediate analog of dormancy; (3) if the p21 checkpoint fails to engage in time, or if the cytoplasm has not yet reorganized from the liquid, loosely cross-linked state required for completing cytokinesis into a denser, more osmotically resistant state, cytolysis may follow. This third branch is a proposed extension of the model, consistent with the cytoplasm-density-dependent death pathway hypothesis developed elsewhere in this framework, but the specific liquid-cytoplasm → osmotic instability → cytolysis link in the immediate post-mitotic window has not, to our knowledge, been directly demonstrated experimentally and should be read as hypothetical.</w:t>
      </w:r>
    </w:p>
    <w:p>
      <w:pPr>
        <w:pStyle w:val="Heading1"/>
        <w:spacing w:after="160" w:before="320"/>
      </w:pPr>
      <w:r>
        <w:t xml:space="preserve">Summary Tables</w:t>
      </w:r>
    </w:p>
    <w:p>
      <w:pPr>
        <w:pStyle w:val="Heading2"/>
        <w:spacing w:after="120" w:before="240"/>
      </w:pPr>
      <w:r>
        <w:t xml:space="preserve">Table 1. Kinase Complexes Across Cell Cycle Phases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560"/>
      </w:tblGrid>
      <w:tr>
        <w:tc>
          <w:tcPr>
            <w:tcW w:type="dxa" w:w="18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Phase</w:t>
            </w:r>
          </w:p>
        </w:tc>
        <w:tc>
          <w:tcPr>
            <w:tcW w:type="dxa" w:w="26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Key complex</w:t>
            </w:r>
          </w:p>
        </w:tc>
        <w:tc>
          <w:tcPr>
            <w:tcW w:type="dxa" w:w="456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Principal function</w:t>
            </w:r>
          </w:p>
        </w:tc>
      </w:tr>
      <w:tr>
        <w:tc>
          <w:tcPr>
            <w:tcW w:type="dxa" w:w="1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Early G1</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Cyclin D–CDK4/6</w:t>
            </w:r>
          </w:p>
        </w:tc>
        <w:tc>
          <w:tcPr>
            <w:tcW w:type="dxa" w:w="45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Mono-phosphorylates Rb; sets timing gradient</w:t>
            </w:r>
          </w:p>
        </w:tc>
      </w:tr>
      <w:tr>
        <w:tc>
          <w:tcPr>
            <w:tcW w:type="dxa" w:w="18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Late G1</w:t>
            </w:r>
          </w:p>
        </w:tc>
        <w:tc>
          <w:tcPr>
            <w:tcW w:type="dxa" w:w="2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Cyclin E–CDK2</w:t>
            </w:r>
          </w:p>
        </w:tc>
        <w:tc>
          <w:tcPr>
            <w:tcW w:type="dxa" w:w="4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Full Rb phosphorylation; releases E2F</w:t>
            </w:r>
          </w:p>
        </w:tc>
      </w:tr>
      <w:tr>
        <w:tc>
          <w:tcPr>
            <w:tcW w:type="dxa" w:w="1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R-point</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E2F1–3 feedback loop</w:t>
            </w:r>
          </w:p>
        </w:tc>
        <w:tc>
          <w:tcPr>
            <w:tcW w:type="dxa" w:w="45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Irreversible commitment, mitogen-independent</w:t>
            </w:r>
          </w:p>
        </w:tc>
      </w:tr>
      <w:tr>
        <w:tc>
          <w:tcPr>
            <w:tcW w:type="dxa" w:w="18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S phase</w:t>
            </w:r>
          </w:p>
        </w:tc>
        <w:tc>
          <w:tcPr>
            <w:tcW w:type="dxa" w:w="2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Cyclin A–CDK2</w:t>
            </w:r>
          </w:p>
        </w:tc>
        <w:tc>
          <w:tcPr>
            <w:tcW w:type="dxa" w:w="4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DNA replication</w:t>
            </w:r>
          </w:p>
        </w:tc>
      </w:tr>
      <w:tr>
        <w:tc>
          <w:tcPr>
            <w:tcW w:type="dxa" w:w="1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G2</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Cyclin A–CDK1</w:t>
            </w:r>
          </w:p>
        </w:tc>
        <w:tc>
          <w:tcPr>
            <w:tcW w:type="dxa" w:w="45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Replication quality control</w:t>
            </w:r>
          </w:p>
        </w:tc>
      </w:tr>
      <w:tr>
        <w:tc>
          <w:tcPr>
            <w:tcW w:type="dxa" w:w="18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G2/M</w:t>
            </w:r>
          </w:p>
        </w:tc>
        <w:tc>
          <w:tcPr>
            <w:tcW w:type="dxa" w:w="2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Cyclin B–CDK1 (MPF)</w:t>
            </w:r>
          </w:p>
        </w:tc>
        <w:tc>
          <w:tcPr>
            <w:tcW w:type="dxa" w:w="4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Mitotic entry, gated by Wee1/Cdc25</w:t>
            </w:r>
          </w:p>
        </w:tc>
      </w:tr>
    </w:tbl>
    <w:p>
      <w:pPr>
        <w:pStyle w:val="Heading2"/>
        <w:spacing w:after="120" w:before="240"/>
      </w:pPr>
      <w:r>
        <w:t xml:space="preserve">Table 2. Post-Mitotic Outcomes as a Function of Glucose and Checkpoint Status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860"/>
      </w:tblGrid>
      <w:tr>
        <w:tc>
          <w:tcPr>
            <w:tcW w:type="dxa" w:w="32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Condition</w:t>
            </w:r>
          </w:p>
        </w:tc>
        <w:tc>
          <w:tcPr>
            <w:tcW w:type="dxa" w:w="29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Mediator</w:t>
            </w:r>
          </w:p>
        </w:tc>
        <w:tc>
          <w:tcPr>
            <w:tcW w:type="dxa" w:w="286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Outcome (status)</w:t>
            </w:r>
          </w:p>
        </w:tc>
      </w:tr>
      <w:tr>
        <w:tc>
          <w:tcPr>
            <w:tcW w:type="dxa" w:w="3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Glucose sufficient</w:t>
            </w:r>
          </w:p>
        </w:tc>
        <w:tc>
          <w:tcPr>
            <w:tcW w:type="dxa" w:w="29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p21 degraded</w:t>
            </w:r>
          </w:p>
        </w:tc>
        <w:tc>
          <w:tcPr>
            <w:tcW w:type="dxa" w:w="28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Re-entry into cycle (established)</w:t>
            </w:r>
          </w:p>
        </w:tc>
      </w:tr>
      <w:tr>
        <w:tc>
          <w:tcPr>
            <w:tcW w:type="dxa" w:w="32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Glucose low, checkpoint engages in time</w:t>
            </w:r>
          </w:p>
        </w:tc>
        <w:tc>
          <w:tcPr>
            <w:tcW w:type="dxa" w:w="29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p21 accumulation</w:t>
            </w:r>
          </w:p>
        </w:tc>
        <w:tc>
          <w:tcPr>
            <w:tcW w:type="dxa" w:w="28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Protective arrest (established)</w:t>
            </w:r>
          </w:p>
        </w:tc>
      </w:tr>
      <w:tr>
        <w:tc>
          <w:tcPr>
            <w:tcW w:type="dxa" w:w="3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Glucose low, checkpoint fails / cytoplasm still liquid</w:t>
            </w:r>
          </w:p>
        </w:tc>
        <w:tc>
          <w:tcPr>
            <w:tcW w:type="dxa" w:w="29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Unclear / proposed cytoskeletal state</w:t>
            </w:r>
          </w:p>
        </w:tc>
        <w:tc>
          <w:tcPr>
            <w:tcW w:type="dxa" w:w="28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Cytolysis (proposed, hypothetical)</w:t>
            </w:r>
          </w:p>
        </w:tc>
      </w:tr>
    </w:tbl>
    <w:p>
      <w:pPr>
        <w:pStyle w:val="Heading2"/>
        <w:spacing w:after="120" w:before="240"/>
      </w:pPr>
      <w:r>
        <w:t xml:space="preserve">Table 3. Layers of Immune Masking in Dormancy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00"/>
        <w:gridCol w:w="1660"/>
      </w:tblGrid>
      <w:tr>
        <w:tc>
          <w:tcPr>
            <w:tcW w:type="dxa" w:w="22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Layer</w:t>
            </w:r>
          </w:p>
        </w:tc>
        <w:tc>
          <w:tcPr>
            <w:tcW w:type="dxa" w:w="22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Target receptor</w:t>
            </w:r>
          </w:p>
        </w:tc>
        <w:tc>
          <w:tcPr>
            <w:tcW w:type="dxa" w:w="29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Effect</w:t>
            </w:r>
          </w:p>
        </w:tc>
        <w:tc>
          <w:tcPr>
            <w:tcW w:type="dxa" w:w="166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Status</w:t>
            </w:r>
          </w:p>
        </w:tc>
      </w:tr>
      <w:tr>
        <w:tc>
          <w:tcPr>
            <w:tcW w:type="dxa" w:w="2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MHC-I downregulation</w:t>
            </w:r>
          </w:p>
        </w:tc>
        <w:tc>
          <w:tcPr>
            <w:tcW w:type="dxa" w:w="2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T-cell receptor / KIR</w:t>
            </w:r>
          </w:p>
        </w:tc>
        <w:tc>
          <w:tcPr>
            <w:tcW w:type="dxa" w:w="29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Hides from CD8+ T cells; may sensitize to NK</w:t>
            </w:r>
          </w:p>
        </w:tc>
        <w:tc>
          <w:tcPr>
            <w:tcW w:type="dxa" w:w="16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Established</w:t>
            </w:r>
          </w:p>
        </w:tc>
      </w:tr>
      <w:tr>
        <w:tc>
          <w:tcPr>
            <w:tcW w:type="dxa" w:w="22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CD200–CD200R1</w:t>
            </w:r>
          </w:p>
        </w:tc>
        <w:tc>
          <w:tcPr>
            <w:tcW w:type="dxa" w:w="22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NK CD200R1 (inhibitory)</w:t>
            </w:r>
          </w:p>
        </w:tc>
        <w:tc>
          <w:tcPr>
            <w:tcW w:type="dxa" w:w="29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Suppresses NK activation</w:t>
            </w:r>
          </w:p>
        </w:tc>
        <w:tc>
          <w:tcPr>
            <w:tcW w:type="dxa" w:w="16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Established</w:t>
            </w:r>
          </w:p>
        </w:tc>
      </w:tr>
      <w:tr>
        <w:tc>
          <w:tcPr>
            <w:tcW w:type="dxa" w:w="2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STING suppression</w:t>
            </w:r>
          </w:p>
        </w:tc>
        <w:tc>
          <w:tcPr>
            <w:tcW w:type="dxa" w:w="2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cGAS-STING pathway</w:t>
            </w:r>
          </w:p>
        </w:tc>
        <w:tc>
          <w:tcPr>
            <w:tcW w:type="dxa" w:w="29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Reduces innate immune visibility</w:t>
            </w:r>
          </w:p>
        </w:tc>
        <w:tc>
          <w:tcPr>
            <w:tcW w:type="dxa" w:w="16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Established in NK-induced dormancy</w:t>
            </w:r>
          </w:p>
        </w:tc>
      </w:tr>
      <w:tr>
        <w:tc>
          <w:tcPr>
            <w:tcW w:type="dxa" w:w="22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ULBP downregulation</w:t>
            </w:r>
          </w:p>
        </w:tc>
        <w:tc>
          <w:tcPr>
            <w:tcW w:type="dxa" w:w="22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NK NKG2D (activating)</w:t>
            </w:r>
          </w:p>
        </w:tc>
        <w:tc>
          <w:tcPr>
            <w:tcW w:type="dxa" w:w="29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Removes activating ligand</w:t>
            </w:r>
          </w:p>
        </w:tc>
        <w:tc>
          <w:tcPr>
            <w:tcW w:type="dxa" w:w="16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Established</w:t>
            </w:r>
          </w:p>
        </w:tc>
      </w:tr>
      <w:tr>
        <w:tc>
          <w:tcPr>
            <w:tcW w:type="dxa" w:w="2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Spatial dispersion</w:t>
            </w:r>
          </w:p>
        </w:tc>
        <w:tc>
          <w:tcPr>
            <w:tcW w:type="dxa" w:w="2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w:t>
            </w:r>
          </w:p>
        </w:tc>
        <w:tc>
          <w:tcPr>
            <w:tcW w:type="dxa" w:w="29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Reduces T-cell encounter probability</w:t>
            </w:r>
          </w:p>
        </w:tc>
        <w:tc>
          <w:tcPr>
            <w:tcW w:type="dxa" w:w="16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Modeling argument</w:t>
            </w:r>
          </w:p>
        </w:tc>
      </w:tr>
    </w:tbl>
    <w:p>
      <w:pPr>
        <w:pStyle w:val="Heading1"/>
        <w:spacing w:after="160" w:before="320"/>
      </w:pPr>
      <w:r>
        <w:t xml:space="preserve">Discussion</w:t>
      </w:r>
    </w:p>
    <w:p>
      <w:pPr>
        <w:spacing w:after="200" w:line="360"/>
        <w:jc w:val="both"/>
      </w:pPr>
      <w:r>
        <w:rPr>
          <w:rFonts w:ascii="Times New Roman" w:cs="Times New Roman" w:eastAsia="Times New Roman" w:hAnsi="Times New Roman"/>
          <w:i w:val="false"/>
          <w:iCs w:val="false"/>
          <w:sz w:val="24"/>
          <w:szCs w:val="24"/>
        </w:rPr>
        <w:t xml:space="preserve">The material assembled here extends the central axis of Framework 1.3 (receptor → mTOR → NR2F1 → epigenetic memory → BGR/OXPHOS → cytoplasmic physical state → cell fate) in two directions. First, backward in time, toward the molecular mechanism of the R-point itself and the energetic financing of division, showing that a single kinase (CDK1), formally part of the division “execution” machinery, simultaneously performs a resource-mobilization function. Second, sideways, toward a parallel regulatory module for immune protection (CD200, STING, ULBP) that maintains already-established dormancy through signaling rather than energetic means, and toward the paradoxical role of the immune system itself as an inducer, not only an antagonist, of the dormant state.</w:t>
      </w:r>
    </w:p>
    <w:p>
      <w:pPr>
        <w:spacing w:after="200" w:line="360"/>
        <w:jc w:val="both"/>
      </w:pPr>
      <w:r>
        <w:rPr>
          <w:rFonts w:ascii="Times New Roman" w:cs="Times New Roman" w:eastAsia="Times New Roman" w:hAnsi="Times New Roman"/>
          <w:i w:val="false"/>
          <w:iCs w:val="false"/>
          <w:sz w:val="24"/>
          <w:szCs w:val="24"/>
        </w:rPr>
        <w:t xml:space="preserve">A general principle links all three sections: cell fate at each decision node (R-point, the post-mitotic window, the dormant reserve) is proposed to be determined not by a binary signal but by the interaction of a suppressor/protective mechanism (p27/p16/p21/NR2F1) with actual resource availability, with the suppressor consistently functioning not as an energy source but as a mechanism that lowers the required threshold or prevents an attempt at a process for which resources are insufficient. This principle itself remains a unifying interpretive framework rather than a directly tested claim, and is offered as such.</w:t>
      </w:r>
    </w:p>
    <w:p>
      <w:pPr>
        <w:pStyle w:val="Heading1"/>
        <w:spacing w:after="160" w:before="320"/>
      </w:pPr>
      <w:r>
        <w:t xml:space="preserve">Predictions</w:t>
      </w:r>
    </w:p>
    <w:p>
      <w:pPr>
        <w:spacing w:after="20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The rate of progression through the early-G1 phosphorylation gradient (Rb mono-phosphorylation) should correlate positively with intracellular BGR/glycogen status at cell-cycle entry, independent of mitogen signal strength.</w:t>
      </w:r>
    </w:p>
    <w:p>
      <w:pPr>
        <w:spacing w:after="20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Pharmacological inhibition of glycogen phosphorylase, specifically blocking its CDK1-mediated activation without broadly inhibiting glycolysis, should selectively lengthen S/G2/M without affecting G1 duration.</w:t>
      </w:r>
    </w:p>
    <w:p>
      <w:pPr>
        <w:spacing w:after="20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Daughter cells inheriting an elevated starting level of p21 from a nutrient-stressed mother cell should show a significantly higher probability of protective arrest (rather than cytolysis) under a subsequent acute glucose challenge, compared to daughter cells from mother cells without prior nutrient stress.</w:t>
      </w:r>
    </w:p>
    <w:p>
      <w:pPr>
        <w:spacing w:after="200" w:line="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NR2F1 status and the degree of STING suppression should be measured jointly in the same dormant cells to test whether they constitute a single epigenetic lock or independently regulated programs.</w:t>
      </w:r>
    </w:p>
    <w:p>
      <w:pPr>
        <w:spacing w:after="200" w:line="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As a long-term, exploratory hypothesis rather than a near-term testable claim: dormant cells with high CD200 masking and low ULBP expression might show a different rate of cytoplasmic reorganization toward a denser, gel-like state compared to recently divided cells, potentially assessable by single-cell elastography. No data currently link CD200 status, cytoplasmic density, and elastographic measurements, and this prediction should be treated as speculative and long-range rather than an near-term experimental target.</w:t>
      </w:r>
    </w:p>
    <w:p>
      <w:pPr>
        <w:pStyle w:val="Heading1"/>
        <w:spacing w:after="160" w:before="320"/>
      </w:pPr>
      <w:r>
        <w:t xml:space="preserve">Limitations</w:t>
      </w:r>
    </w:p>
    <w:p>
      <w:pPr>
        <w:spacing w:after="200" w:line="360"/>
        <w:jc w:val="both"/>
      </w:pPr>
      <w:r>
        <w:rPr>
          <w:rFonts w:ascii="Times New Roman" w:cs="Times New Roman" w:eastAsia="Times New Roman" w:hAnsi="Times New Roman"/>
          <w:i w:val="false"/>
          <w:iCs w:val="false"/>
          <w:sz w:val="24"/>
          <w:szCs w:val="24"/>
        </w:rPr>
        <w:t xml:space="preserve">This article is a conceptual synthesis integrating findings from separate experimental systems (yeast carbohydrate metabolism, mammalian cell-cycle reporters, murine dormancy models, and daughter-cell fate-tracking studies) rather than a single coherent dataset. Several central claims of this synthesis — the depletion state of daughter-cell glycogen, the liquid-cytoplasm-to-cytolysis pathway in the post-mitotic window, and any shared regulatory relationship between NR2F1 and CD200/STING — are explicitly proposed or hypothetical extensions and are flagged as such in the text. Prediction 5 in particular rests on no currently available supporting data and is included as a long-range direction rather than a near-term testable claim.</w:t>
      </w:r>
    </w:p>
    <w:p>
      <w:pPr>
        <w:pStyle w:val="Heading1"/>
        <w:spacing w:after="160" w:before="320"/>
      </w:pPr>
      <w:r>
        <w:t xml:space="preserve">References</w:t>
      </w:r>
    </w:p>
    <w:p>
      <w:pPr>
        <w:spacing w:after="200" w:line="360"/>
        <w:jc w:val="both"/>
      </w:pPr>
      <w:r>
        <w:rPr>
          <w:rFonts w:ascii="Times New Roman" w:cs="Times New Roman" w:eastAsia="Times New Roman" w:hAnsi="Times New Roman"/>
          <w:i w:val="false"/>
          <w:iCs w:val="false"/>
          <w:sz w:val="24"/>
          <w:szCs w:val="24"/>
        </w:rPr>
        <w:t xml:space="preserve">1. Adam-Artigues A, Valencia Salazar LE, Aguirre-Ghiso JA. Immune evasion by dormant disseminated cancer cells: a Fermi paradox? Cancer Cell. 2024;42(1):13–15. doi:10.1016/j.ccell.2023.12.017.</w:t>
      </w:r>
    </w:p>
    <w:p>
      <w:pPr>
        <w:spacing w:after="200" w:line="360"/>
        <w:jc w:val="both"/>
      </w:pPr>
      <w:r>
        <w:rPr>
          <w:rFonts w:ascii="Times New Roman" w:cs="Times New Roman" w:eastAsia="Times New Roman" w:hAnsi="Times New Roman"/>
          <w:i w:val="false"/>
          <w:iCs w:val="false"/>
          <w:sz w:val="24"/>
          <w:szCs w:val="24"/>
        </w:rPr>
        <w:t xml:space="preserve">2. Goddard ET, Linde MH, Srivastava S, Klug G, Shabaneh TB, Iannone S, Grzelak CA, Marsh S, Riggio AI, Shor RE, Linde IL, Guerrero M, Veatch JR, Snyder AG, Welm AL, Riddell SR, Ghajar CM. Immune evasion of dormant disseminated tumor cells is due to their scarcity and can be overcome by T cell immunotherapies. Cancer Cell. 2024;42(1):119–134.e12. doi:10.1016/j.ccell.2023.12.011.</w:t>
      </w:r>
    </w:p>
    <w:p>
      <w:pPr>
        <w:spacing w:after="200" w:line="360"/>
        <w:jc w:val="both"/>
      </w:pPr>
      <w:r>
        <w:rPr>
          <w:rFonts w:ascii="Times New Roman" w:cs="Times New Roman" w:eastAsia="Times New Roman" w:hAnsi="Times New Roman"/>
          <w:i w:val="false"/>
          <w:iCs w:val="false"/>
          <w:sz w:val="24"/>
          <w:szCs w:val="24"/>
        </w:rPr>
        <w:t xml:space="preserve">3. Immune Niche Formation Reveals Mechanisms of Tumor Dormancy and Targeting Opportunities. 2025. PMC12889818.</w:t>
      </w:r>
    </w:p>
    <w:p>
      <w:pPr>
        <w:spacing w:after="200" w:line="360"/>
        <w:jc w:val="both"/>
      </w:pPr>
      <w:r>
        <w:rPr>
          <w:rFonts w:ascii="Times New Roman" w:cs="Times New Roman" w:eastAsia="Times New Roman" w:hAnsi="Times New Roman"/>
          <w:i w:val="false"/>
          <w:iCs w:val="false"/>
          <w:sz w:val="24"/>
          <w:szCs w:val="24"/>
        </w:rPr>
        <w:t xml:space="preserve">4. Remodeling the tumor dormancy ecosystem to prevent recurrence and metastasis. Signal Transduct Target Ther. 2025–2026. doi:10.1038/s41392-025-02328-2.</w:t>
      </w:r>
    </w:p>
    <w:p>
      <w:pPr>
        <w:spacing w:after="200" w:line="360"/>
        <w:jc w:val="both"/>
      </w:pPr>
      <w:r>
        <w:rPr>
          <w:rFonts w:ascii="Times New Roman" w:cs="Times New Roman" w:eastAsia="Times New Roman" w:hAnsi="Times New Roman"/>
          <w:i w:val="false"/>
          <w:iCs w:val="false"/>
          <w:sz w:val="24"/>
          <w:szCs w:val="24"/>
        </w:rPr>
        <w:t xml:space="preserve">5. The enigmatic role of tumor dormancy cells in gynecologic cancers. Front Immunol. 2026. doi:10.3389/fimmu.2026.1836770.</w:t>
      </w:r>
    </w:p>
    <w:p>
      <w:pPr>
        <w:spacing w:after="200" w:line="360"/>
        <w:jc w:val="both"/>
      </w:pPr>
      <w:r>
        <w:rPr>
          <w:rFonts w:ascii="Times New Roman" w:cs="Times New Roman" w:eastAsia="Times New Roman" w:hAnsi="Times New Roman"/>
          <w:i w:val="false"/>
          <w:iCs w:val="false"/>
          <w:sz w:val="24"/>
          <w:szCs w:val="24"/>
        </w:rPr>
        <w:t xml:space="preserve">6. Inflammatory cytokines mediate the induction of and awakening from metastatic dormancy. ScienceDirect / bioRxiv. 2024–2025.</w:t>
      </w:r>
    </w:p>
    <w:p>
      <w:pPr>
        <w:spacing w:after="200" w:line="360"/>
        <w:jc w:val="both"/>
      </w:pPr>
      <w:r>
        <w:rPr>
          <w:rFonts w:ascii="Times New Roman" w:cs="Times New Roman" w:eastAsia="Times New Roman" w:hAnsi="Times New Roman"/>
          <w:i w:val="false"/>
          <w:iCs w:val="false"/>
          <w:sz w:val="24"/>
          <w:szCs w:val="24"/>
        </w:rPr>
        <w:t xml:space="preserve">7. A Cdk4/6-dependent phosphorylation gradient regulates the early to late G1 phase transition. PMC8290049.</w:t>
      </w:r>
    </w:p>
    <w:p>
      <w:pPr>
        <w:spacing w:after="200" w:line="360"/>
        <w:jc w:val="both"/>
      </w:pPr>
      <w:r>
        <w:rPr>
          <w:rFonts w:ascii="Times New Roman" w:cs="Times New Roman" w:eastAsia="Times New Roman" w:hAnsi="Times New Roman"/>
          <w:i w:val="false"/>
          <w:iCs w:val="false"/>
          <w:sz w:val="24"/>
          <w:szCs w:val="24"/>
        </w:rPr>
        <w:t xml:space="preserve">8. Cyclin D/CDK4/6 activity controls G1 length in mammalian cells. PMC5757913.</w:t>
      </w:r>
    </w:p>
    <w:p>
      <w:pPr>
        <w:spacing w:after="200" w:line="360"/>
        <w:jc w:val="both"/>
      </w:pPr>
      <w:r>
        <w:rPr>
          <w:rFonts w:ascii="Times New Roman" w:cs="Times New Roman" w:eastAsia="Times New Roman" w:hAnsi="Times New Roman"/>
          <w:i w:val="false"/>
          <w:iCs w:val="false"/>
          <w:sz w:val="24"/>
          <w:szCs w:val="24"/>
        </w:rPr>
        <w:t xml:space="preserve">9. Cyclin E/CDK2: DNA Replication, Replication Stress and Genomic Instability. Front Cell Dev Biol. 2021. doi:10.3389/fcell.2021.774845.</w:t>
      </w:r>
    </w:p>
    <w:p>
      <w:pPr>
        <w:spacing w:after="200" w:line="360"/>
        <w:jc w:val="both"/>
      </w:pPr>
      <w:r>
        <w:rPr>
          <w:rFonts w:ascii="Times New Roman" w:cs="Times New Roman" w:eastAsia="Times New Roman" w:hAnsi="Times New Roman"/>
          <w:i w:val="false"/>
          <w:iCs w:val="false"/>
          <w:sz w:val="24"/>
          <w:szCs w:val="24"/>
        </w:rPr>
        <w:t xml:space="preserve">10. Loss of CDK4/6 activity in S/G2 phase leads to cell cycle reversal. Nature. PMC10338338.</w:t>
      </w:r>
    </w:p>
    <w:p>
      <w:pPr>
        <w:spacing w:after="200" w:line="360"/>
        <w:jc w:val="both"/>
      </w:pPr>
      <w:r>
        <w:rPr>
          <w:rFonts w:ascii="Times New Roman" w:cs="Times New Roman" w:eastAsia="Times New Roman" w:hAnsi="Times New Roman"/>
          <w:i w:val="false"/>
          <w:iCs w:val="false"/>
          <w:sz w:val="24"/>
          <w:szCs w:val="24"/>
        </w:rPr>
        <w:t xml:space="preserve">11. G2 Phase and Control of Entry into Mitosis. Molecular Biology of the Cell, NCBI Bookshelf NBK26856.</w:t>
      </w:r>
    </w:p>
    <w:p>
      <w:pPr>
        <w:spacing w:after="200" w:line="360"/>
        <w:jc w:val="both"/>
      </w:pPr>
      <w:r>
        <w:rPr>
          <w:rFonts w:ascii="Times New Roman" w:cs="Times New Roman" w:eastAsia="Times New Roman" w:hAnsi="Times New Roman"/>
          <w:i w:val="false"/>
          <w:iCs w:val="false"/>
          <w:sz w:val="24"/>
          <w:szCs w:val="24"/>
        </w:rPr>
        <w:t xml:space="preserve">12. Carbohydrate storage metabolism and the cell cycle: Cdk1-dependent activation of glycogen phosphorylase Gph1 and trehalase Nth1. Summarized in Cell Cycle Phase — ScienceDirect Topics, citing Skotheim laboratory and Futcher laboratory findings (2016).</w:t>
      </w:r>
    </w:p>
    <w:p>
      <w:pPr>
        <w:spacing w:after="200" w:line="360"/>
        <w:jc w:val="both"/>
      </w:pPr>
      <w:r>
        <w:rPr>
          <w:rFonts w:ascii="Times New Roman" w:cs="Times New Roman" w:eastAsia="Times New Roman" w:hAnsi="Times New Roman"/>
          <w:i w:val="false"/>
          <w:iCs w:val="false"/>
          <w:sz w:val="24"/>
          <w:szCs w:val="24"/>
        </w:rPr>
        <w:t xml:space="preserve">13. Phosphorylation of CDC25C by AMP-activated protein kinase mediates a metabolic checkpoint during cell-cycle G2/M-phase transition. PMC5892595.</w:t>
      </w:r>
    </w:p>
    <w:p>
      <w:pPr>
        <w:spacing w:after="200" w:line="360"/>
        <w:jc w:val="both"/>
      </w:pPr>
      <w:r>
        <w:rPr>
          <w:rFonts w:ascii="Times New Roman" w:cs="Times New Roman" w:eastAsia="Times New Roman" w:hAnsi="Times New Roman"/>
          <w:i w:val="false"/>
          <w:iCs w:val="false"/>
          <w:sz w:val="24"/>
          <w:szCs w:val="24"/>
        </w:rPr>
        <w:t xml:space="preserve">14. Daughter cell fate choice instructed preemptively by mother cells facing nutrient limitation. PMC10359942.</w:t>
      </w:r>
    </w:p>
    <w:p>
      <w:r>
        <w:br w:type="page"/>
      </w:r>
    </w:p>
    <w:p>
      <w:pPr>
        <w:spacing w:after="400"/>
        <w:jc w:val="center"/>
      </w:pPr>
      <w:r>
        <w:rPr>
          <w:rFonts w:ascii="Times New Roman" w:cs="Times New Roman" w:eastAsia="Times New Roman" w:hAnsi="Times New Roman"/>
          <w:b/>
          <w:bCs/>
          <w:sz w:val="26"/>
          <w:szCs w:val="26"/>
        </w:rPr>
        <w:t xml:space="preserve">Framework 1.3, Article 3: Cell Death Under Hypoglycemia and Glycogen Depletion: Cell State as a Determinant of the Death Pathway</w:t>
      </w:r>
    </w:p>
    <w:p>
      <w:pPr>
        <w:spacing w:after="60"/>
        <w:jc w:val="center"/>
      </w:pPr>
      <w:r>
        <w:rPr>
          <w:rFonts w:ascii="Times New Roman" w:cs="Times New Roman" w:eastAsia="Times New Roman" w:hAnsi="Times New Roman"/>
          <w:sz w:val="24"/>
          <w:szCs w:val="24"/>
        </w:rPr>
        <w:t xml:space="preserve">Yuri Dmitrochenko, MD</w:t>
      </w:r>
    </w:p>
    <w:p>
      <w:pPr>
        <w:spacing w:after="500"/>
        <w:jc w:val="center"/>
      </w:pPr>
      <w:r>
        <w:rPr>
          <w:rFonts w:ascii="Times New Roman" w:cs="Times New Roman" w:eastAsia="Times New Roman" w:hAnsi="Times New Roman"/>
          <w:i/>
          <w:iCs/>
          <w:sz w:val="22"/>
          <w:szCs w:val="22"/>
        </w:rPr>
        <w:t xml:space="preserve">Independent researcher, Israel</w:t>
      </w:r>
    </w:p>
    <w:p>
      <w:pPr>
        <w:pStyle w:val="Heading1"/>
        <w:spacing w:after="160" w:before="320"/>
      </w:pPr>
      <w:r>
        <w:t xml:space="preserve">Introduction</w:t>
      </w:r>
    </w:p>
    <w:p>
      <w:pPr>
        <w:spacing w:after="200" w:line="360"/>
        <w:jc w:val="both"/>
      </w:pPr>
      <w:r>
        <w:rPr>
          <w:rFonts w:ascii="Times New Roman" w:cs="Times New Roman" w:eastAsia="Times New Roman" w:hAnsi="Times New Roman"/>
          <w:i w:val="false"/>
          <w:iCs w:val="false"/>
          <w:sz w:val="24"/>
          <w:szCs w:val="24"/>
        </w:rPr>
        <w:t xml:space="preserve">Under energy deprivation, a cell does not follow a single, universal path to death. This work proposes that the outcome of energetic collapse should be understood as a function of the physical — gel-like or liquid — state of the cytoplasm at the moment reserves are exhausted, rather than as a function of stimulus strength alone. Central thesis: a cell that has just exited division, with a liquid, loosely structured cytoplasm, dies by catastrophic cytolysis; a differentiated or dormant cell with a dense, gel-like, heavily cross-linked cytoplasm cannot physically terminate in membrane rupture — instead it proceeds through localized, limited proteolytic breakdown and apoptosis.</w:t>
      </w:r>
    </w:p>
    <w:p>
      <w:pPr>
        <w:pStyle w:val="Heading1"/>
        <w:spacing w:after="160" w:before="320"/>
      </w:pPr>
      <w:r>
        <w:t xml:space="preserve">1. The General Sequence of Energy Depletion</w:t>
      </w:r>
    </w:p>
    <w:p>
      <w:pPr>
        <w:spacing w:after="200" w:line="360"/>
        <w:jc w:val="both"/>
      </w:pPr>
      <w:r>
        <w:rPr>
          <w:rFonts w:ascii="Times New Roman" w:cs="Times New Roman" w:eastAsia="Times New Roman" w:hAnsi="Times New Roman"/>
          <w:i w:val="false"/>
          <w:iCs w:val="false"/>
          <w:sz w:val="24"/>
          <w:szCs w:val="24"/>
        </w:rPr>
        <w:t xml:space="preserve">Depletion of cellular resources follows a fixed sequence of substrates: glycogen (the rapid, mobilizable reserve) is consumed first, and only upon its exhaustion does catabolism of structurally embedded glycans — membrane and matrix glycoproteins and glycolipids — begin. This is supported by data on inflammasome activation in dendritic cells, where the early phase of the response is fueled predominantly by glycogen breakdown, with free glucose utilization occurring only later (1).</w:t>
      </w:r>
    </w:p>
    <w:p>
      <w:pPr>
        <w:pStyle w:val="Heading1"/>
        <w:spacing w:after="160" w:before="320"/>
      </w:pPr>
      <w:r>
        <w:t xml:space="preserve">2. Two Physical States of the Cytoplasm — Two Different Outcomes</w:t>
      </w:r>
    </w:p>
    <w:p>
      <w:pPr>
        <w:pStyle w:val="Heading2"/>
        <w:spacing w:after="120" w:before="240"/>
      </w:pPr>
      <w:r>
        <w:t xml:space="preserve">2.1. Liquid Cytoplasm — Cytolysis Is Possible and Inevitable</w:t>
      </w:r>
    </w:p>
    <w:p>
      <w:pPr>
        <w:spacing w:after="200" w:line="360"/>
        <w:jc w:val="both"/>
      </w:pPr>
      <w:r>
        <w:rPr>
          <w:rFonts w:ascii="Times New Roman" w:cs="Times New Roman" w:eastAsia="Times New Roman" w:hAnsi="Times New Roman"/>
          <w:i w:val="false"/>
          <w:iCs w:val="false"/>
          <w:sz w:val="24"/>
          <w:szCs w:val="24"/>
        </w:rPr>
        <w:t xml:space="preserve">A cell that has just completed mitosis has a minimally cross-linked cytoskeleton and a highly hydrated, loosely structured cytoplasm — a state required for completion of cytokinesis. Upon failure of the Na+/K+-ATPase, sodium, followed by water, enters the cell unimpeded. Because the internal polymer network (the actin cytoskeleton) is sparse in this state, it cannot mechanically resist the rising osmotic pressure, and the cell proceeds through rapid swelling and membrane rupture (oncosis/cytolysis) (2, 3).</w:t>
      </w:r>
    </w:p>
    <w:p>
      <w:pPr>
        <w:pStyle w:val="Heading2"/>
        <w:spacing w:after="120" w:before="240"/>
      </w:pPr>
      <w:r>
        <w:t xml:space="preserve">2.2. Dense (Gel-like) Cytoplasm — Membrane Rupture Is Mechanically Disfavored</w:t>
      </w:r>
    </w:p>
    <w:p>
      <w:pPr>
        <w:spacing w:after="200" w:line="360"/>
        <w:jc w:val="both"/>
      </w:pPr>
      <w:r>
        <w:rPr>
          <w:rFonts w:ascii="Times New Roman" w:cs="Times New Roman" w:eastAsia="Times New Roman" w:hAnsi="Times New Roman"/>
          <w:i w:val="false"/>
          <w:iCs w:val="false"/>
          <w:sz w:val="24"/>
          <w:szCs w:val="24"/>
        </w:rPr>
        <w:t xml:space="preserve">An important refinement is required here, one that was previously stated too loosely. Poroelastic theory of cell volume shows that under osmotic stress, the overwhelming share of mechanical energy is absorbed not by the membrane but by the cross-linked cytoskeletal network itself — the elastic energy stored in the cytoskeleton exceeds that of the membrane by orders of magnitude (4, 5). Differentiated and aging cells are characterized by increased density and cross-linking of the cytoskeletal network (primarily F-actin), which reduces network pore size, slows intracellular fluid diffusion, and increases overall stiffness (4).</w:t>
      </w:r>
    </w:p>
    <w:p>
      <w:pPr>
        <w:spacing w:after="200" w:line="360"/>
        <w:jc w:val="both"/>
      </w:pPr>
      <w:r>
        <w:rPr>
          <w:rFonts w:ascii="Times New Roman" w:cs="Times New Roman" w:eastAsia="Times New Roman" w:hAnsi="Times New Roman"/>
          <w:i w:val="false"/>
          <w:iCs w:val="false"/>
          <w:sz w:val="24"/>
          <w:szCs w:val="24"/>
        </w:rPr>
        <w:t xml:space="preserve">From this follows a principal conclusion: in a cell with a sufficiently dense, gel-like, heavily cross-linked cytoplasm, a global catastrophic rupture of the plasma membrane of the oncotic/cytolytic type is strongly disfavored, and may be precluded outright under some conditions — the elastic network mechanically constrains cell volume under osmotically unfavorable conditions, resisting the stretching of the membrane to the point of rupture. Direct experimental support: disruption of the spectrin-actin cytoskeleton in erythrocytes sharply increases their swelling, bringing cell behavior closer to that of a perfect osmometer (6) — indicating that it is the cytoskeletal network, rather than the membrane itself, that ordinarily restrains swelling. Where this network remains intact and dense, this restraining effect persists, and the membrane is far less likely to reach the point of rupture by the same route as in a liquid cytoplasm.</w:t>
      </w:r>
    </w:p>
    <w:p>
      <w:pPr>
        <w:spacing w:after="200" w:line="360"/>
        <w:jc w:val="both"/>
      </w:pPr>
      <w:r>
        <w:rPr>
          <w:rFonts w:ascii="Times New Roman" w:cs="Times New Roman" w:eastAsia="Times New Roman" w:hAnsi="Times New Roman"/>
          <w:i w:val="false"/>
          <w:iCs w:val="false"/>
          <w:sz w:val="24"/>
          <w:szCs w:val="24"/>
        </w:rPr>
        <w:t xml:space="preserve">This mechanical account must be reconciled with a clear counterexample: ischemic necrosis of mature, terminally differentiated neurons is a well-documented, predominantly necrotic (not apoptotic) mode of death, despite neurons possessing a dense, heavily cross-linked cytoskeleton. We propose that this is not a violation of the model but a demonstration of a distinct, bypass route to rupture: as detailed in Section 5, hypoglycemic and ischemic neuronal death is substantially mediated by glutamate-driven excitotoxicity and NMDA receptor-gated calcium overload, a mechanism that acts largely independently of the Na+/K+-ATPase failure route addressed in Sections 2–3. Massive calcium influx activates calpains and phospholipases that directly degrade the cortical cytoskeleton, thereby removing the mechanical constraint this model attributes to a dense gel state before osmotic swelling proceeds. On this view, the neuron's cytoskeletal density protects against ATPase-failure-driven cytolysis but not against a calcium-mediated route that first dismantles the protective network and only then permits rupture. This reconciliation is itself a testable claim (see Prediction 6) and is presented as such, not as an established fact.</w:t>
      </w:r>
    </w:p>
    <w:p>
      <w:pPr>
        <w:pStyle w:val="Heading1"/>
        <w:spacing w:after="160" w:before="320"/>
      </w:pPr>
      <w:r>
        <w:t xml:space="preserve">3. What Happens in Dense Cytoplasm Instead of Rupture</w:t>
      </w:r>
    </w:p>
    <w:p>
      <w:pPr>
        <w:spacing w:after="200" w:line="360"/>
        <w:jc w:val="both"/>
      </w:pPr>
      <w:r>
        <w:rPr>
          <w:rFonts w:ascii="Times New Roman" w:cs="Times New Roman" w:eastAsia="Times New Roman" w:hAnsi="Times New Roman"/>
          <w:i w:val="false"/>
          <w:iCs w:val="false"/>
          <w:sz w:val="24"/>
          <w:szCs w:val="24"/>
        </w:rPr>
        <w:t xml:space="preserve">Because global osmotic rupture is mechanically blocked, the fate of a cell with dense cytoplasm under energetic collapse unfolds along a different, localized route.</w:t>
      </w:r>
    </w:p>
    <w:p>
      <w:pPr>
        <w:pStyle w:val="Heading2"/>
        <w:spacing w:after="120" w:before="240"/>
      </w:pPr>
      <w:r>
        <w:t xml:space="preserve">3.1. Synaeresis and Lysosomal Protease as Executor</w:t>
      </w:r>
    </w:p>
    <w:p>
      <w:pPr>
        <w:spacing w:after="200" w:line="360"/>
        <w:jc w:val="both"/>
      </w:pPr>
      <w:r>
        <w:rPr>
          <w:rFonts w:ascii="Times New Roman" w:cs="Times New Roman" w:eastAsia="Times New Roman" w:hAnsi="Times New Roman"/>
          <w:i w:val="false"/>
          <w:iCs w:val="false"/>
          <w:sz w:val="24"/>
          <w:szCs w:val="24"/>
        </w:rPr>
        <w:t xml:space="preserve">Decline in BGR impairs remodeling and induces synaeresis — condensation and local contraction of the cytoplasmic gel. Independent of ionic imbalance, cellular stress triggers lysosomal membrane permeabilization (LMP) — release of cathepsins B, D, L and other hydrolases into the cytosol (7). Cathepsin B cleaves proteins essential for cell survival, creating localized foci of proteolysis. Massive proton release from damaged lysosomes further acidifies the cytosol, enhancing cathepsin activity (8).</w:t>
      </w:r>
    </w:p>
    <w:p>
      <w:pPr>
        <w:spacing w:after="200" w:line="360"/>
        <w:jc w:val="both"/>
      </w:pPr>
      <w:r>
        <w:rPr>
          <w:rFonts w:ascii="Times New Roman" w:cs="Times New Roman" w:eastAsia="Times New Roman" w:hAnsi="Times New Roman"/>
          <w:i w:val="false"/>
          <w:iCs w:val="false"/>
          <w:sz w:val="24"/>
          <w:szCs w:val="24"/>
        </w:rPr>
        <w:t xml:space="preserve">It is this proteolytic activity, rather than overall osmotic pressure, that produces what has previously been described as vacuole-like regions: localized degradation of proteins and glycoproteins within a zone that is mechanically constrained by the surrounding dense network from becoming a global rupture. The literature explicitly distinguishes two outcomes of LMP: limited, partial LMP acts as an amplifying event, proceeding via Bid cleavage to the mitochondrial pathway and apoptosis (9); massive LMP (LMR) produces uncontrolled necrosis — but specifically in cells whose cytoskeletal network is already sparse and weakened, lacking mechanical restraint.</w:t>
      </w:r>
    </w:p>
    <w:p>
      <w:pPr>
        <w:pStyle w:val="Heading2"/>
        <w:spacing w:after="120" w:before="240"/>
      </w:pPr>
      <w:r>
        <w:t xml:space="preserve">3.2. Apoptosis as the Predominant Available Route to Completion</w:t>
      </w:r>
    </w:p>
    <w:p>
      <w:pPr>
        <w:spacing w:after="200" w:line="360"/>
        <w:jc w:val="both"/>
      </w:pPr>
      <w:r>
        <w:rPr>
          <w:rFonts w:ascii="Times New Roman" w:cs="Times New Roman" w:eastAsia="Times New Roman" w:hAnsi="Times New Roman"/>
          <w:i w:val="false"/>
          <w:iCs w:val="false"/>
          <w:sz w:val="24"/>
          <w:szCs w:val="24"/>
        </w:rPr>
        <w:t xml:space="preserve">In a cell with dense cytoplasm, where catastrophic rupture is unavailable, localized proteolytic foci and fragmentary degradation naturally lead to the classical apoptotic program — chromatin condensation, formation of apoptotic bodies, and phagocytosis by macrophages. The mitochondria of such cells, predominantly OXPHOS-oriented, can switch to fatty acid and amino acid oxidation upon glycogen depletion, providing the ATP required for the energetically costly assembly of the apoptosome (Apaf-1/caspase-9) (10, 11). Notably, cardiomyocytes under combined serum and glucose deprivation successfully execute the mitochondrial apoptotic pathway (12).</w:t>
      </w:r>
    </w:p>
    <w:p>
      <w:pPr>
        <w:spacing w:after="80" w:before="200"/>
        <w:jc w:val="center"/>
      </w:pPr>
      <w:r>
        <w:drawing>
          <wp:inline distT="0" distB="0" distL="0" distR="0">
            <wp:extent cx="4000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956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 Two branches of energetic collapse determined by cytoplasmic state.</w:t>
      </w:r>
    </w:p>
    <w:p>
      <w:pPr>
        <w:pStyle w:val="Heading1"/>
        <w:spacing w:after="160" w:before="320"/>
      </w:pPr>
      <w:r>
        <w:t xml:space="preserve">4. Phases and Molecular Platforms</w:t>
      </w:r>
    </w:p>
    <w:p>
      <w:pPr>
        <w:pStyle w:val="Heading2"/>
        <w:spacing w:after="120" w:before="240"/>
      </w:pPr>
      <w:r>
        <w:t xml:space="preserve">4.1. DISC (Death-Inducing Signaling Complex)</w:t>
      </w:r>
    </w:p>
    <w:p>
      <w:pPr>
        <w:spacing w:after="200" w:line="360"/>
        <w:jc w:val="both"/>
      </w:pPr>
      <w:r>
        <w:rPr>
          <w:rFonts w:ascii="Times New Roman" w:cs="Times New Roman" w:eastAsia="Times New Roman" w:hAnsi="Times New Roman"/>
          <w:i w:val="false"/>
          <w:iCs w:val="false"/>
          <w:sz w:val="24"/>
          <w:szCs w:val="24"/>
        </w:rPr>
        <w:t xml:space="preserve">Forms at death receptors — Fas (CD95), DR4/DR5, and partly TNFR1 — through recruitment of FADD and procaspase-8. Caspase-8 activation via DISC is considerably less dependent on total cellular ATP than the apoptosome, and is modulated by glycosylation: O-GlcNAc on caspase-8 itself blocks its activation, and glycogen depletion (which reduces UDP-GlcNAc availability) can remove this brake (13).</w:t>
      </w:r>
    </w:p>
    <w:p>
      <w:pPr>
        <w:pStyle w:val="Heading2"/>
        <w:spacing w:after="120" w:before="240"/>
      </w:pPr>
      <w:r>
        <w:t xml:space="preserve">4.2. The Inflammasome “Speck”</w:t>
      </w:r>
    </w:p>
    <w:p>
      <w:pPr>
        <w:spacing w:after="200" w:line="360"/>
        <w:jc w:val="both"/>
      </w:pPr>
      <w:r>
        <w:rPr>
          <w:rFonts w:ascii="Times New Roman" w:cs="Times New Roman" w:eastAsia="Times New Roman" w:hAnsi="Times New Roman"/>
          <w:i w:val="false"/>
          <w:iCs w:val="false"/>
          <w:sz w:val="24"/>
          <w:szCs w:val="24"/>
        </w:rPr>
        <w:t xml:space="preserve">NLRP3, NLRC4, AIM2, and Pyrin are cytosolic sensors that transiently associate with organelle membranes during assembly (14). Active caspase-1 cleaves gasdermin-D, whose N-terminal fragment forms pores in the plasma membrane — pyroptosis. Unlike apoptosis, this pathway is strictly dependent on glycolysis (lactic acid fermentation) rather than OXPHOS (15), and therefore lacks a mitochondrial fallback route upon BGR depletion. Whether dense cytoplasm can similarly mechanically constrain the spread of gasdermin-mediated pores, localizing them as it localizes osmotic swelling, remains an open question requiring separate testing.</w:t>
      </w:r>
    </w:p>
    <w:p>
      <w:pPr>
        <w:pStyle w:val="Heading2"/>
        <w:spacing w:after="120" w:before="240"/>
      </w:pPr>
      <w:r>
        <w:t xml:space="preserve">4.3. TNFR1 — The Survival/Apoptosis/Awakening Junction</w:t>
      </w:r>
    </w:p>
    <w:p>
      <w:pPr>
        <w:spacing w:after="200" w:line="360"/>
        <w:jc w:val="both"/>
      </w:pPr>
      <w:r>
        <w:rPr>
          <w:rFonts w:ascii="Times New Roman" w:cs="Times New Roman" w:eastAsia="Times New Roman" w:hAnsi="Times New Roman"/>
          <w:i w:val="false"/>
          <w:iCs w:val="false"/>
          <w:sz w:val="24"/>
          <w:szCs w:val="24"/>
        </w:rPr>
        <w:t xml:space="preserve">Complex I (TRADD/RIP1/TRAF2 → NF-κB/survival) and Complex II (TRADD/RIP1/FADD/caspase-8 → apoptosis) form sequentially; the outcome depends on whether NF-κB-induced FLIP blocks caspase-8 in time (16). Separately, TNF-α secreted by senescent bone marrow stroma has been shown to awaken dormant estrogen-receptor-positive breast cancer cells, driving them toward a mesenchymal phenotype with an impaired capacity to re-enter dormancy (17).</w:t>
      </w:r>
    </w:p>
    <w:p>
      <w:pPr>
        <w:pStyle w:val="Heading1"/>
        <w:spacing w:after="160" w:before="320"/>
      </w:pPr>
      <w:r>
        <w:t xml:space="preserve">5. A Special Case: Hypoglycemia in Neurons</w:t>
      </w:r>
    </w:p>
    <w:p>
      <w:pPr>
        <w:spacing w:after="200" w:line="360"/>
        <w:jc w:val="both"/>
      </w:pPr>
      <w:r>
        <w:rPr>
          <w:rFonts w:ascii="Times New Roman" w:cs="Times New Roman" w:eastAsia="Times New Roman" w:hAnsi="Times New Roman"/>
          <w:i w:val="false"/>
          <w:iCs w:val="false"/>
          <w:sz w:val="24"/>
          <w:szCs w:val="24"/>
        </w:rPr>
        <w:t xml:space="preserve">The neuron lacks a significant glycogen reserve of its own, relying on astrocytic glycogen, which astrocytes convert to lactate and deliver via monocarboxylate transporters (18). Hypoglycemic neuronal death is mediated not directly by energy deficit but by glutamate excitotoxicity: astrocytes release excess glutamate via the system x_c− transporter, and neurons themselves become 2–3 times more sensitive to its damaging effects under glucose deprivation (19).</w:t>
      </w:r>
    </w:p>
    <w:p>
      <w:pPr>
        <w:pStyle w:val="Heading1"/>
        <w:spacing w:after="160" w:before="320"/>
      </w:pPr>
      <w:r>
        <w:t xml:space="preserve">Conclusion</w:t>
      </w:r>
    </w:p>
    <w:p>
      <w:pPr>
        <w:spacing w:after="200" w:line="360"/>
        <w:jc w:val="both"/>
      </w:pPr>
      <w:r>
        <w:rPr>
          <w:rFonts w:ascii="Times New Roman" w:cs="Times New Roman" w:eastAsia="Times New Roman" w:hAnsi="Times New Roman"/>
          <w:i w:val="false"/>
          <w:iCs w:val="false"/>
          <w:sz w:val="24"/>
          <w:szCs w:val="24"/>
        </w:rPr>
        <w:t xml:space="preserve">The physical state of the cytoplasm is not a secondary detail but a mechanical factor that strongly constrains the repertoire of death pathways available to a cell. In the liquid, loosely cross-linked cytoplasm of a recently divided cell, catastrophic osmotic membrane rupture is an available and effectively inevitable outcome of ion pump failure. In the dense, heavily cross-linked cytoplasm of a differentiated or dormant cell, the same ionic imbalance cannot mechanically produce global rupture — the elastic energy of the cytoskeletal network absorbs the osmotic pressure, and the cell's fate instead unfolds through localized lysosomal proteolysis, synaeresis, and apoptosis. This shifts the emphasis of the entire model: it is not primarily the molecular pathway (presence or absence of caspases) that determines the form of death, but the mechanical state of the cellular gel that determines which molecular pathways are physically realizable at all. The claim of a complete impossibility of membrane rupture in dense cytoplasm remains a working hypothesis, logically derived from poroelastic theory of cell volume, but not directly tested under conditions of energy starvation, and requires dedicated experimental confirmation.</w:t>
      </w:r>
    </w:p>
    <w:p>
      <w:pPr>
        <w:pStyle w:val="Heading1"/>
        <w:spacing w:after="160" w:before="320"/>
      </w:pPr>
      <w:r>
        <w:t xml:space="preserve">Predictions</w:t>
      </w:r>
    </w:p>
    <w:p>
      <w:pPr>
        <w:spacing w:after="200" w:line="360"/>
        <w:jc w:val="both"/>
      </w:pPr>
      <w:r>
        <w:rPr>
          <w:rFonts w:ascii="Times New Roman" w:cs="Times New Roman" w:eastAsia="Times New Roman" w:hAnsi="Times New Roman"/>
          <w:i w:val="false"/>
          <w:iCs w:val="false"/>
          <w:sz w:val="24"/>
          <w:szCs w:val="24"/>
        </w:rPr>
        <w:t xml:space="preserve">If this hypothesis is correct, the following should be experimentally observable:</w:t>
      </w:r>
    </w:p>
    <w:p>
      <w:pPr>
        <w:spacing w:after="200" w:line="360"/>
        <w:jc w:val="both"/>
      </w:pPr>
      <w:r>
        <w:rPr>
          <w:rFonts w:ascii="Times New Roman" w:cs="Times New Roman" w:eastAsia="Times New Roman" w:hAnsi="Times New Roman"/>
          <w:i w:val="false"/>
          <w:iCs w:val="false"/>
          <w:sz w:val="24"/>
          <w:szCs w:val="24"/>
        </w:rPr>
        <w:t xml:space="preserve">1. Cytoskeletal density should predict death mode independent of stimulus. Cells experimentally sensitized to a denser, more cross-linked cytoskeleton (e.g., via jasplakinolide-induced actin stabilization) should shift toward apoptosis/localized proteolysis under energy deprivation, while cells with pharmacologically disrupted actin (cytochalasin) should shift toward oncotic rupture under the identical stimulus — even holding ATP depletion kinetics constant.</w:t>
      </w:r>
    </w:p>
    <w:p>
      <w:pPr>
        <w:spacing w:after="200" w:line="360"/>
        <w:jc w:val="both"/>
      </w:pPr>
      <w:r>
        <w:rPr>
          <w:rFonts w:ascii="Times New Roman" w:cs="Times New Roman" w:eastAsia="Times New Roman" w:hAnsi="Times New Roman"/>
          <w:i w:val="false"/>
          <w:iCs w:val="false"/>
          <w:sz w:val="24"/>
          <w:szCs w:val="24"/>
        </w:rPr>
        <w:t xml:space="preserve">2. Recently divided cells should be disproportionately cytolytic. Time-lapse imaging synchronized to mitotic exit, followed by acute glucose/glycogen deprivation at defined intervals post-division, should reveal a window immediately after cytokinesis in which cytolysis dominates, narrowing as the cytoskeleton re-matures over subsequent hours.</w:t>
      </w:r>
    </w:p>
    <w:p>
      <w:pPr>
        <w:spacing w:after="200" w:line="360"/>
        <w:jc w:val="both"/>
      </w:pPr>
      <w:r>
        <w:rPr>
          <w:rFonts w:ascii="Times New Roman" w:cs="Times New Roman" w:eastAsia="Times New Roman" w:hAnsi="Times New Roman"/>
          <w:i w:val="false"/>
          <w:iCs w:val="false"/>
          <w:sz w:val="24"/>
          <w:szCs w:val="24"/>
        </w:rPr>
        <w:t xml:space="preserve">3. LMP character should differ by cytoplasmic density. Cells with dense cytoplasm should show predominantly partial/limited LMP (Bid cleavage, apoptosome engagement) under glycogen depletion, whereas cells with sparse cytoskeleton subjected to the identical depletion protocol should show massive LMP/LMR with necrotic morphology — measurable via cathepsin release kinetics and cytosolic acidification rate.</w:t>
      </w:r>
    </w:p>
    <w:p>
      <w:pPr>
        <w:spacing w:after="200" w:line="360"/>
        <w:jc w:val="both"/>
      </w:pPr>
      <w:r>
        <w:rPr>
          <w:rFonts w:ascii="Times New Roman" w:cs="Times New Roman" w:eastAsia="Times New Roman" w:hAnsi="Times New Roman"/>
          <w:i w:val="false"/>
          <w:iCs w:val="false"/>
          <w:sz w:val="24"/>
          <w:szCs w:val="24"/>
        </w:rPr>
        <w:t xml:space="preserve">4. O-GlcNAc on caspase-8 should track glycogen status, not just glucose. Cells depleted of glycogen but supplied with exogenous glucose (bypassing glycogenolysis) should show different caspase-8 O-GlcNAc kinetics than cells depleted of both — a dissociation that would confirm glycogen-specific, rather than merely glucose-specific, control of the DISC activation threshold.</w:t>
      </w:r>
    </w:p>
    <w:p>
      <w:pPr>
        <w:spacing w:after="200" w:line="360"/>
        <w:jc w:val="both"/>
      </w:pPr>
      <w:r>
        <w:rPr>
          <w:rFonts w:ascii="Times New Roman" w:cs="Times New Roman" w:eastAsia="Times New Roman" w:hAnsi="Times New Roman"/>
          <w:i w:val="false"/>
          <w:iCs w:val="false"/>
          <w:sz w:val="24"/>
          <w:szCs w:val="24"/>
        </w:rPr>
        <w:t xml:space="preserve">5. Gasdermin pore spread should be spatially constrained in dense cytoplasm. Super-resolution imaging of GSDMD-NT pore formation during pyroptotic induction should show pore clustering and containment in cells with dense cortical actin, versus diffuse membrane-wide pore distribution in cells with disrupted cytoskeleton — this extends the model into an untested domain and should be read as a proposed generalization, not a confirmed consequence, of the mechanical constraint described for cytolysis.</w:t>
      </w:r>
    </w:p>
    <w:p>
      <w:pPr>
        <w:spacing w:after="200" w:line="360"/>
        <w:jc w:val="both"/>
      </w:pPr>
      <w:r>
        <w:rPr>
          <w:rFonts w:ascii="Times New Roman" w:cs="Times New Roman" w:eastAsia="Times New Roman" w:hAnsi="Times New Roman"/>
          <w:i w:val="false"/>
          <w:iCs w:val="false"/>
          <w:sz w:val="24"/>
          <w:szCs w:val="24"/>
        </w:rPr>
        <w:t xml:space="preserve">6. Calpain/cytoskeletal degradation should precede, and be required for, osmotic rupture in ischemic neurons. If dense cytoplasm ordinarily precludes cytolytic rupture, then in ischemic or hypoglycemic neuronal death, calpain-mediated proteolysis of the cortical actin/spectrin network should be detectable prior to plasma membrane rupture, and pharmacological calpain inhibition should shift the mode of neuronal death away from necrosis and toward apoptosis or stable arrest, even under equivalent NMDA receptor-mediated calcium loads.</w:t>
      </w:r>
    </w:p>
    <w:p>
      <w:pPr>
        <w:pStyle w:val="Heading1"/>
        <w:spacing w:after="160" w:before="320"/>
      </w:pPr>
      <w:r>
        <w:t xml:space="preserve">References</w:t>
      </w:r>
    </w:p>
    <w:p>
      <w:pPr>
        <w:spacing w:after="200" w:line="360"/>
        <w:jc w:val="both"/>
      </w:pPr>
      <w:r>
        <w:rPr>
          <w:rFonts w:ascii="Times New Roman" w:cs="Times New Roman" w:eastAsia="Times New Roman" w:hAnsi="Times New Roman"/>
          <w:i w:val="false"/>
          <w:iCs w:val="false"/>
          <w:sz w:val="24"/>
          <w:szCs w:val="24"/>
        </w:rPr>
        <w:t xml:space="preserve">1. Moon JS, Nakahira K, Chung KP, DeNicola GM, Koo MJ, Pabon MA, Rooney KT, Yoon JH, Ryter SW, Stout-Delgado H, Choi AM. The NLRP3 inflammasome: metabolic regulation and contribution to inflammaging. Front Immunol. 2020;11:583. doi:10.3389/fimmu.2020.00583.</w:t>
      </w:r>
    </w:p>
    <w:p>
      <w:pPr>
        <w:spacing w:after="200" w:line="360"/>
        <w:jc w:val="both"/>
      </w:pPr>
      <w:r>
        <w:rPr>
          <w:rFonts w:ascii="Times New Roman" w:cs="Times New Roman" w:eastAsia="Times New Roman" w:hAnsi="Times New Roman"/>
          <w:i w:val="false"/>
          <w:iCs w:val="false"/>
          <w:sz w:val="24"/>
          <w:szCs w:val="24"/>
        </w:rPr>
        <w:t xml:space="preserve">2. Weerasinghe P, Buja LM. Oncosis: an important non-apoptotic mode of cell death. Exp Mol Pathol. 2012;93(3):302–308.</w:t>
      </w:r>
    </w:p>
    <w:p>
      <w:pPr>
        <w:spacing w:after="200" w:line="360"/>
        <w:jc w:val="both"/>
      </w:pPr>
      <w:r>
        <w:rPr>
          <w:rFonts w:ascii="Times New Roman" w:cs="Times New Roman" w:eastAsia="Times New Roman" w:hAnsi="Times New Roman"/>
          <w:i w:val="false"/>
          <w:iCs w:val="false"/>
          <w:sz w:val="24"/>
          <w:szCs w:val="24"/>
        </w:rPr>
        <w:t xml:space="preserve">3. Liang C, et al. Unravelling oncosis: morphological and molecular insights into a unique cell death pathway. Front Immunol. 2024. doi:10.3389/fimmu.2024.1450998.</w:t>
      </w:r>
    </w:p>
    <w:p>
      <w:pPr>
        <w:spacing w:after="200" w:line="360"/>
        <w:jc w:val="both"/>
      </w:pPr>
      <w:r>
        <w:rPr>
          <w:rFonts w:ascii="Times New Roman" w:cs="Times New Roman" w:eastAsia="Times New Roman" w:hAnsi="Times New Roman"/>
          <w:i w:val="false"/>
          <w:iCs w:val="false"/>
          <w:sz w:val="24"/>
          <w:szCs w:val="24"/>
        </w:rPr>
        <w:t xml:space="preserve">4. Zhou EH, et al. Poroelastic osmoregulation of living cell volume. PMC8649806.</w:t>
      </w:r>
    </w:p>
    <w:p>
      <w:pPr>
        <w:spacing w:after="200" w:line="360"/>
        <w:jc w:val="both"/>
      </w:pPr>
      <w:r>
        <w:rPr>
          <w:rFonts w:ascii="Times New Roman" w:cs="Times New Roman" w:eastAsia="Times New Roman" w:hAnsi="Times New Roman"/>
          <w:i w:val="false"/>
          <w:iCs w:val="false"/>
          <w:sz w:val="24"/>
          <w:szCs w:val="24"/>
        </w:rPr>
        <w:t xml:space="preserve">5. Sachs F, Sivaselvan MV. Cytoskeletal contribution to cell stiffness due to osmotic swelling; extending the Donnan equilibrium. PubMed 30243441.</w:t>
      </w:r>
    </w:p>
    <w:p>
      <w:pPr>
        <w:spacing w:after="200" w:line="360"/>
        <w:jc w:val="both"/>
      </w:pPr>
      <w:r>
        <w:rPr>
          <w:rFonts w:ascii="Times New Roman" w:cs="Times New Roman" w:eastAsia="Times New Roman" w:hAnsi="Times New Roman"/>
          <w:i w:val="false"/>
          <w:iCs w:val="false"/>
          <w:sz w:val="24"/>
          <w:szCs w:val="24"/>
        </w:rPr>
        <w:t xml:space="preserve">6. Trinh NT, Privé A, Maillé E, Noel J, Brochiero E. Role of cytoskeleton network in anisosmotic volume changes of intact and permeabilized A549 cells. Am J Physiol Cell Physiol. 2015. PMID: 26171817.</w:t>
      </w:r>
    </w:p>
    <w:p>
      <w:pPr>
        <w:spacing w:after="200" w:line="360"/>
        <w:jc w:val="both"/>
      </w:pPr>
      <w:r>
        <w:rPr>
          <w:rFonts w:ascii="Times New Roman" w:cs="Times New Roman" w:eastAsia="Times New Roman" w:hAnsi="Times New Roman"/>
          <w:i w:val="false"/>
          <w:iCs w:val="false"/>
          <w:sz w:val="24"/>
          <w:szCs w:val="24"/>
        </w:rPr>
        <w:t xml:space="preserve">7. Zhu Q, Guo H, Fu D, et al. MLKL polymerization-induced lysosomal membrane permeabilization promotes necroptosis. Cell Death Differ. 2023;30:2207–2219. doi:10.1038/s41418-023-01237-7.</w:t>
      </w:r>
    </w:p>
    <w:p>
      <w:pPr>
        <w:spacing w:after="200" w:line="360"/>
        <w:jc w:val="both"/>
      </w:pPr>
      <w:r>
        <w:rPr>
          <w:rFonts w:ascii="Times New Roman" w:cs="Times New Roman" w:eastAsia="Times New Roman" w:hAnsi="Times New Roman"/>
          <w:i w:val="false"/>
          <w:iCs w:val="false"/>
          <w:sz w:val="24"/>
          <w:szCs w:val="24"/>
        </w:rPr>
        <w:t xml:space="preserve">8. Wang F, Gomez-Sintes R, Boya P. Lysosomal membrane permeabilization (LMP) and rupture (LMR) are distinct for cell death. Front Cell Death. 2025;4:1669955. doi:10.3389/fceld.2025.1669955.</w:t>
      </w:r>
    </w:p>
    <w:p>
      <w:pPr>
        <w:spacing w:after="200" w:line="360"/>
        <w:jc w:val="both"/>
      </w:pPr>
      <w:r>
        <w:rPr>
          <w:rFonts w:ascii="Times New Roman" w:cs="Times New Roman" w:eastAsia="Times New Roman" w:hAnsi="Times New Roman"/>
          <w:i w:val="false"/>
          <w:iCs w:val="false"/>
          <w:sz w:val="24"/>
          <w:szCs w:val="24"/>
        </w:rPr>
        <w:t xml:space="preserve">9. Boya P, et al. Lysosomal membrane permeabilization and cathepsin release is a Bax/Bak-dependent, amplifying event of apoptosis in fibroblasts and monocytes. Cell Death Differ. 2010.</w:t>
      </w:r>
    </w:p>
    <w:p>
      <w:pPr>
        <w:spacing w:after="200" w:line="360"/>
        <w:jc w:val="both"/>
      </w:pPr>
      <w:r>
        <w:rPr>
          <w:rFonts w:ascii="Times New Roman" w:cs="Times New Roman" w:eastAsia="Times New Roman" w:hAnsi="Times New Roman"/>
          <w:i w:val="false"/>
          <w:iCs w:val="false"/>
          <w:sz w:val="24"/>
          <w:szCs w:val="24"/>
        </w:rPr>
        <w:t xml:space="preserve">10. Li P, et al. Cytochrome c and dATP-dependent formation of Apaf-1/caspase-9 complex initiates an apoptotic protease cascade. Cell. 1997;91(4):479–489.</w:t>
      </w:r>
    </w:p>
    <w:p>
      <w:pPr>
        <w:spacing w:after="200" w:line="360"/>
        <w:jc w:val="both"/>
      </w:pPr>
      <w:r>
        <w:rPr>
          <w:rFonts w:ascii="Times New Roman" w:cs="Times New Roman" w:eastAsia="Times New Roman" w:hAnsi="Times New Roman"/>
          <w:i w:val="false"/>
          <w:iCs w:val="false"/>
          <w:sz w:val="24"/>
          <w:szCs w:val="24"/>
        </w:rPr>
        <w:t xml:space="preserve">11. Chiarugi A. “Simple but not simpler”: toward a unified picture of energy requirements in cell death. FASEB J. 2005;19(13):1783–1785.</w:t>
      </w:r>
    </w:p>
    <w:p>
      <w:pPr>
        <w:spacing w:after="200" w:line="360"/>
        <w:jc w:val="both"/>
      </w:pPr>
      <w:r>
        <w:rPr>
          <w:rFonts w:ascii="Times New Roman" w:cs="Times New Roman" w:eastAsia="Times New Roman" w:hAnsi="Times New Roman"/>
          <w:i w:val="false"/>
          <w:iCs w:val="false"/>
          <w:sz w:val="24"/>
          <w:szCs w:val="24"/>
        </w:rPr>
        <w:t xml:space="preserve">12. Bialik S, Cryns VL, Drincic A, Miyata S, Wollowick AL, Srinivasan A, Kitsis RN. The mitochondrial apoptotic pathway is activated by serum and glucose deprivation in cardiac myocytes. Circ Res. 1999;85(5):403–414. doi:10.1161/01.res.85.5.403.</w:t>
      </w:r>
    </w:p>
    <w:p>
      <w:pPr>
        <w:spacing w:after="200" w:line="360"/>
        <w:jc w:val="both"/>
      </w:pPr>
      <w:r>
        <w:rPr>
          <w:rFonts w:ascii="Times New Roman" w:cs="Times New Roman" w:eastAsia="Times New Roman" w:hAnsi="Times New Roman"/>
          <w:i w:val="false"/>
          <w:iCs w:val="false"/>
          <w:sz w:val="24"/>
          <w:szCs w:val="24"/>
        </w:rPr>
        <w:t xml:space="preserve">13. Chuh KN, Batt AR, Zaro BW, Darabedian N, Marotta NP, Brennan CK, Amirhekmat A, Pratt MR. The new chemical reporter 6-alkynyl-6-deoxy-GlcNAc reveals O-GlcNAc modification of the apoptotic caspases that can block the cleavage/activation of caspase-8. J Am Chem Soc. 2017;139(23):7872–7885. doi:10.1021/jacs.7b02213.</w:t>
      </w:r>
    </w:p>
    <w:p>
      <w:pPr>
        <w:spacing w:after="200" w:line="360"/>
        <w:jc w:val="both"/>
      </w:pPr>
      <w:r>
        <w:rPr>
          <w:rFonts w:ascii="Times New Roman" w:cs="Times New Roman" w:eastAsia="Times New Roman" w:hAnsi="Times New Roman"/>
          <w:i w:val="false"/>
          <w:iCs w:val="false"/>
          <w:sz w:val="24"/>
          <w:szCs w:val="24"/>
        </w:rPr>
        <w:t xml:space="preserve">14. Barry R, John SW, Liccardi G, et al. How location and cellular signaling combine to activate the NLRP3 inflammasome. Open Biol. 2022;12:220011. PMC9622870.</w:t>
      </w:r>
    </w:p>
    <w:p>
      <w:pPr>
        <w:spacing w:after="200" w:line="360"/>
        <w:jc w:val="both"/>
      </w:pPr>
      <w:r>
        <w:rPr>
          <w:rFonts w:ascii="Times New Roman" w:cs="Times New Roman" w:eastAsia="Times New Roman" w:hAnsi="Times New Roman"/>
          <w:i w:val="false"/>
          <w:iCs w:val="false"/>
          <w:sz w:val="24"/>
          <w:szCs w:val="24"/>
        </w:rPr>
        <w:t xml:space="preserve">15. Moon JS, Hisata S, Park MA, DeNicola GM, Ryter SW, Nakahira K, Choi AMK. mTORC1-induced HK1-dependent glycolysis regulates NLRP3 inflammasome activation. Cell Rep. 2015;12:102–115. PMC8039150.</w:t>
      </w:r>
    </w:p>
    <w:p>
      <w:pPr>
        <w:spacing w:after="200" w:line="360"/>
        <w:jc w:val="both"/>
      </w:pPr>
      <w:r>
        <w:rPr>
          <w:rFonts w:ascii="Times New Roman" w:cs="Times New Roman" w:eastAsia="Times New Roman" w:hAnsi="Times New Roman"/>
          <w:i w:val="false"/>
          <w:iCs w:val="false"/>
          <w:sz w:val="24"/>
          <w:szCs w:val="24"/>
        </w:rPr>
        <w:t xml:space="preserve">16. Micheau O, Tschopp J. Induction of TNF receptor I-mediated apoptosis via two sequential signaling complexes. Cell. 2003;114(2):181–190. doi:10.1016/S0092-8674(03)00521-X.</w:t>
      </w:r>
    </w:p>
    <w:p>
      <w:pPr>
        <w:spacing w:after="200" w:line="360"/>
        <w:jc w:val="both"/>
      </w:pPr>
      <w:r>
        <w:rPr>
          <w:rFonts w:ascii="Times New Roman" w:cs="Times New Roman" w:eastAsia="Times New Roman" w:hAnsi="Times New Roman"/>
          <w:i w:val="false"/>
          <w:iCs w:val="false"/>
          <w:sz w:val="24"/>
          <w:szCs w:val="24"/>
        </w:rPr>
        <w:t xml:space="preserve">17. Tivari S, Lu H, Dasgupta T, De Lorenzo MS, Wieder R. Reawakening of dormant estrogen-dependent human breast cancer cells by bone marrow stroma secretory senescence. Cell Commun Signal. 2018;16:48. doi:10.1186/s12964-018-0259-5.</w:t>
      </w:r>
    </w:p>
    <w:p>
      <w:pPr>
        <w:spacing w:after="200" w:line="360"/>
        <w:jc w:val="both"/>
      </w:pPr>
      <w:r>
        <w:rPr>
          <w:rFonts w:ascii="Times New Roman" w:cs="Times New Roman" w:eastAsia="Times New Roman" w:hAnsi="Times New Roman"/>
          <w:i w:val="false"/>
          <w:iCs w:val="false"/>
          <w:sz w:val="24"/>
          <w:szCs w:val="24"/>
        </w:rPr>
        <w:t xml:space="preserve">18. Going the Extra (Synaptic) Mile: Excitotoxicity as the Road Toward Neurodegenerative Diseases. Front Cell Neurosci. 2020. doi:10.3389/fncel.2020.00090.</w:t>
      </w:r>
    </w:p>
    <w:p>
      <w:pPr>
        <w:spacing w:after="200" w:line="360"/>
        <w:jc w:val="both"/>
      </w:pPr>
      <w:r>
        <w:rPr>
          <w:rFonts w:ascii="Times New Roman" w:cs="Times New Roman" w:eastAsia="Times New Roman" w:hAnsi="Times New Roman"/>
          <w:i w:val="false"/>
          <w:iCs w:val="false"/>
          <w:sz w:val="24"/>
          <w:szCs w:val="24"/>
        </w:rPr>
        <w:t xml:space="preserve">19. A Cytotoxic, Co-operative Interaction Between Energy Deprivation and Glutamate Release From System xc− Mediates Aglycemic Neuronal Cell Death. PMC4641554.</w:t>
      </w:r>
    </w:p>
    <w:p>
      <w:r>
        <w:br w:type="page"/>
      </w:r>
    </w:p>
    <w:p>
      <w:pPr>
        <w:spacing w:after="400"/>
        <w:jc w:val="center"/>
      </w:pPr>
      <w:r>
        <w:rPr>
          <w:rFonts w:ascii="Times New Roman" w:cs="Times New Roman" w:eastAsia="Times New Roman" w:hAnsi="Times New Roman"/>
          <w:b/>
          <w:bCs/>
          <w:sz w:val="27"/>
          <w:szCs w:val="27"/>
        </w:rPr>
        <w:t xml:space="preserve">Framework 1.3, Article 4: Active Maintenance of Stable Cell States — Differentiation as the First Biological Demonstration</w:t>
      </w:r>
    </w:p>
    <w:p>
      <w:pPr>
        <w:spacing w:after="60"/>
        <w:jc w:val="center"/>
      </w:pPr>
      <w:r>
        <w:rPr>
          <w:rFonts w:ascii="Times New Roman" w:cs="Times New Roman" w:eastAsia="Times New Roman" w:hAnsi="Times New Roman"/>
          <w:sz w:val="24"/>
          <w:szCs w:val="24"/>
        </w:rPr>
        <w:t xml:space="preserve">Yuri Dmitrochenko, MD</w:t>
      </w:r>
    </w:p>
    <w:p>
      <w:pPr>
        <w:spacing w:after="500"/>
        <w:jc w:val="center"/>
      </w:pPr>
      <w:r>
        <w:rPr>
          <w:rFonts w:ascii="Times New Roman" w:cs="Times New Roman" w:eastAsia="Times New Roman" w:hAnsi="Times New Roman"/>
          <w:i/>
          <w:iCs/>
          <w:sz w:val="22"/>
          <w:szCs w:val="22"/>
        </w:rPr>
        <w:t xml:space="preserve">Independent researcher, Israel</w:t>
      </w:r>
    </w:p>
    <w:p>
      <w:pPr>
        <w:pStyle w:val="Heading1"/>
        <w:spacing w:after="160" w:before="320"/>
      </w:pPr>
      <w:r>
        <w:t xml:space="preserve">Abstract</w:t>
      </w:r>
    </w:p>
    <w:p>
      <w:pPr>
        <w:spacing w:after="200" w:line="360"/>
        <w:jc w:val="both"/>
      </w:pPr>
      <w:r>
        <w:rPr>
          <w:rFonts w:ascii="Times New Roman" w:cs="Times New Roman" w:eastAsia="Times New Roman" w:hAnsi="Times New Roman"/>
          <w:i w:val="false"/>
          <w:iCs w:val="false"/>
          <w:sz w:val="24"/>
          <w:szCs w:val="24"/>
        </w:rPr>
        <w:t xml:space="preserve">A general principle is proposed as a candidate foundational axis for this Framework: no stable state of a living cell is a passive equilibrium. Proliferation, dormancy, and differentiation each require continuous, active expenditure of regulatory and energetic work to remain stable; none persists by default once the initiating signal is withdrawn. This article develops that principle through the specific case of the differentiated state, examined at two coupled levels: a receptor-level layer (Notch/Wnt antagonism together with dedicated transcriptional repressors that actively block reversion) and an energetic layer (a cytoplasmic shift from glycolysis toward oxidative phosphorylation that is enforced, not merely permitted, and that appears to leave a separate, nuclear-localized glycolytic contour largely intact). We review evidence for active gatekeeping of the differentiated state, evaluate the dual reported role of NR2F1/COUP-TFI as both a dormancy lock and a differentiation marker as an unresolved bridge problem between two frameworks, and propose that BGR and OXPHOS are best understood as a division of labor — one supporting nuclear maintenance, the other supporting specialized energetic function — rather than as competing or mutually exclusive energy sources. If the general principle holds, differentiation is not a special case requiring its own separate explanation, but the third of three parallel demonstrations — alongside proliferation and dormancy — of the same underlying architecture of continuous maintenance. Four testable predictions are offered.</w:t>
      </w:r>
    </w:p>
    <w:p>
      <w:pPr>
        <w:pStyle w:val="Heading1"/>
        <w:spacing w:after="160" w:before="320"/>
      </w:pPr>
      <w:r>
        <w:t xml:space="preserve">The General Principle: No Stable State Is Free</w:t>
      </w:r>
    </w:p>
    <w:p>
      <w:pPr>
        <w:spacing w:after="200" w:line="360"/>
        <w:jc w:val="both"/>
      </w:pPr>
      <w:r>
        <w:rPr>
          <w:rFonts w:ascii="Times New Roman" w:cs="Times New Roman" w:eastAsia="Times New Roman" w:hAnsi="Times New Roman"/>
          <w:i w:val="false"/>
          <w:iCs w:val="false"/>
          <w:sz w:val="24"/>
          <w:szCs w:val="24"/>
        </w:rPr>
        <w:t xml:space="preserve">The idea that living systems persist only through continuous work, rather than by settling into equilibrium, is not new; it traces back at least to Schrödinger's characterization of life as a process that feeds on “negative entropy,” and to Prigogine's account of dissipative structures maintained far from thermodynamic equilibrium by a continuous throughput of energy. What is proposed here is a specific, testable instantiation of that general idea at the level of individual cell-fate states, within the architecture already developed in this series.</w:t>
      </w:r>
    </w:p>
    <w:p>
      <w:pPr>
        <w:spacing w:after="200" w:line="360"/>
        <w:jc w:val="both"/>
      </w:pPr>
      <w:r>
        <w:rPr>
          <w:rFonts w:ascii="Times New Roman" w:cs="Times New Roman" w:eastAsia="Times New Roman" w:hAnsi="Times New Roman"/>
          <w:i w:val="false"/>
          <w:iCs w:val="false"/>
          <w:sz w:val="24"/>
          <w:szCs w:val="24"/>
        </w:rPr>
        <w:t xml:space="preserve">Framed at the level of the whole cell rather than any single pathway, the pattern is this: proliferation is not a default behavior that occurs whenever nothing prevents it, but a state actively driven and continuously re-committed to by the CDK4/6–Rb–E2F feedback loop described elsewhere in this series, with the restriction point marking the moment this maintenance becomes self-sustaining. Dormancy is not passive inactivity, but a state actively locked in place by NR2F1-driven chromatin repression (p27/p16), which must itself be continuously maintained against reactivating signals (TNFR1, inflammatory cytokines) and against the energetic cost of its own upkeep. Differentiation, the subject of the present article, is shown below to fit the same pattern: actively guarded by dedicated repressors (Lola and its functional analogs) against dedifferentiation, and actively financed by an enforced, non-default metabolic program (suppression of HK2/LDHA/PKM2, induction of PGC-1α/ERRγ) whose failure is lethal rather than merely reversive.</w:t>
      </w:r>
    </w:p>
    <w:p>
      <w:pPr>
        <w:spacing w:after="200" w:line="360"/>
        <w:jc w:val="both"/>
      </w:pPr>
      <w:r>
        <w:rPr>
          <w:rFonts w:ascii="Times New Roman" w:cs="Times New Roman" w:eastAsia="Times New Roman" w:hAnsi="Times New Roman"/>
          <w:i w:val="false"/>
          <w:iCs w:val="false"/>
          <w:sz w:val="24"/>
          <w:szCs w:val="24"/>
        </w:rPr>
        <w:t xml:space="preserve">If this pattern holds generally, it reframes the relationship between the three states discussed in this Framework: they are not one default state (proliferation) and two special deviations from it (dormancy, differentiation), but three parallel, structurally analogous instances of the same principle — stability purchased continuously, not inherited passively. The remainder of this article develops the differentiation case in molecular detail, as the first full biological demonstration of this principle within the present series; prior articles on the R-point and on NR2F1-driven dormancy are proposed, retrospectively, as the other two demonstrations, though a formal side-by-side comparison of all three maintenance costs has not yet been attempted and is identified here as a direction for future synthesis.</w:t>
      </w:r>
    </w:p>
    <w:p>
      <w:pPr>
        <w:pStyle w:val="Heading1"/>
        <w:spacing w:after="160" w:before="320"/>
      </w:pPr>
      <w:r>
        <w:t xml:space="preserve">Definitions: Three Cell States</w:t>
      </w:r>
    </w:p>
    <w:p>
      <w:pPr>
        <w:spacing w:after="200" w:line="360"/>
        <w:jc w:val="both"/>
      </w:pPr>
      <w:r>
        <w:rPr>
          <w:rFonts w:ascii="Times New Roman" w:cs="Times New Roman" w:eastAsia="Times New Roman" w:hAnsi="Times New Roman"/>
          <w:i w:val="false"/>
          <w:iCs w:val="false"/>
          <w:sz w:val="24"/>
          <w:szCs w:val="24"/>
        </w:rPr>
        <w:t xml:space="preserve">To avoid ambiguity between “active” as used in prior work in this series and “active maintenance” as used in this article, three cell states are defined explicitly and used consistently throughout:</w:t>
      </w:r>
    </w:p>
    <w:p>
      <w:pPr>
        <w:spacing w:after="200" w:line="360"/>
        <w:jc w:val="both"/>
      </w:pPr>
      <w:r>
        <w:rPr>
          <w:rFonts w:ascii="Times New Roman" w:cs="Times New Roman" w:eastAsia="Times New Roman" w:hAnsi="Times New Roman"/>
          <w:b/>
          <w:bCs/>
          <w:sz w:val="24"/>
          <w:szCs w:val="24"/>
        </w:rPr>
        <w:t xml:space="preserve">Active / proliferative state: </w:t>
      </w:r>
      <w:r>
        <w:rPr>
          <w:rFonts w:ascii="Times New Roman" w:cs="Times New Roman" w:eastAsia="Times New Roman" w:hAnsi="Times New Roman"/>
          <w:sz w:val="24"/>
          <w:szCs w:val="24"/>
        </w:rPr>
        <w:t xml:space="preserve">a cycling or cycle-competent cell, relying predominantly on glycolytic (BGR) metabolism in the cytoplasm, capable of re-entering division.</w:t>
      </w:r>
    </w:p>
    <w:p>
      <w:pPr>
        <w:spacing w:after="200" w:line="360"/>
        <w:jc w:val="both"/>
      </w:pPr>
      <w:r>
        <w:rPr>
          <w:rFonts w:ascii="Times New Roman" w:cs="Times New Roman" w:eastAsia="Times New Roman" w:hAnsi="Times New Roman"/>
          <w:b/>
          <w:bCs/>
          <w:sz w:val="24"/>
          <w:szCs w:val="24"/>
        </w:rPr>
        <w:t xml:space="preserve">Dormant state: </w:t>
      </w:r>
      <w:r>
        <w:rPr>
          <w:rFonts w:ascii="Times New Roman" w:cs="Times New Roman" w:eastAsia="Times New Roman" w:hAnsi="Times New Roman"/>
          <w:sz w:val="24"/>
          <w:szCs w:val="24"/>
        </w:rPr>
        <w:t xml:space="preserve">a non-cycling, NR2F1-locked state of low metabolic turnover, as characterized in prior articles in this series (the IGF1R–mTOR–NR2F1 axis).</w:t>
      </w:r>
    </w:p>
    <w:p>
      <w:pPr>
        <w:spacing w:after="200" w:line="360"/>
        <w:jc w:val="both"/>
      </w:pPr>
      <w:r>
        <w:rPr>
          <w:rFonts w:ascii="Times New Roman" w:cs="Times New Roman" w:eastAsia="Times New Roman" w:hAnsi="Times New Roman"/>
          <w:b/>
          <w:bCs/>
          <w:sz w:val="24"/>
          <w:szCs w:val="24"/>
        </w:rPr>
        <w:t xml:space="preserve">Differentiated / functionally active state: </w:t>
      </w:r>
      <w:r>
        <w:rPr>
          <w:rFonts w:ascii="Times New Roman" w:cs="Times New Roman" w:eastAsia="Times New Roman" w:hAnsi="Times New Roman"/>
          <w:sz w:val="24"/>
          <w:szCs w:val="24"/>
        </w:rPr>
        <w:t xml:space="preserve">a non-cycling, lineage-committed state performing specialized tissue function, relying predominantly on OXPHOS in the cytoplasm, and actively defended against reversion to either of the other two states. This is the subject of the present article and should not be conflated with the “active/proliferative” state despite the shared word “active.”</w:t>
      </w:r>
    </w:p>
    <w:p>
      <w:pPr>
        <w:pStyle w:val="Heading1"/>
        <w:spacing w:after="160" w:before="320"/>
      </w:pPr>
      <w:r>
        <w:t xml:space="preserve">Introduction</w:t>
      </w:r>
    </w:p>
    <w:p>
      <w:pPr>
        <w:spacing w:after="200" w:line="360"/>
        <w:jc w:val="both"/>
      </w:pPr>
      <w:r>
        <w:rPr>
          <w:rFonts w:ascii="Times New Roman" w:cs="Times New Roman" w:eastAsia="Times New Roman" w:hAnsi="Times New Roman"/>
          <w:i w:val="false"/>
          <w:iCs w:val="false"/>
          <w:sz w:val="24"/>
          <w:szCs w:val="24"/>
        </w:rPr>
        <w:t xml:space="preserve">The transition of a cell from the active/proliferative state to the differentiated/functionally active state is traditionally described as movement along a “Waddington landscape” into a stable valley — an image implying that the stability of the differentiated state is guaranteed simply by the difficulty of climbing back out. This article treats that image as misleading in a specific, general way: the differentiated state, like the other two states defined above, is proposed to be maintained rather than inherited. Evidence accumulated over the past decades supports this revision on two independent levels. First, the differentiated state appears not to be a passive valley but an actively and continuously guarded transcriptional program. Second, the energetic architecture of this transition is not a replacement of one energy source by another, but a stable division of labor between two parallel circuits: BGR, serving nuclear processes, and OXPHOS, powering the specialized, energy-intensive function of the mature cell.</w:t>
      </w:r>
    </w:p>
    <w:p>
      <w:pPr>
        <w:pStyle w:val="Heading1"/>
        <w:spacing w:after="160" w:before="320"/>
      </w:pPr>
      <w:r>
        <w:t xml:space="preserve">1. Notch and Wnt as Opposing Forces</w:t>
      </w:r>
    </w:p>
    <w:p>
      <w:pPr>
        <w:spacing w:after="200" w:line="360"/>
        <w:jc w:val="both"/>
      </w:pPr>
      <w:r>
        <w:rPr>
          <w:rFonts w:ascii="Times New Roman" w:cs="Times New Roman" w:eastAsia="Times New Roman" w:hAnsi="Times New Roman"/>
          <w:i w:val="false"/>
          <w:iCs w:val="false"/>
          <w:sz w:val="24"/>
          <w:szCs w:val="24"/>
        </w:rPr>
        <w:t xml:space="preserve">Wnt/β-catenin and Notch do not act as independent signals but form a system with a temporally sequenced handoff of dominance from one to the other.</w:t>
      </w:r>
    </w:p>
    <w:p>
      <w:pPr>
        <w:spacing w:after="200" w:line="360"/>
        <w:jc w:val="both"/>
      </w:pPr>
      <w:r>
        <w:rPr>
          <w:rFonts w:ascii="Times New Roman" w:cs="Times New Roman" w:eastAsia="Times New Roman" w:hAnsi="Times New Roman"/>
          <w:i w:val="false"/>
          <w:iCs w:val="false"/>
          <w:sz w:val="24"/>
          <w:szCs w:val="24"/>
        </w:rPr>
        <w:t xml:space="preserve">A well-characterized example is the muscle satellite cell. In quiescent/proliferating satellite cells, Notch signaling is high and Wnt is low. The switch occurs via the enzyme GSK3β, which mediates a shift from high-Notch/low-Wnt to low-Notch/high-Wnt, triggering muscle differentiation. Experimental suppression of Notch in regenerating muscle causes premature activation of the Wnt pathway and premature differentiation (1).</w:t>
      </w:r>
    </w:p>
    <w:p>
      <w:pPr>
        <w:spacing w:after="200" w:line="360"/>
        <w:jc w:val="both"/>
      </w:pPr>
      <w:r>
        <w:rPr>
          <w:rFonts w:ascii="Times New Roman" w:cs="Times New Roman" w:eastAsia="Times New Roman" w:hAnsi="Times New Roman"/>
          <w:i w:val="false"/>
          <w:iCs w:val="false"/>
          <w:sz w:val="24"/>
          <w:szCs w:val="24"/>
        </w:rPr>
        <w:t xml:space="preserve">An important caveat: the direction of the effect is context-dependent. In Drosophila intestinal stem cells, by contrast, Notch activation itself drives differentiation (the ISC → EB transition). In human mesenchymal stem cells, Notch activation promotes osteogenic differentiation by suppressing TWIST1/2. Notch does not carry a universal meaning of “self-renewal signal” — its effect is determined by tissue context and by the partner signal (Wnt, BMP, EGFR) with which it interacts.</w:t>
      </w:r>
    </w:p>
    <w:p>
      <w:pPr>
        <w:pStyle w:val="Heading1"/>
        <w:spacing w:after="160" w:before="320"/>
      </w:pPr>
      <w:r>
        <w:t xml:space="preserve">2. The Differentiated State Requires Active, Continuous Guarding</w:t>
      </w:r>
    </w:p>
    <w:p>
      <w:pPr>
        <w:spacing w:after="200" w:line="360"/>
        <w:jc w:val="both"/>
      </w:pPr>
      <w:r>
        <w:rPr>
          <w:rFonts w:ascii="Times New Roman" w:cs="Times New Roman" w:eastAsia="Times New Roman" w:hAnsi="Times New Roman"/>
          <w:i w:val="false"/>
          <w:iCs w:val="false"/>
          <w:sz w:val="24"/>
          <w:szCs w:val="24"/>
        </w:rPr>
        <w:t xml:space="preserve">The transcription factor Lola, in differentiated postmitotic neurons, actively represses neural stem cell genes and cell-cycle genes (2). In lola mutants, neurons spontaneously dedifferentiate — turning on stem cell genes, resuming division, and forming tumors. Notably, in this model it is the neurons themselves, rather than stem cells or intermediate progenitors, that act as the tumor-initiating cells.</w:t>
      </w:r>
    </w:p>
    <w:p>
      <w:pPr>
        <w:spacing w:after="200" w:line="360"/>
        <w:jc w:val="both"/>
      </w:pPr>
      <w:r>
        <w:rPr>
          <w:rFonts w:ascii="Times New Roman" w:cs="Times New Roman" w:eastAsia="Times New Roman" w:hAnsi="Times New Roman"/>
          <w:i w:val="false"/>
          <w:iCs w:val="false"/>
          <w:sz w:val="24"/>
          <w:szCs w:val="24"/>
        </w:rPr>
        <w:t xml:space="preserve">The differentiated state is not the passive residue of a past signal but a continuously paid-for transcriptional program. A general empirical rule follows: the more deeply a cell is differentiated, the harder it is to reprogram back — the guarding of the state intensifies with differentiation rather than relaxing.</w:t>
      </w:r>
    </w:p>
    <w:p>
      <w:pPr>
        <w:pStyle w:val="Heading1"/>
        <w:spacing w:after="160" w:before="320"/>
      </w:pPr>
      <w:r>
        <w:t xml:space="preserve">3. The Dual Role of NR2F1/COUP-TFI: A Bridge Problem</w:t>
      </w:r>
    </w:p>
    <w:p>
      <w:pPr>
        <w:spacing w:after="200" w:line="360"/>
        <w:jc w:val="both"/>
      </w:pPr>
      <w:r>
        <w:rPr>
          <w:rFonts w:ascii="Times New Roman" w:cs="Times New Roman" w:eastAsia="Times New Roman" w:hAnsi="Times New Roman"/>
          <w:i w:val="false"/>
          <w:iCs w:val="false"/>
          <w:sz w:val="24"/>
          <w:szCs w:val="24"/>
        </w:rPr>
        <w:t xml:space="preserve">NR2F1 (also known as COUP-TFI) functions, in tumor models discussed elsewhere in this series, as the epigenetic lock of dormancy. Independently, data from the B-MYB regulatory network in embryonic stem cells report increased COUP-TF expression as a marker accompanying differentiation upon loss of pluripotency factors (OCT4/SOX2/NANOG) (3). These two roles are not currently reconciled by any direct comparative data and are best treated as a bridge problem rather than as two established, independent facts sitting side by side: it remains unknown whether the cell repurposes the same molecular tool for two structurally distinct tasks (blocking the cell cycle in dormancy, and blocking the pluripotency program in differentiation) because both require a similar type of chromatin repression on different target genes, or whether these are two mechanistically unrelated uses of the same protein. No study to date has directly compared NR2F1 genomic targets between a dormant and a differentiating cell, and this comparison is identified here as the single most direct experiment that could resolve the bridge problem.</w:t>
      </w:r>
    </w:p>
    <w:p>
      <w:pPr>
        <w:pStyle w:val="Heading1"/>
        <w:spacing w:after="160" w:before="320"/>
      </w:pPr>
      <w:r>
        <w:t xml:space="preserve">4. The Energetic Axis of the Transition: A Cytoplasmic Shift Toward OXPHOS</w:t>
      </w:r>
    </w:p>
    <w:p>
      <w:pPr>
        <w:spacing w:after="200" w:line="360"/>
        <w:jc w:val="both"/>
      </w:pPr>
      <w:r>
        <w:rPr>
          <w:rFonts w:ascii="Times New Roman" w:cs="Times New Roman" w:eastAsia="Times New Roman" w:hAnsi="Times New Roman"/>
          <w:i w:val="false"/>
          <w:iCs w:val="false"/>
          <w:sz w:val="24"/>
          <w:szCs w:val="24"/>
        </w:rPr>
        <w:t xml:space="preserve">Multiple independent models of differentiation — neuronal, mesenchymal (osteogenic), cardiac — show a common direction: self-renewing/proliferating cells are predominantly glycolytic, while differentiated cells rely predominantly on mitochondrial oxidative phosphorylation, which yields substantially more ATP per molecule of substrate (4, 6).</w:t>
      </w:r>
    </w:p>
    <w:p>
      <w:pPr>
        <w:spacing w:after="200" w:line="360"/>
        <w:jc w:val="both"/>
      </w:pPr>
      <w:r>
        <w:rPr>
          <w:rFonts w:ascii="Times New Roman" w:cs="Times New Roman" w:eastAsia="Times New Roman" w:hAnsi="Times New Roman"/>
          <w:i w:val="false"/>
          <w:iCs w:val="false"/>
          <w:sz w:val="24"/>
          <w:szCs w:val="24"/>
        </w:rPr>
        <w:t xml:space="preserve">The transition is active, not passive. During neuronal differentiation, a directed dismantling of the old program has been documented: loss of hexokinase-2 (HK2) and lactate dehydrogenase A (LDHA) expression, a splicing shift of pyruvate kinase from PKM2 to PKM1, and a decline in c-MYC and N-MYC protein levels (the transcriptional activators of HK2/LDHA). In parallel, PGC-1α and ERRγ increase, sustaining transcription of the mitochondrial apparatus (5).</w:t>
      </w:r>
    </w:p>
    <w:p>
      <w:pPr>
        <w:spacing w:after="200" w:line="360"/>
        <w:jc w:val="both"/>
      </w:pPr>
      <w:r>
        <w:rPr>
          <w:rFonts w:ascii="Times New Roman" w:cs="Times New Roman" w:eastAsia="Times New Roman" w:hAnsi="Times New Roman"/>
          <w:i w:val="false"/>
          <w:iCs w:val="false"/>
          <w:sz w:val="24"/>
          <w:szCs w:val="24"/>
        </w:rPr>
        <w:t xml:space="preserve">A key finding: experimentally forcing continued HK2/LDHA expression during differentiation does not produce an abnormal but viable cell — it kills the neuron (5). Shutting down the old glycolytic program is a necessary condition for the differentiated cell's survival, not an incidental side effect. This structurally parallels the logic of Lola (active repression, not passive fading) and the logic of p21 in the post-mitotic window described elsewhere in this series (a suppressor preventing a catastrophic attempt by the cell to act beyond its means) — here operating at the level of the metabolic rather than the cell-cycle program.</w:t>
      </w:r>
    </w:p>
    <w:p>
      <w:pPr>
        <w:spacing w:after="200" w:line="360"/>
        <w:jc w:val="both"/>
      </w:pPr>
      <w:r>
        <w:rPr>
          <w:rFonts w:ascii="Times New Roman" w:cs="Times New Roman" w:eastAsia="Times New Roman" w:hAnsi="Times New Roman"/>
          <w:i w:val="false"/>
          <w:iCs w:val="false"/>
          <w:sz w:val="24"/>
          <w:szCs w:val="24"/>
        </w:rPr>
        <w:t xml:space="preserve">An important caveat: this rule is not universal across germ layers. Glycolysis remains active during commitment to ectoderm but is downregulated during transition to mesoderm and endoderm; inhibiting glycolysis blocks neuronal differentiation specifically, but not mesodermal or endodermal differentiation (6).</w:t>
      </w:r>
    </w:p>
    <w:p>
      <w:pPr>
        <w:pStyle w:val="Heading1"/>
        <w:spacing w:after="160" w:before="320"/>
      </w:pPr>
      <w:r>
        <w:t xml:space="preserve">5. BGR and OXPHOS Do Not Compete: A Division of Labor, Not a Replacement</w:t>
      </w:r>
    </w:p>
    <w:p>
      <w:pPr>
        <w:spacing w:after="200" w:line="360"/>
        <w:jc w:val="both"/>
      </w:pPr>
      <w:r>
        <w:rPr>
          <w:rFonts w:ascii="Times New Roman" w:cs="Times New Roman" w:eastAsia="Times New Roman" w:hAnsi="Times New Roman"/>
          <w:i w:val="false"/>
          <w:iCs w:val="false"/>
          <w:sz w:val="24"/>
          <w:szCs w:val="24"/>
        </w:rPr>
        <w:t xml:space="preserve">An important correction to the preceding section is required here: the glycolysis→OXPHOS shift described above concerns the cell's overall cytoplasmic energy balance and does not imply that BGR is displaced from its own, separate functional niche — support of the nucleus.</w:t>
      </w:r>
    </w:p>
    <w:p>
      <w:pPr>
        <w:spacing w:after="200" w:line="360"/>
        <w:jc w:val="both"/>
      </w:pPr>
      <w:r>
        <w:rPr>
          <w:rFonts w:ascii="Times New Roman" w:cs="Times New Roman" w:eastAsia="Times New Roman" w:hAnsi="Times New Roman"/>
          <w:i w:val="false"/>
          <w:iCs w:val="false"/>
          <w:sz w:val="24"/>
          <w:szCs w:val="24"/>
        </w:rPr>
        <w:t xml:space="preserve">The nucleus generates its own local ATP independent of mitochondria. A pathway has been described in which ATP is generated within the nucleus itself via hydrolysis of poly(ADP-ribose) by the enzyme NUDIX5, specifically to support chromatin remodeling and transcriptional reprogramming under stress (7, 8). A complete nucleosome remodeling cycle requires hydrolysis of roughly 1,000 ATP molecules, a demand plausibly met locally rather than by diffusion of ATP from mitochondria.</w:t>
      </w:r>
    </w:p>
    <w:p>
      <w:pPr>
        <w:spacing w:after="200" w:line="360"/>
        <w:jc w:val="both"/>
      </w:pPr>
      <w:r>
        <w:rPr>
          <w:rFonts w:ascii="Times New Roman" w:cs="Times New Roman" w:eastAsia="Times New Roman" w:hAnsi="Times New Roman"/>
          <w:i w:val="false"/>
          <w:iCs w:val="false"/>
          <w:sz w:val="24"/>
          <w:szCs w:val="24"/>
        </w:rPr>
        <w:t xml:space="preserve">Glycolytic enzymes physically relocate to the nucleus upon genomic damage. Hexokinase II, fumarase, and ATP-citrate lyase (ACLY) migrate to the nucleus in response to genotoxic stress (10). Phosphoglycerate kinase 1 (PGK1) in the nucleus acts not only as a local ATP source but as a protein kinase, directly phosphorylating MORC2 and enhancing its DNA-dependent ATPase activity — a glycolytic enzyme built directly into the DNA repair machinery (9). Glycolytic products participate in this process in non-enzymatic ways as well: lactate reduces chromatin compaction, facilitating access of repair complexes to damaged DNA (10).</w:t>
      </w:r>
    </w:p>
    <w:p>
      <w:pPr>
        <w:spacing w:after="200" w:line="360"/>
        <w:jc w:val="both"/>
      </w:pPr>
      <w:r>
        <w:rPr>
          <w:rFonts w:ascii="Times New Roman" w:cs="Times New Roman" w:eastAsia="Times New Roman" w:hAnsi="Times New Roman"/>
          <w:i w:val="false"/>
          <w:iCs w:val="false"/>
          <w:sz w:val="24"/>
          <w:szCs w:val="24"/>
        </w:rPr>
        <w:t xml:space="preserve">Proposed formulation: the functional (differentiated) state of a cell is not a replacement of BGR by OXPHOS, but an addition of OXPHOS on top of a preserved, nucleus-specific BGR contour. The overall cytoplasmic shift toward OXPHOS upon differentiation appears to reflect a change in how the cell's specialized, energy-intensive function is powered, while its nuclear processes — replication, transcription, chromatin remodeling, DNA repair — may remain dependent on a local nuclear glycolytic / ADP-ribose-derived ATP-supporting contour across active, dormant, and differentiated states alike. This formulation is treated as a working hypothesis motivated by the nuclear ATP and glycolytic-enzyme relocation findings above, rather than as a directly demonstrated invariant, since no study to date has measured this nuclear contour across all three cell states in the same system.</w:t>
      </w:r>
    </w:p>
    <w:p>
      <w:pPr>
        <w:pStyle w:val="Heading1"/>
        <w:spacing w:after="160" w:before="320"/>
      </w:pPr>
      <w:r>
        <w:t xml:space="preserve">6. Integration with the Central Axis of the Framework</w:t>
      </w:r>
    </w:p>
    <w:p>
      <w:pPr>
        <w:spacing w:after="200" w:line="360"/>
        <w:jc w:val="both"/>
      </w:pPr>
      <w:r>
        <w:rPr>
          <w:rFonts w:ascii="Times New Roman" w:cs="Times New Roman" w:eastAsia="Times New Roman" w:hAnsi="Times New Roman"/>
          <w:i w:val="false"/>
          <w:iCs w:val="false"/>
          <w:sz w:val="24"/>
          <w:szCs w:val="24"/>
        </w:rPr>
        <w:t xml:space="preserve">A two-layer model of the Active→Differentiated transition emerges: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Layer</w:t>
            </w:r>
          </w:p>
        </w:tc>
        <w:tc>
          <w:tcPr>
            <w:tcW w:type="dxa" w:w="46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Mechanism</w:t>
            </w:r>
          </w:p>
        </w:tc>
        <w:tc>
          <w:tcPr>
            <w:tcW w:type="dxa" w:w="236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Effect</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Receptor layer</w:t>
            </w:r>
          </w:p>
        </w:tc>
        <w:tc>
          <w:tcPr>
            <w:tcW w:type="dxa" w:w="4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Notch/Wnt antagonism → Lola-like guarding of state</w:t>
            </w:r>
          </w:p>
        </w:tc>
        <w:tc>
          <w:tcPr>
            <w:tcW w:type="dxa" w:w="23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Blocks dedifferentiation</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Energetic layer — cytoplasm</w:t>
            </w:r>
          </w:p>
        </w:tc>
        <w:tc>
          <w:tcPr>
            <w:tcW w:type="dxa" w:w="4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HK2/LDHA ↓, PKM2→PKM1, MYC ↓ → PGC-1α/ERRγ ↑</w:t>
            </w:r>
          </w:p>
        </w:tc>
        <w:tc>
          <w:tcPr>
            <w:tcW w:type="dxa" w:w="23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OXPHOS dominance</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Energetic layer — nucleus</w:t>
            </w:r>
          </w:p>
        </w:tc>
        <w:tc>
          <w:tcPr>
            <w:tcW w:type="dxa" w:w="4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BGR contour: NUDIX5/PAR pathway, relocated glycolytic enzymes</w:t>
            </w:r>
          </w:p>
        </w:tc>
        <w:tc>
          <w:tcPr>
            <w:tcW w:type="dxa" w:w="23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Proposed to persist largely unchanged</w:t>
            </w:r>
          </w:p>
        </w:tc>
      </w:tr>
    </w:tbl>
    <w:p>
      <w:pPr>
        <w:spacing w:after="200" w:line="360"/>
        <w:jc w:val="both"/>
      </w:pPr>
      <w:r>
        <w:rPr>
          <w:rFonts w:ascii="Times New Roman" w:cs="Times New Roman" w:eastAsia="Times New Roman" w:hAnsi="Times New Roman"/>
          <w:i w:val="false"/>
          <w:iCs w:val="false"/>
          <w:sz w:val="24"/>
          <w:szCs w:val="24"/>
        </w:rPr>
        <w:t xml:space="preserve">A direct causal chain from Notch/Wnt to MYC to HK2/LDHA has not been specifically traced in the cited studies and remains a hypothesis linking the receptor and energetic layers.</w:t>
      </w:r>
    </w:p>
    <w:p>
      <w:pPr>
        <w:spacing w:after="200" w:line="360"/>
        <w:jc w:val="both"/>
      </w:pPr>
      <w:r>
        <w:rPr>
          <w:rFonts w:ascii="Times New Roman" w:cs="Times New Roman" w:eastAsia="Times New Roman" w:hAnsi="Times New Roman"/>
          <w:i w:val="false"/>
          <w:iCs w:val="false"/>
          <w:sz w:val="24"/>
          <w:szCs w:val="24"/>
        </w:rPr>
        <w:t xml:space="preserve">Read alongside the R-point and NR2F1/dormancy mechanisms developed elsewhere in this series, the three cell states now line up as parallel instances of the general principle stated at the outset: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State</w:t>
            </w:r>
          </w:p>
        </w:tc>
        <w:tc>
          <w:tcPr>
            <w:tcW w:type="dxa" w:w="36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Maintenance mechanism</w:t>
            </w:r>
          </w:p>
        </w:tc>
        <w:tc>
          <w:tcPr>
            <w:tcW w:type="dxa" w:w="396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Cost of withdrawing maintenance</w:t>
            </w:r>
          </w:p>
        </w:tc>
      </w:tr>
      <w:tr>
        <w:tc>
          <w:tcPr>
            <w:tcW w:type="dxa" w:w="1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Proliferation</w:t>
            </w:r>
          </w:p>
        </w:tc>
        <w:tc>
          <w:tcPr>
            <w:tcW w:type="dxa" w:w="3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CDK4/6–Rb–E2F feedback loop (self-sustaining post R-point)</w:t>
            </w:r>
          </w:p>
        </w:tc>
        <w:tc>
          <w:tcPr>
            <w:tcW w:type="dxa" w:w="39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Reversion halts; below R-point, arrest or, per prior work, cytolysis if abrupt</w:t>
            </w:r>
          </w:p>
        </w:tc>
      </w:tr>
      <w:tr>
        <w:tc>
          <w:tcPr>
            <w:tcW w:type="dxa" w:w="18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Dormancy</w:t>
            </w:r>
          </w:p>
        </w:tc>
        <w:tc>
          <w:tcPr>
            <w:tcW w:type="dxa" w:w="3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NR2F1 → p27/p16 chromatin repression</w:t>
            </w:r>
          </w:p>
        </w:tc>
        <w:tc>
          <w:tcPr>
            <w:tcW w:type="dxa" w:w="39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Reactivation (TNFR1, cytokines); or collapse if energy insufficient even for the lowered maintenance floor</w:t>
            </w:r>
          </w:p>
        </w:tc>
      </w:tr>
      <w:tr>
        <w:tc>
          <w:tcPr>
            <w:tcW w:type="dxa" w:w="1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Differentiation</w:t>
            </w:r>
          </w:p>
        </w:tc>
        <w:tc>
          <w:tcPr>
            <w:tcW w:type="dxa" w:w="3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Lola-type repressors + enforced OXPHOS program</w:t>
            </w:r>
          </w:p>
        </w:tc>
        <w:tc>
          <w:tcPr>
            <w:tcW w:type="dxa" w:w="39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Dedifferentiation (rare, harder with depth); forced reversal of the metabolic program is lethal, not merely reversive</w:t>
            </w:r>
          </w:p>
        </w:tc>
      </w:tr>
    </w:tbl>
    <w:p>
      <w:pPr>
        <w:spacing w:after="200" w:line="360"/>
        <w:jc w:val="both"/>
      </w:pPr>
      <w:r>
        <w:rPr>
          <w:rFonts w:ascii="Times New Roman" w:cs="Times New Roman" w:eastAsia="Times New Roman" w:hAnsi="Times New Roman"/>
          <w:i w:val="false"/>
          <w:iCs w:val="false"/>
          <w:sz w:val="24"/>
          <w:szCs w:val="24"/>
        </w:rPr>
        <w:t xml:space="preserve">The three rows are not presented as equally well-evidenced: the molecular maintenance mechanism for dormancy (NR2F1/p27/p16) and for the restriction point (CDK4/6–Rb–E2F) are documented in direct mechanistic detail elsewhere in this series, while the differentiation row is developed in molecular detail here for the first time. The claim that all three share a common underlying architecture — continuously purchased stability rather than inherited equilibrium — is the organizing hypothesis of this Framework rather than an established finding, and the table above should be read as a structured statement of that hypothesis rather than as a summary of proven equivalence.</w:t>
      </w:r>
    </w:p>
    <w:p>
      <w:pPr>
        <w:pStyle w:val="Heading1"/>
        <w:spacing w:after="160" w:before="320"/>
      </w:pPr>
      <w:r>
        <w:t xml:space="preserve">Limitations</w:t>
      </w:r>
    </w:p>
    <w:p>
      <w:pPr>
        <w:spacing w:after="200" w:line="360"/>
        <w:jc w:val="both"/>
      </w:pPr>
      <w:r>
        <w:rPr>
          <w:rFonts w:ascii="Times New Roman" w:cs="Times New Roman" w:eastAsia="Times New Roman" w:hAnsi="Times New Roman"/>
          <w:i w:val="false"/>
          <w:iCs w:val="false"/>
          <w:sz w:val="24"/>
          <w:szCs w:val="24"/>
        </w:rPr>
        <w:t xml:space="preserve">This article demonstrates the general principle — that no stable cell state is maintenance-free — using a single case, differentiation, developed in molecular detail. The principle, if correct, should extend to a considerably wider range of stable cell states that are not analyzed here and that each have their own distinct maintenance machinery. Plausible candidates include: cellular senescence (maintained by SASP signaling and p16/p21-linked arrest, with its own reported reversibility under specific interventions); activated immune effector cells (maintained by sustained antigen/cytokine signaling, reverting to a resting or exhausted state upon withdrawal); memory T cells (maintained by a distinct metabolic and transcriptional program, e.g. mitochondrial fitness and TCF1-dependent quiescence, separate from both naive and effector states); plasma cells (maintained by an XBP1/BLIMP1-driven secretory program under continuous ER stress); quiescence in adult stem cells more broadly (a reversible G0 state with its own signaling logic, related to but not identical with the dormancy mechanism discussed elsewhere in this series); and epithelial apical-basal polarity (maintained continuously by Par/Crumbs/Scribble complex activity, with polarity loss and reversion to a mesenchymal-like state upon their withdrawal, as in EMT).</w:t>
      </w:r>
    </w:p>
    <w:p>
      <w:pPr>
        <w:spacing w:after="200" w:line="360"/>
        <w:jc w:val="both"/>
      </w:pPr>
      <w:r>
        <w:rPr>
          <w:rFonts w:ascii="Times New Roman" w:cs="Times New Roman" w:eastAsia="Times New Roman" w:hAnsi="Times New Roman"/>
          <w:i w:val="false"/>
          <w:iCs w:val="false"/>
          <w:sz w:val="24"/>
          <w:szCs w:val="24"/>
        </w:rPr>
        <w:t xml:space="preserve">Each of these states plausibly fits the general architecture proposed here — a stable phenotype purchased by continuous, state-specific regulatory and energetic work rather than inherited as a passive equilibrium — but this claim has not been evaluated against the primary literature for any of them in the present article, and each would require its own dedicated analysis comparable in depth to the differentiation case developed above. Listing them here is intended to mark the scope of the general principle as a research program rather than to assert that it has already been demonstrated across these additional states.</w:t>
      </w:r>
    </w:p>
    <w:p>
      <w:pPr>
        <w:pStyle w:val="Heading1"/>
        <w:spacing w:after="160" w:before="320"/>
      </w:pPr>
      <w:r>
        <w:t xml:space="preserve">Predictions</w:t>
      </w:r>
    </w:p>
    <w:p>
      <w:pPr>
        <w:spacing w:after="20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ChIP-seq for NR2F1 in a dormant tumor cell and in a differentiating embryonic stem cell should reveal a partially overlapping, but non-identical, set of genomic targets, with the degree of divergence correlating with the presence of Notch/Wnt niche signaling — directly addressing the bridge problem raised in Section 3.</w:t>
      </w:r>
    </w:p>
    <w:p>
      <w:pPr>
        <w:spacing w:after="20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Notch activation in a context where it promotes differentiation should produce a measurable decline in c-MYC/N-MYC, followed with a delay by a decline in HK2/LDHA.</w:t>
      </w:r>
    </w:p>
    <w:p>
      <w:pPr>
        <w:spacing w:after="20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Levels of nuclear glycolytic enzymes (PGK1, HK2, fumarase) and NUDIX5 pathway activity should remain comparable between an active and a differentiated cell of the same type, despite a difference in overall cytoplasmic glycolysis/OXPHOS ratio — testing the hypothesis that the nuclear BGR contour is independent of the cell's overall metabolic status.</w:t>
      </w:r>
    </w:p>
    <w:p>
      <w:pPr>
        <w:spacing w:after="200" w:line="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Forced suppression of NUDIX5 in a differentiating cell should selectively impair the chromatin remodeling required to establish the new, differentiated expression program, without affecting the cytoplasmic shift toward OXPHOS — experimentally separating the two contours.</w:t>
      </w:r>
    </w:p>
    <w:p>
      <w:pPr>
        <w:spacing w:after="200" w:line="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As a direct test of the general principle stated at the outset: measured maintenance cost (ATP or transcriptional turnover attributable specifically to state-guarding mechanisms, isolated from the cost of the state's ordinary function) should be non-zero and measurable in all three states — proliferation, dormancy, and differentiation — within the same cell type and experimental system. A finding of a genuinely maintenance-free, zero-cost stable state in any one of the three would falsify the general principle as stated, rather than merely requiring a local revision to that state's specific mechanism.</w:t>
      </w:r>
    </w:p>
    <w:p>
      <w:pPr>
        <w:pStyle w:val="Heading1"/>
        <w:spacing w:after="160" w:before="320"/>
      </w:pPr>
      <w:r>
        <w:t xml:space="preserve">References</w:t>
      </w:r>
    </w:p>
    <w:p>
      <w:pPr>
        <w:spacing w:after="200" w:line="360"/>
        <w:jc w:val="both"/>
      </w:pPr>
      <w:r>
        <w:rPr>
          <w:rFonts w:ascii="Times New Roman" w:cs="Times New Roman" w:eastAsia="Times New Roman" w:hAnsi="Times New Roman"/>
          <w:i w:val="false"/>
          <w:iCs w:val="false"/>
          <w:sz w:val="24"/>
          <w:szCs w:val="24"/>
        </w:rPr>
        <w:t xml:space="preserve">1. Brack AS, Conboy IM, Conboy MJ, Shen J, Rando TA. A temporal switch from Notch to Wnt signaling in muscle stem cells is necessary for normal adult myogenesis. Cell Stem Cell. 2008;2(1):50–59. doi:10.1016/j.stem.2007.10.006.</w:t>
      </w:r>
    </w:p>
    <w:p>
      <w:pPr>
        <w:spacing w:after="200" w:line="360"/>
        <w:jc w:val="both"/>
      </w:pPr>
      <w:r>
        <w:rPr>
          <w:rFonts w:ascii="Times New Roman" w:cs="Times New Roman" w:eastAsia="Times New Roman" w:hAnsi="Times New Roman"/>
          <w:i w:val="false"/>
          <w:iCs w:val="false"/>
          <w:sz w:val="24"/>
          <w:szCs w:val="24"/>
        </w:rPr>
        <w:t xml:space="preserve">2. Southall TD, Davidson CM, Miller C, Carr A, Brand AH. Dedifferentiation of neurons precedes tumor formation in lola mutants. Dev Cell. 2014. doi:10.1016/j.devcel.2014.01.030.</w:t>
      </w:r>
    </w:p>
    <w:p>
      <w:pPr>
        <w:spacing w:after="200" w:line="360"/>
        <w:jc w:val="both"/>
      </w:pPr>
      <w:r>
        <w:rPr>
          <w:rFonts w:ascii="Times New Roman" w:cs="Times New Roman" w:eastAsia="Times New Roman" w:hAnsi="Times New Roman"/>
          <w:i w:val="false"/>
          <w:iCs w:val="false"/>
          <w:sz w:val="24"/>
          <w:szCs w:val="24"/>
        </w:rPr>
        <w:t xml:space="preserve">3. The B-MYB transcriptional network guides cell cycle progression and fate decisions to sustain self-renewal and the identity of pluripotent stem cells. PMC3427317.</w:t>
      </w:r>
    </w:p>
    <w:p>
      <w:pPr>
        <w:spacing w:after="200" w:line="360"/>
        <w:jc w:val="both"/>
      </w:pPr>
      <w:r>
        <w:rPr>
          <w:rFonts w:ascii="Times New Roman" w:cs="Times New Roman" w:eastAsia="Times New Roman" w:hAnsi="Times New Roman"/>
          <w:i w:val="false"/>
          <w:iCs w:val="false"/>
          <w:sz w:val="24"/>
          <w:szCs w:val="24"/>
        </w:rPr>
        <w:t xml:space="preserve">4. Erythroid differentiation displays a peak of energy consumption concomitant with glycolytic metabolism rearrangements. bioRxiv. 2019.</w:t>
      </w:r>
    </w:p>
    <w:p>
      <w:pPr>
        <w:spacing w:after="200" w:line="360"/>
        <w:jc w:val="both"/>
      </w:pPr>
      <w:r>
        <w:rPr>
          <w:rFonts w:ascii="Times New Roman" w:cs="Times New Roman" w:eastAsia="Times New Roman" w:hAnsi="Times New Roman"/>
          <w:i w:val="false"/>
          <w:iCs w:val="false"/>
          <w:sz w:val="24"/>
          <w:szCs w:val="24"/>
        </w:rPr>
        <w:t xml:space="preserve">5. Zheng X, et al. Metabolic reprogramming during neuronal differentiation from aerobic glycolysis to neuronal oxidative phosphorylation. eLife. 2016. doi:10.7554/eLife.13374.</w:t>
      </w:r>
    </w:p>
    <w:p>
      <w:pPr>
        <w:spacing w:after="200" w:line="360"/>
        <w:jc w:val="both"/>
      </w:pPr>
      <w:r>
        <w:rPr>
          <w:rFonts w:ascii="Times New Roman" w:cs="Times New Roman" w:eastAsia="Times New Roman" w:hAnsi="Times New Roman"/>
          <w:i w:val="false"/>
          <w:iCs w:val="false"/>
          <w:sz w:val="24"/>
          <w:szCs w:val="24"/>
        </w:rPr>
        <w:t xml:space="preserve">6. Distinct mitochondrial remodeling during mesoderm differentiation in a human-based stem cell model. PMC8553110.</w:t>
      </w:r>
    </w:p>
    <w:p>
      <w:pPr>
        <w:spacing w:after="200" w:line="360"/>
        <w:jc w:val="both"/>
      </w:pPr>
      <w:r>
        <w:rPr>
          <w:rFonts w:ascii="Times New Roman" w:cs="Times New Roman" w:eastAsia="Times New Roman" w:hAnsi="Times New Roman"/>
          <w:i w:val="false"/>
          <w:iCs w:val="false"/>
          <w:sz w:val="24"/>
          <w:szCs w:val="24"/>
        </w:rPr>
        <w:t xml:space="preserve">7. Wright RHG, Lioutas A, Le Dily F, Soronellas D, Pohl A, Bonet J, Nacht AS, Samino S, Font-Mateu J, Vicent GP, Wierer M, Trabado MA, Schelhorn C, Carolis C, Macias MJ, Yanes O, Oliva B, Beato M. ADP-ribose-derived nuclear ATP synthesis by NUDIX5 is required for chromatin remodeling. Science. 2016;352(6290):1221–1225. doi:10.1126/science.aad9335.</w:t>
      </w:r>
    </w:p>
    <w:p>
      <w:pPr>
        <w:spacing w:after="200" w:line="360"/>
        <w:jc w:val="both"/>
      </w:pPr>
      <w:r>
        <w:rPr>
          <w:rFonts w:ascii="Times New Roman" w:cs="Times New Roman" w:eastAsia="Times New Roman" w:hAnsi="Times New Roman"/>
          <w:i w:val="false"/>
          <w:iCs w:val="false"/>
          <w:sz w:val="24"/>
          <w:szCs w:val="24"/>
        </w:rPr>
        <w:t xml:space="preserve">8. Wright RHG, LeDily F, Soronellas D, Pohl A, Bonet J, Nacht AS, Vicent GP, Wierer M, Oliva B, Beato M. ADP-ribose derived nuclear ATP is required for chromatin remodeling and hormonal gene regulation. bioRxiv. 2014. doi:10.1101/006593.</w:t>
      </w:r>
    </w:p>
    <w:p>
      <w:pPr>
        <w:spacing w:after="200" w:line="360"/>
        <w:jc w:val="both"/>
      </w:pPr>
      <w:r>
        <w:rPr>
          <w:rFonts w:ascii="Times New Roman" w:cs="Times New Roman" w:eastAsia="Times New Roman" w:hAnsi="Times New Roman"/>
          <w:i w:val="false"/>
          <w:iCs w:val="false"/>
          <w:sz w:val="24"/>
          <w:szCs w:val="24"/>
        </w:rPr>
        <w:t xml:space="preserve">9. The glycolytic enzyme PGK1 phosphorylates MORC2 to confer radioresistance in pancreatic ductal adenocarcinoma. Cell Death Dis. 2025.</w:t>
      </w:r>
    </w:p>
    <w:p>
      <w:pPr>
        <w:spacing w:after="200" w:line="360"/>
        <w:jc w:val="both"/>
      </w:pPr>
      <w:r>
        <w:rPr>
          <w:rFonts w:ascii="Times New Roman" w:cs="Times New Roman" w:eastAsia="Times New Roman" w:hAnsi="Times New Roman"/>
          <w:i w:val="false"/>
          <w:iCs w:val="false"/>
          <w:sz w:val="24"/>
          <w:szCs w:val="24"/>
        </w:rPr>
        <w:t xml:space="preserve">10. Cell metabolism and DNA repair pathways: implications for cancer therapy. Front Cell Dev Biol. 2021. doi:10.3389/fcell.2021.633305.</w:t>
      </w:r>
    </w:p>
    <w:p>
      <w:r>
        <w:br w:type="page"/>
      </w:r>
    </w:p>
    <w:p>
      <w:pPr>
        <w:spacing w:after="400"/>
        <w:jc w:val="center"/>
      </w:pPr>
      <w:r>
        <w:rPr>
          <w:rFonts w:ascii="Times New Roman" w:cs="Times New Roman" w:eastAsia="Times New Roman" w:hAnsi="Times New Roman"/>
          <w:b/>
          <w:bCs/>
          <w:sz w:val="27"/>
          <w:szCs w:val="27"/>
        </w:rPr>
        <w:t xml:space="preserve">Framework 1.3, Article 5: Active ↔ Dormant — Asymmetric Transition Pathways and the Role of the Glycogen Reserve</w:t>
      </w:r>
    </w:p>
    <w:p>
      <w:pPr>
        <w:spacing w:after="60"/>
        <w:jc w:val="center"/>
      </w:pPr>
      <w:r>
        <w:rPr>
          <w:rFonts w:ascii="Times New Roman" w:cs="Times New Roman" w:eastAsia="Times New Roman" w:hAnsi="Times New Roman"/>
          <w:sz w:val="24"/>
          <w:szCs w:val="24"/>
        </w:rPr>
        <w:t xml:space="preserve">Yuri Dmitrochenko, MD</w:t>
      </w:r>
    </w:p>
    <w:p>
      <w:pPr>
        <w:spacing w:after="500"/>
        <w:jc w:val="center"/>
      </w:pPr>
      <w:r>
        <w:rPr>
          <w:rFonts w:ascii="Times New Roman" w:cs="Times New Roman" w:eastAsia="Times New Roman" w:hAnsi="Times New Roman"/>
          <w:i/>
          <w:iCs/>
          <w:sz w:val="22"/>
          <w:szCs w:val="22"/>
        </w:rPr>
        <w:t xml:space="preserve">Independent researcher, Israel</w:t>
      </w:r>
    </w:p>
    <w:p>
      <w:pPr>
        <w:pStyle w:val="Heading1"/>
        <w:spacing w:after="160" w:before="320"/>
      </w:pPr>
      <w:r>
        <w:t xml:space="preserve">Abstract</w:t>
      </w:r>
    </w:p>
    <w:p>
      <w:pPr>
        <w:spacing w:after="200" w:line="360"/>
        <w:jc w:val="both"/>
      </w:pPr>
      <w:r>
        <w:rPr>
          <w:rFonts w:ascii="Times New Roman" w:cs="Times New Roman" w:eastAsia="Times New Roman" w:hAnsi="Times New Roman"/>
          <w:i w:val="false"/>
          <w:iCs w:val="false"/>
          <w:sz w:val="24"/>
          <w:szCs w:val="24"/>
        </w:rPr>
        <w:t xml:space="preserve">The transition between the active and dormant states is the most thoroughly documented pair in the architecture of cell fate developed in this series, since much of the relevant mechanism has already been described piecemeal in independent sources. This article integrates that material into a single, directional scheme with an explicit split between induction (Active→Dormant) and awakening (Dormant→Active), showing that these are not mirror-image processes of one mechanism but two structurally distinct pathways with different molecular inputs. Separately, the role of glycogen is examined — not as an alternative trigger for entry into dormancy, but as the energy reserve that finances the state once the decision has already been made by other pathways (mTOR/NR2F1, IFN-γ/IDO1); a hypothesis regarding the local, subcellular use of this reserve is proposed and explicitly flagged as untested, and the overall energy budget of dormancy is examined, showing that total ATP demand is minimal across all three principal cost centers — the nucleus, “sleeping” mitochondria, and ion pumps. Genetic glycogen storage diseases (GSDs) are examined as a natural model of pathology in this reserve mechanism, independently supporting the chain “unconsumed glycogen → mitochondrial dysfunction → apoptosis or oncogenic transformation.” In keeping with the general principle established elsewhere in this series (“no stable state is free”), dormancy is presented as an actively maintained program with its own, separately financed cost, rather than as an energetic default arising from resource scarcity.</w:t>
      </w:r>
    </w:p>
    <w:p>
      <w:pPr>
        <w:pStyle w:val="Heading1"/>
        <w:spacing w:after="160" w:before="320"/>
      </w:pPr>
      <w:r>
        <w:t xml:space="preserve">Introduction</w:t>
      </w:r>
    </w:p>
    <w:p>
      <w:pPr>
        <w:spacing w:after="200" w:line="360"/>
        <w:jc w:val="both"/>
      </w:pPr>
      <w:r>
        <w:rPr>
          <w:rFonts w:ascii="Times New Roman" w:cs="Times New Roman" w:eastAsia="Times New Roman" w:hAnsi="Times New Roman"/>
          <w:i w:val="false"/>
          <w:iCs w:val="false"/>
          <w:sz w:val="24"/>
          <w:szCs w:val="24"/>
        </w:rPr>
        <w:t xml:space="preserve">The active and dormant states of a cell are traditionally contrasted as “division” versus “absence of division” — a binary classification that conceals a substantial asymmetry between entry into dormancy and exit from it. This article shows that induction and awakening employ structurally different molecular mechanisms, are not processes that mirror one another, and that the stability of dormancy itself rests on a specific, quantifiable energy reserve — glycogen — whose management (synthesis and breakdown) can itself become a source of pathology if disrupted.</w:t>
      </w:r>
    </w:p>
    <w:p>
      <w:pPr>
        <w:pStyle w:val="Heading1"/>
        <w:spacing w:after="160" w:before="320"/>
      </w:pPr>
      <w:r>
        <w:t xml:space="preserve">1. Active → Dormant: Induction</w:t>
      </w:r>
    </w:p>
    <w:p>
      <w:pPr>
        <w:pStyle w:val="Heading2"/>
        <w:spacing w:after="120" w:before="240"/>
      </w:pPr>
      <w:r>
        <w:t xml:space="preserve">1.1. The Energetic Pathway (previously established)</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IGF1R (a constant background activator) and a suppressor input (AMPK/energy status) converge on mTOR as a shared integration node. The position of mTOR determines activation of NR2F1, which induces p27/p16 and repressive chromatin marks (H3K27me3/H3K9me3), locking in G0/G1 arrest. NR2F1-induced p27/p16 physically block entry into the self-sustaining CDK4/6→Rb→E2F feedback loop before the restriction point (R-point) is reached — dormancy intercepts the cell before, not after, the moment of irreversible commitment.</w:t>
      </w:r>
    </w:p>
    <w:p>
      <w:pPr>
        <w:pStyle w:val="Heading2"/>
        <w:spacing w:after="120" w:before="240"/>
      </w:pPr>
      <w:r>
        <w:t xml:space="preserve">1.2. The Immunological Pathway (brief)</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IFN-γ from NK and T cells induces dormancy via the IDO1–kynurenine–AhR–p27 pathway — an input independent of mTOR/NR2F1 but converging on the same executor molecule (p27).</w:t>
      </w:r>
      <w:r>
        <w:rPr>
          <w:rFonts w:ascii="Times New Roman" w:cs="Times New Roman" w:eastAsia="Times New Roman" w:hAnsi="Times New Roman"/>
          <w:b/>
          <w:bCs/>
          <w:i/>
          <w:iCs/>
          <w:sz w:val="24"/>
          <w:szCs w:val="24"/>
        </w:rPr>
        <w:t xml:space="preserve"> (Framework interpretation) </w:t>
      </w:r>
      <w:r>
        <w:rPr>
          <w:rFonts w:ascii="Times New Roman" w:cs="Times New Roman" w:eastAsia="Times New Roman" w:hAnsi="Times New Roman"/>
          <w:sz w:val="24"/>
          <w:szCs w:val="24"/>
        </w:rPr>
        <w:t xml:space="preserve">This is interpreted here as indicating that p27 functions as a shared “convergence point” for different inducing signals, rather than as part of a single, linear pathway.</w:t>
      </w:r>
    </w:p>
    <w:p>
      <w:pPr>
        <w:pStyle w:val="Heading1"/>
        <w:spacing w:after="160" w:before="320"/>
      </w:pPr>
      <w:r>
        <w:t xml:space="preserve">2. Glycogen as the Energy Reserve of Dormancy</w:t>
      </w:r>
    </w:p>
    <w:p>
      <w:pPr>
        <w:pStyle w:val="Heading2"/>
        <w:spacing w:after="120" w:before="240"/>
      </w:pPr>
      <w:r>
        <w:t xml:space="preserve">2.1. Glycogen Finances, but Does Not Trigger, the Transition</w:t>
      </w:r>
    </w:p>
    <w:p>
      <w:pPr>
        <w:spacing w:after="200" w:line="360"/>
        <w:jc w:val="both"/>
      </w:pPr>
      <w:r>
        <w:rPr>
          <w:rFonts w:ascii="Times New Roman" w:cs="Times New Roman" w:eastAsia="Times New Roman" w:hAnsi="Times New Roman"/>
          <w:i w:val="false"/>
          <w:iCs w:val="false"/>
          <w:sz w:val="24"/>
          <w:szCs w:val="24"/>
        </w:rPr>
        <w:t xml:space="preserve">The rate of glycogenesis is cell-cycle regulated and has been experimentally shown to be enhanced specifically in the non-proliferative state of a cancer cell line. Under hypoxia, rapid, HIF-dependent induction of glycogen synthase (GYS1) occurs, producing early glycogen accumulation, followed by a gradual rise in glycogen phosphorylase (PYGL), which enables its controlled breakdown. The sequence — reserve accumulation first, followed by its drawdown — corresponds precisely to what a cell would need before entering an extended, low-turnover regime.</w:t>
      </w:r>
    </w:p>
    <w:p>
      <w:pPr>
        <w:spacing w:after="200" w:line="360"/>
        <w:jc w:val="both"/>
      </w:pPr>
      <w:r>
        <w:rPr>
          <w:rFonts w:ascii="Times New Roman" w:cs="Times New Roman" w:eastAsia="Times New Roman" w:hAnsi="Times New Roman"/>
          <w:i w:val="false"/>
          <w:iCs w:val="false"/>
          <w:sz w:val="24"/>
          <w:szCs w:val="24"/>
        </w:rPr>
        <w:t xml:space="preserve">An important clarification: glycogen here is not a trigger competing with mTOR/NR2F1 or IFN-γ/IDO1 for the decision to enter dormancy, but the fuel base on which an already-made decision is financed: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c>
          <w:tcPr>
            <w:tcW w:type="dxa" w:w="9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Step</w:t>
            </w:r>
          </w:p>
        </w:tc>
        <w:tc>
          <w:tcPr>
            <w:tcW w:type="dxa" w:w="48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Event</w:t>
            </w:r>
          </w:p>
        </w:tc>
        <w:tc>
          <w:tcPr>
            <w:tcW w:type="dxa" w:w="366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Note</w:t>
            </w:r>
          </w:p>
        </w:tc>
      </w:tr>
      <w:tr>
        <w:tc>
          <w:tcPr>
            <w:tcW w:type="dxa" w:w="9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1</w:t>
            </w:r>
          </w:p>
        </w:tc>
        <w:tc>
          <w:tcPr>
            <w:tcW w:type="dxa" w:w="4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HIF stabilization (stress / hypoxia)</w:t>
            </w:r>
          </w:p>
        </w:tc>
        <w:tc>
          <w:tcPr>
            <w:tcW w:type="dxa" w:w="36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Initiating condition</w:t>
            </w:r>
          </w:p>
        </w:tc>
      </w:tr>
      <w:tr>
        <w:tc>
          <w:tcPr>
            <w:tcW w:type="dxa" w:w="9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2</w:t>
            </w:r>
          </w:p>
        </w:tc>
        <w:tc>
          <w:tcPr>
            <w:tcW w:type="dxa" w:w="48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GYS1 ↑ → glycogen accumulation</w:t>
            </w:r>
          </w:p>
        </w:tc>
        <w:tc>
          <w:tcPr>
            <w:tcW w:type="dxa" w:w="36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Reserve built up BEFORE entry into the low-turnover regime</w:t>
            </w:r>
          </w:p>
        </w:tc>
      </w:tr>
      <w:tr>
        <w:tc>
          <w:tcPr>
            <w:tcW w:type="dxa" w:w="9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3</w:t>
            </w:r>
          </w:p>
        </w:tc>
        <w:tc>
          <w:tcPr>
            <w:tcW w:type="dxa" w:w="4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mTOR ↓ → NR2F1 → p27/p16</w:t>
            </w:r>
          </w:p>
        </w:tc>
        <w:tc>
          <w:tcPr>
            <w:tcW w:type="dxa" w:w="36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The actual decision to enter dormancy — established pathway</w:t>
            </w:r>
          </w:p>
        </w:tc>
      </w:tr>
      <w:tr>
        <w:tc>
          <w:tcPr>
            <w:tcW w:type="dxa" w:w="9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4</w:t>
            </w:r>
          </w:p>
        </w:tc>
        <w:tc>
          <w:tcPr>
            <w:tcW w:type="dxa" w:w="48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Dormancy maintained by drawing down accumulated glycogen via PYGL</w:t>
            </w:r>
          </w:p>
        </w:tc>
        <w:tc>
          <w:tcPr>
            <w:tcW w:type="dxa" w:w="36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Ongoing maintenance phase</w:t>
            </w:r>
          </w:p>
        </w:tc>
      </w:tr>
      <w:tr>
        <w:tc>
          <w:tcPr>
            <w:tcW w:type="dxa" w:w="9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5</w:t>
            </w:r>
          </w:p>
        </w:tc>
        <w:tc>
          <w:tcPr>
            <w:tcW w:type="dxa" w:w="4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If reserve depletion outpaces improvement in conditions</w:t>
            </w:r>
          </w:p>
        </w:tc>
        <w:tc>
          <w:tcPr>
            <w:tcW w:type="dxa" w:w="36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 vulnerability to cytolysis / apoptosis</w:t>
            </w:r>
          </w:p>
        </w:tc>
      </w:tr>
    </w:tbl>
    <w:p>
      <w:pPr>
        <w:pStyle w:val="Heading2"/>
        <w:spacing w:after="120" w:before="240"/>
      </w:pPr>
      <w:r>
        <w:t xml:space="preserve">2.2. Pathology of the Reserve Mechanism Itself</w:t>
      </w:r>
    </w:p>
    <w:p>
      <w:pPr>
        <w:spacing w:after="200" w:line="360"/>
        <w:jc w:val="both"/>
      </w:pPr>
      <w:r>
        <w:rPr>
          <w:rFonts w:ascii="Times New Roman" w:cs="Times New Roman" w:eastAsia="Times New Roman" w:hAnsi="Times New Roman"/>
          <w:i w:val="false"/>
          <w:iCs w:val="false"/>
          <w:sz w:val="24"/>
          <w:szCs w:val="24"/>
        </w:rPr>
        <w:t xml:space="preserve">Experimentally blocking PYGL (preventing drawdown of accumulated glycogen) increases reactive oxygen species (ROS) and induces p53-dependent senescence — excess, unconsumed glycogen itself becomes a stress factor. This is not an alternative, competing route into dormancy, but a demonstration that the reserve mechanism itself requires both enzymes (synthesis and breakdown) to function correctly; failure of either converts the reserve into a source of damage. Independent support: pharmacological induction of senescence in hepatocytes (nutlin-3a, doxorubicin, etoposide) directly increases glycogen content as a built-in component of the cell-cycle arrest program itself, rather than as an incidental side effect.</w:t>
      </w:r>
    </w:p>
    <w:p>
      <w:pPr>
        <w:pStyle w:val="Heading2"/>
        <w:spacing w:after="120" w:before="240"/>
      </w:pPr>
      <w:r>
        <w:t xml:space="preserve">2.3. Glycogen as a Local ATP Buffer: Hypothesis and Physiological Precedents</w:t>
      </w:r>
    </w:p>
    <w:p>
      <w:pPr>
        <w:spacing w:after="200" w:line="360"/>
        <w:jc w:val="both"/>
      </w:pPr>
      <w:r>
        <w:rPr>
          <w:rFonts w:ascii="Times New Roman" w:cs="Times New Roman" w:eastAsia="Times New Roman" w:hAnsi="Times New Roman"/>
          <w:i w:val="false"/>
          <w:iCs w:val="false"/>
          <w:sz w:val="24"/>
          <w:szCs w:val="24"/>
        </w:rPr>
        <w:t xml:space="preserve">The view of glycogen as a single, undifferentiated “fuel tank” for the cell can be refined through the following chain of reasoning. Dormancy is accompanied by reduced water content and a denser organization of the cytoplasm. Dense cytoplasm limits the rate of diffusion and active intracellular transport. Overall metabolism is reduced, so there is no need to sustain a high energy flux throughout the entire cell. However, discrete processes — the operation of local ion pumps, chromatin remodeling, DNA repair, maintenance of membrane potential, local cytoskeletal work — still require ATP.</w:t>
      </w:r>
    </w:p>
    <w:p>
      <w:pPr>
        <w:spacing w:after="200" w:line="360"/>
        <w:jc w:val="both"/>
      </w:pPr>
      <w:r>
        <w:rPr>
          <w:rFonts w:ascii="Times New Roman" w:cs="Times New Roman" w:eastAsia="Times New Roman" w:hAnsi="Times New Roman"/>
          <w:b/>
          <w:bCs/>
          <w:i/>
          <w:iCs/>
          <w:sz w:val="24"/>
          <w:szCs w:val="24"/>
        </w:rPr>
        <w:t xml:space="preserve">(Framework hypothesis) </w:t>
      </w:r>
      <w:r>
        <w:rPr>
          <w:rFonts w:ascii="Times New Roman" w:cs="Times New Roman" w:eastAsia="Times New Roman" w:hAnsi="Times New Roman"/>
          <w:sz w:val="24"/>
          <w:szCs w:val="24"/>
        </w:rPr>
        <w:t xml:space="preserve">We formulate this not as an asserted mechanism of dormancy, but as one of several possible explanations for why so little energy proves sufficient (see Section 2.4): we propose that glycogen in dormant cells may serve, in part, as a localized ATP-buffering system, supporting discrete energy-demanding processes within an otherwise globally energy-restricted cytoplasm. This idea is not the central mechanism of the model — that role remains held by the mTOR/NR2F1/p27–p16 axis — but merely one auxiliary, as yet untested, explanation for the energetic economy of the state.</w:t>
      </w:r>
    </w:p>
    <w:p>
      <w:pPr>
        <w:spacing w:after="200" w:line="360"/>
        <w:jc w:val="both"/>
      </w:pPr>
      <w:r>
        <w:rPr>
          <w:rFonts w:ascii="Times New Roman" w:cs="Times New Roman" w:eastAsia="Times New Roman" w:hAnsi="Times New Roman"/>
          <w:i w:val="false"/>
          <w:iCs w:val="false"/>
          <w:sz w:val="24"/>
          <w:szCs w:val="24"/>
        </w:rPr>
        <w:t xml:space="preserve">No direct data on the subcellular localization of glycogen specifically in tumor dormancy have been found — this should be flagged explicitly as a gap rather than filled by assumption. However, the principle of localized, compartmentalized glycolysis supporting specific, discrete energy-demanding processes is independently documented in several systems. In C. elegans neurons under energy stress, glycolytic enzymes (PFK-1.1, ALDO-1, GAPDH) redistribute from diffuse cytoplasmic localization to a punctate pattern, forming a “glycolytic metabolon” immediately adjacent to synaptic vesicles; disrupting this metabolon blocks the synaptic vesicle cycle. Analogous condensates (“G-bodies”) of glycolytic enzymes form in yeast under hypoxic stress and are important for cell division under prolonged hypoxia. In skeletal muscle, glycogen is distributed across distinct subcellular pools (intermyofibrillar, subsarcolemmal, perinuclear), and specific ATPases govern the compartmentalized use of these pools, coupling local glycogen to a specific ATP consumer. Glycolytic enzymes are also associated with fast-transport vesicles along axons, providing local ATP for motor proteins independent of mitochondria.</w:t>
      </w:r>
    </w:p>
    <w:p>
      <w:pPr>
        <w:spacing w:after="200" w:line="360"/>
        <w:jc w:val="both"/>
      </w:pPr>
      <w:r>
        <w:rPr>
          <w:rFonts w:ascii="Times New Roman" w:cs="Times New Roman" w:eastAsia="Times New Roman" w:hAnsi="Times New Roman"/>
          <w:i w:val="false"/>
          <w:iCs w:val="false"/>
          <w:sz w:val="24"/>
          <w:szCs w:val="24"/>
        </w:rPr>
        <w:t xml:space="preserve">A separate, though whole-cell rather than subcellular, line of evidence links glycogen to states resembling dormancy: average glycogen content in individual hematopoietic stem/progenitor cells (CD34+) from subjects over 50 is 3.5-fold higher and more heterogeneous than in subjects under 35, and it is specifically the more glycolytic subpopulation of these cells that expands with age and depends on this metabolism for survival — in analogy to the Warburg effect. Independently, genetic ablation of glycogen synthase in C. elegans neurons improves neurologic function with age and extends lifespan — that is, excess, unconsumed glycogen can act as a damaging rather than protective factor during aging, consistent with the p53/ROS chain described in Section 2.2.</w:t>
      </w:r>
    </w:p>
    <w:p>
      <w:pPr>
        <w:spacing w:after="200" w:line="360"/>
        <w:jc w:val="both"/>
      </w:pPr>
      <w:r>
        <w:rPr>
          <w:rFonts w:ascii="Times New Roman" w:cs="Times New Roman" w:eastAsia="Times New Roman" w:hAnsi="Times New Roman"/>
          <w:i w:val="false"/>
          <w:iCs w:val="false"/>
          <w:sz w:val="24"/>
          <w:szCs w:val="24"/>
        </w:rPr>
        <w:t xml:space="preserve">The method required to directly test the hypothesis has already been worked out in muscle (electron microscopy of discrete subcellular glycogen pools) and awaits transfer to the dormant cell: (a) imaging the subcellular localization of glycogen granules in dormant cells for proximity to the nuclear membrane or to local ion pumps; (b) use of local, genetically encoded ATP sensors to test whether local ATP concentration correlates with proximity to glycogen granules; (c) correlating local glycolytic activity with specific events (chromatin remodeling, ion pump activity) specifically in a dormant, rather than proliferating or differentiated, cell of the same type.</w:t>
      </w:r>
    </w:p>
    <w:p>
      <w:pPr>
        <w:pStyle w:val="Heading2"/>
        <w:spacing w:after="120" w:before="240"/>
      </w:pPr>
      <w:r>
        <w:t xml:space="preserve">2.4. The Energy Budget of Dormancy: Where the Minimal Expenditure Goes</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Total energy demand in dormancy is very low, and its allocation by priority refines the model. In quiescent cells, up to 70% of all cellular ATP is normally spent on translation; it is the suppression of translation, not ion pump activity, that accounts for the bulk of the energy saving upon entry into dormancy.</w:t>
      </w:r>
    </w:p>
    <w:p>
      <w:pPr>
        <w:spacing w:after="200" w:line="360"/>
        <w:jc w:val="both"/>
      </w:pPr>
      <w:r>
        <w:rPr>
          <w:rFonts w:ascii="Times New Roman" w:cs="Times New Roman" w:eastAsia="Times New Roman" w:hAnsi="Times New Roman"/>
          <w:b/>
          <w:bCs/>
          <w:i/>
          <w:iCs/>
          <w:sz w:val="24"/>
          <w:szCs w:val="24"/>
        </w:rPr>
        <w:t xml:space="preserve">Analogy (not confirmation): </w:t>
      </w:r>
      <w:r>
        <w:rPr>
          <w:rFonts w:ascii="Times New Roman" w:cs="Times New Roman" w:eastAsia="Times New Roman" w:hAnsi="Times New Roman"/>
          <w:sz w:val="24"/>
          <w:szCs w:val="24"/>
        </w:rPr>
        <w:t xml:space="preserve">in bacterial spores — a system quite distant from tumor dormancy in organization and evolutionary context — ³¹P-NMR over a 30-day period fails to detect any ATP or related phosphate metabolism at all. This is cited here to illustrate how low the energy demand of a quiescent biological system can in principle be, not as direct proof of the same order of magnitude for a dormant tumor cell.</w:t>
      </w:r>
    </w:p>
    <w:p>
      <w:pPr>
        <w:spacing w:after="200" w:line="360"/>
        <w:jc w:val="both"/>
      </w:pPr>
      <w:r>
        <w:rPr>
          <w:rFonts w:ascii="Times New Roman" w:cs="Times New Roman" w:eastAsia="Times New Roman" w:hAnsi="Times New Roman"/>
          <w:i w:val="false"/>
          <w:iCs w:val="false"/>
          <w:sz w:val="24"/>
          <w:szCs w:val="24"/>
        </w:rPr>
        <w:t xml:space="preserve">Mitochondria in dormancy are not switched off but are purposefully remodeled into an inactive yet living form — a state referred to as mitochondrial respiratory quiescence (MRQ). Mitochondria physically fragment, their cristae become poorly resolved by electron microscopy, and the amount of assembled Complex I and ATP synthase in the respiratory chain declines. In hematopoietic stem cells, it is specifically low mitochondrial membrane potential that marks the most deeply quiescent, most potent cells — that is, maintaining a minimal, non-zero potential is the goal of this structural remodeling, not a side effect of energy deficiency. Reduced respiration in this state protects against production of mitochondrial ROS, serving not only energy economy but also prevention of self-damage.</w:t>
      </w:r>
    </w:p>
    <w:p>
      <w:pPr>
        <w:spacing w:after="200" w:line="360"/>
        <w:jc w:val="both"/>
      </w:pPr>
      <w:r>
        <w:rPr>
          <w:rFonts w:ascii="Times New Roman" w:cs="Times New Roman" w:eastAsia="Times New Roman" w:hAnsi="Times New Roman"/>
          <w:b w:val="false"/>
          <w:bCs w:val="false"/>
          <w:sz w:val="24"/>
          <w:szCs w:val="24"/>
        </w:rPr>
        <w:t xml:space="preserve">Na/K pump activity in this budget appears to be secondary for two independent reasons, established at different levels of evidence. </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By the classical estimate of the erythrocyte's energy budget, roughly 15% of available ATP suffices to cover the known energy requirements of the Na/K pump — that is, even in cells where this pump is the dominant consumer of ATP at the membrane, it does not dominate the total budget.</w:t>
      </w:r>
    </w:p>
    <w:p>
      <w:pPr>
        <w:spacing w:after="200" w:line="360"/>
        <w:jc w:val="both"/>
      </w:pPr>
      <w:r>
        <w:rPr>
          <w:rFonts w:ascii="Times New Roman" w:cs="Times New Roman" w:eastAsia="Times New Roman" w:hAnsi="Times New Roman"/>
          <w:b/>
          <w:bCs/>
          <w:i/>
          <w:iCs/>
          <w:sz w:val="24"/>
          <w:szCs w:val="24"/>
        </w:rPr>
        <w:t xml:space="preserve">(Framework hypothesis) </w:t>
      </w:r>
      <w:r>
        <w:rPr>
          <w:rFonts w:ascii="Times New Roman" w:cs="Times New Roman" w:eastAsia="Times New Roman" w:hAnsi="Times New Roman"/>
          <w:sz w:val="24"/>
          <w:szCs w:val="24"/>
        </w:rPr>
        <w:t xml:space="preserve">The poroelastic model of cytoplasmic mechanics predicts that in dormancy, dense, cross-linked cytoplasm mechanically resists the movement of water and ions, so that ionic gradients in a dense gel equilibrate and are maintained more slowly, requiring less active pump work for the same result. This specific prediction — reduced Na/K-ATPase turnover as a direct consequence of cytoplasmic density — has not, to our knowledge, been experimentally tested and should be read as a model-derived prediction rather than a demonstrated mechanism.</w:t>
      </w:r>
    </w:p>
    <w:p>
      <w:pPr>
        <w:spacing w:after="200" w:line="360"/>
        <w:jc w:val="both"/>
      </w:pPr>
      <w:r>
        <w:rPr>
          <w:rFonts w:ascii="Times New Roman" w:cs="Times New Roman" w:eastAsia="Times New Roman" w:hAnsi="Times New Roman"/>
          <w:i w:val="false"/>
          <w:iCs w:val="false"/>
          <w:sz w:val="24"/>
          <w:szCs w:val="24"/>
        </w:rPr>
        <w:t xml:space="preserve">Proposed priority of energy expenditure in dormancy: (1) minimal nuclear maintenance (repair, upkeep of chromatin marks) — the smallest in volume but non-negotiable expenditure; (2) maintenance of a minimal, non-zero mitochondrial potential and “sleeping” mitochondrial structure — protection against ROS and against premature cytochrome c release; (3) the Na/K pump — a minimal load, further reduced, per the poroelastic model's prediction, by mechanical constraint. The localized glycogen reserve near the nucleus is treated as one of several possible, not the sole, explanations for why this minimal total demand is sufficient.</w:t>
      </w:r>
    </w:p>
    <w:p>
      <w:pPr>
        <w:pStyle w:val="Heading1"/>
        <w:spacing w:after="160" w:before="320"/>
      </w:pPr>
      <w:r>
        <w:t xml:space="preserve">3. Genetic Glycogen Storage Diseases as a Natural Model of BGR-Reserve Pathology</w:t>
      </w:r>
    </w:p>
    <w:p>
      <w:pPr>
        <w:spacing w:after="200" w:line="360"/>
        <w:jc w:val="both"/>
      </w:pPr>
      <w:r>
        <w:rPr>
          <w:rFonts w:ascii="Times New Roman" w:cs="Times New Roman" w:eastAsia="Times New Roman" w:hAnsi="Times New Roman"/>
          <w:i w:val="false"/>
          <w:iCs w:val="false"/>
          <w:sz w:val="24"/>
          <w:szCs w:val="24"/>
        </w:rPr>
        <w:t xml:space="preserve">Glycogen storage diseases (GSDs) — a group of inherited disorders of glycogen synthesis or breakdown — provide a controlled natural experiment with complete, rather than partial, failure of one of the two reserve enzymes.</w:t>
      </w:r>
    </w:p>
    <w:p>
      <w:pPr>
        <w:spacing w:after="200" w:line="360"/>
        <w:jc w:val="both"/>
      </w:pPr>
      <w:r>
        <w:rPr>
          <w:rFonts w:ascii="Times New Roman" w:cs="Times New Roman" w:eastAsia="Times New Roman" w:hAnsi="Times New Roman"/>
          <w:b/>
          <w:bCs/>
          <w:sz w:val="24"/>
          <w:szCs w:val="24"/>
        </w:rPr>
        <w:t xml:space="preserve">GSD type Ia (von Gierke disease, G6PC deficiency). </w:t>
      </w:r>
      <w:r>
        <w:rPr>
          <w:rFonts w:ascii="Times New Roman" w:cs="Times New Roman" w:eastAsia="Times New Roman" w:hAnsi="Times New Roman"/>
          <w:sz w:val="24"/>
          <w:szCs w:val="24"/>
        </w:rPr>
        <w:t xml:space="preserve">Glucose-6-phosphate and glycogen become trapped within hepatocytes and renal tubular cells. The result is not mere accumulation but a systemic cellular crisis: impaired oxidative phosphorylation, decreased mitochondrial membrane potential, deranged mitochondrial ultrastructure, decreased mitochondrial content, and ultimately activation of the mitochondrial apoptotic pathway. This is direct human confirmation of the chain “excess unconsumed glycogen → mitochondrial dysfunction → apoptosis,” and is clinically associated with steatohepatitis, cirrhosis, and the formation of hepatic adenomas and carcinomas.</w:t>
      </w:r>
    </w:p>
    <w:p>
      <w:pPr>
        <w:spacing w:after="200" w:line="360"/>
        <w:jc w:val="both"/>
      </w:pPr>
      <w:r>
        <w:rPr>
          <w:rFonts w:ascii="Times New Roman" w:cs="Times New Roman" w:eastAsia="Times New Roman" w:hAnsi="Times New Roman"/>
          <w:b/>
          <w:bCs/>
          <w:sz w:val="24"/>
          <w:szCs w:val="24"/>
        </w:rPr>
        <w:t xml:space="preserve">GSD type IV (Andersen disease, GBE1 deficiency). </w:t>
      </w:r>
      <w:r>
        <w:rPr>
          <w:rFonts w:ascii="Times New Roman" w:cs="Times New Roman" w:eastAsia="Times New Roman" w:hAnsi="Times New Roman"/>
          <w:sz w:val="24"/>
          <w:szCs w:val="24"/>
        </w:rPr>
        <w:t xml:space="preserve">Structurally abnormal glycogen with fewer branch points accumulates, leading to progressive cirrhosis and liver failure by age five in the classic form — pathology not only in the quantity of the reserve but in its “quality” (structure).</w:t>
      </w:r>
    </w:p>
    <w:p>
      <w:pPr>
        <w:spacing w:after="200" w:line="360"/>
        <w:jc w:val="both"/>
      </w:pPr>
      <w:r>
        <w:rPr>
          <w:rFonts w:ascii="Times New Roman" w:cs="Times New Roman" w:eastAsia="Times New Roman" w:hAnsi="Times New Roman"/>
          <w:b/>
          <w:bCs/>
          <w:sz w:val="24"/>
          <w:szCs w:val="24"/>
        </w:rPr>
        <w:t xml:space="preserve">Epigenetic memory of disease. </w:t>
      </w:r>
      <w:r>
        <w:rPr>
          <w:rFonts w:ascii="Times New Roman" w:cs="Times New Roman" w:eastAsia="Times New Roman" w:hAnsi="Times New Roman"/>
          <w:sz w:val="24"/>
          <w:szCs w:val="24"/>
        </w:rPr>
        <w:t xml:space="preserve">Fibroblasts from GSD1a patients carry persistent epigenetic changes, including dysregulation of Hox gene clusters, interpreted as an epigenetically fixed “molecular memory” of the disease. This is a direct parallel to NR2F1 as the epigenetic lock of dormancy: chronic disruption of the glycogen reserve appears able to create its own, pathological epigenetic lock, distinct from the NR2F1 program.</w:t>
      </w:r>
    </w:p>
    <w:p>
      <w:pPr>
        <w:spacing w:after="200" w:line="360"/>
        <w:jc w:val="both"/>
      </w:pPr>
      <w:r>
        <w:rPr>
          <w:rFonts w:ascii="Times New Roman" w:cs="Times New Roman" w:eastAsia="Times New Roman" w:hAnsi="Times New Roman"/>
          <w:b/>
          <w:bCs/>
          <w:sz w:val="24"/>
          <w:szCs w:val="24"/>
        </w:rPr>
        <w:t xml:space="preserve">Link to oncogenesis. </w:t>
      </w:r>
      <w:r>
        <w:rPr>
          <w:rFonts w:ascii="Times New Roman" w:cs="Times New Roman" w:eastAsia="Times New Roman" w:hAnsi="Times New Roman"/>
          <w:sz w:val="24"/>
          <w:szCs w:val="24"/>
        </w:rPr>
        <w:t xml:space="preserve">GSD type I is clinically associated with an elevated risk of hepatocellular carcinoma and hepatic adenomas — a chronic, unresolved glycogen-reserve crisis not only kills cells via apoptosis but simultaneously creates conditions favorable to oncogenic transformation, plausibly through a cycle of chronic injury and compensatory regeneration.</w:t>
      </w:r>
    </w:p>
    <w:p>
      <w:pPr>
        <w:pStyle w:val="Heading1"/>
        <w:spacing w:after="160" w:before="320"/>
      </w:pPr>
      <w:r>
        <w:t xml:space="preserve">4. Dormant → Active: Awakening Is Not a Mirror-Image Process</w:t>
      </w:r>
    </w:p>
    <w:p>
      <w:pPr>
        <w:spacing w:after="200" w:line="360"/>
        <w:jc w:val="both"/>
      </w:pPr>
      <w:r>
        <w:rPr>
          <w:rFonts w:ascii="Times New Roman" w:cs="Times New Roman" w:eastAsia="Times New Roman" w:hAnsi="Times New Roman"/>
          <w:b/>
          <w:bCs/>
          <w:sz w:val="24"/>
          <w:szCs w:val="24"/>
        </w:rPr>
        <w:t xml:space="preserve">TNFR1 as a one-way switch. </w:t>
      </w:r>
      <w:r>
        <w:rPr>
          <w:rFonts w:ascii="Times New Roman" w:cs="Times New Roman" w:eastAsia="Times New Roman" w:hAnsi="Times New Roman"/>
          <w:sz w:val="24"/>
          <w:szCs w:val="24"/>
        </w:rPr>
        <w:t xml:space="preserve">TNF-α forms Complex I (TRADD/RIP1/TRAF2 → NF-κB/FLIP, survival) or Complex II (TRADD/RIP1/FADD/caspase-8, apoptosis); under certain conditions, the inflammatory signal reactivates a dormant cell toward a proliferative/mesenchymal phenotype, bypassing the reverse route through mTOR/NR2F1.</w:t>
      </w:r>
    </w:p>
    <w:p>
      <w:pPr>
        <w:spacing w:after="200" w:line="360"/>
        <w:jc w:val="both"/>
      </w:pPr>
      <w:r>
        <w:rPr>
          <w:rFonts w:ascii="Times New Roman" w:cs="Times New Roman" w:eastAsia="Times New Roman" w:hAnsi="Times New Roman"/>
          <w:b/>
          <w:bCs/>
          <w:sz w:val="24"/>
          <w:szCs w:val="24"/>
        </w:rPr>
        <w:t xml:space="preserve">IL-17A as a separate trigger, independent of IFN-γ. </w:t>
      </w:r>
      <w:r>
        <w:rPr>
          <w:rFonts w:ascii="Times New Roman" w:cs="Times New Roman" w:eastAsia="Times New Roman" w:hAnsi="Times New Roman"/>
          <w:sz w:val="24"/>
          <w:szCs w:val="24"/>
        </w:rPr>
        <w:t xml:space="preserve">Induction and awakening are not symmetric operations of a single pathway run in reverse: IFN-γ induces dormancy, while IL-17A from CD4+ T cells awakens it — two independent, non-overlapping mechanisms.</w:t>
      </w:r>
    </w:p>
    <w:p>
      <w:pPr>
        <w:spacing w:after="200" w:line="360"/>
        <w:jc w:val="both"/>
      </w:pPr>
      <w:r>
        <w:rPr>
          <w:rFonts w:ascii="Times New Roman" w:cs="Times New Roman" w:eastAsia="Times New Roman" w:hAnsi="Times New Roman"/>
          <w:b/>
          <w:bCs/>
          <w:sz w:val="24"/>
          <w:szCs w:val="24"/>
        </w:rPr>
        <w:t xml:space="preserve">Open question (Gap). </w:t>
      </w:r>
      <w:r>
        <w:rPr>
          <w:rFonts w:ascii="Times New Roman" w:cs="Times New Roman" w:eastAsia="Times New Roman" w:hAnsi="Times New Roman"/>
          <w:sz w:val="24"/>
          <w:szCs w:val="24"/>
        </w:rPr>
        <w:t xml:space="preserve">The mechanism by which TNF-α/IL-17A technically removes (or bypasses) NR2F1-mediated chromatin repression is not directly traced in the available sources. This is a structural gap in the model requiring explicit acknowledgment rather than being filled by assumption.</w:t>
      </w:r>
    </w:p>
    <w:p>
      <w:pPr>
        <w:pStyle w:val="Heading1"/>
        <w:spacing w:after="160" w:before="320"/>
      </w:pPr>
      <w:r>
        <w:t xml:space="preserve">5.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600"/>
        <w:gridCol w:w="1560"/>
      </w:tblGrid>
      <w:tr>
        <w:tc>
          <w:tcPr>
            <w:tcW w:type="dxa" w:w="24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Component</w:t>
            </w:r>
          </w:p>
        </w:tc>
        <w:tc>
          <w:tcPr>
            <w:tcW w:type="dxa" w:w="18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Role</w:t>
            </w:r>
          </w:p>
        </w:tc>
        <w:tc>
          <w:tcPr>
            <w:tcW w:type="dxa" w:w="36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Mechanism</w:t>
            </w:r>
          </w:p>
        </w:tc>
        <w:tc>
          <w:tcPr>
            <w:tcW w:type="dxa" w:w="156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Status</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Entry into dormancy (energetic)</w:t>
            </w:r>
          </w:p>
        </w:tc>
        <w:tc>
          <w:tcPr>
            <w:tcW w:type="dxa" w:w="1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Decision</w:t>
            </w:r>
          </w:p>
        </w:tc>
        <w:tc>
          <w:tcPr>
            <w:tcW w:type="dxa" w:w="3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mTOR↓→NR2F1→p27/p16</w:t>
            </w:r>
          </w:p>
        </w:tc>
        <w:tc>
          <w:tcPr>
            <w:tcW w:type="dxa" w:w="15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Established</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Entry into dormancy (immune)</w:t>
            </w:r>
          </w:p>
        </w:tc>
        <w:tc>
          <w:tcPr>
            <w:tcW w:type="dxa" w:w="18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Decision</w:t>
            </w:r>
          </w:p>
        </w:tc>
        <w:tc>
          <w:tcPr>
            <w:tcW w:type="dxa" w:w="3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IFN-γ→IDO1–kynurenine–AhR→p27</w:t>
            </w:r>
          </w:p>
        </w:tc>
        <w:tc>
          <w:tcPr>
            <w:tcW w:type="dxa" w:w="1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Established</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Fuel base for dormancy</w:t>
            </w:r>
          </w:p>
        </w:tc>
        <w:tc>
          <w:tcPr>
            <w:tcW w:type="dxa" w:w="1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Reserve</w:t>
            </w:r>
          </w:p>
        </w:tc>
        <w:tc>
          <w:tcPr>
            <w:tcW w:type="dxa" w:w="3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HIF→GYS1↑→glycogen accumulation</w:t>
            </w:r>
          </w:p>
        </w:tc>
        <w:tc>
          <w:tcPr>
            <w:tcW w:type="dxa" w:w="15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Established</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Drawdown of reserve</w:t>
            </w:r>
          </w:p>
        </w:tc>
        <w:tc>
          <w:tcPr>
            <w:tcW w:type="dxa" w:w="18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Maintenance</w:t>
            </w:r>
          </w:p>
        </w:tc>
        <w:tc>
          <w:tcPr>
            <w:tcW w:type="dxa" w:w="3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PYGL, gradual</w:t>
            </w:r>
          </w:p>
        </w:tc>
        <w:tc>
          <w:tcPr>
            <w:tcW w:type="dxa" w:w="1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Established</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Failure of drawdown (model)</w:t>
            </w:r>
          </w:p>
        </w:tc>
        <w:tc>
          <w:tcPr>
            <w:tcW w:type="dxa" w:w="1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Maintenance pathology</w:t>
            </w:r>
          </w:p>
        </w:tc>
        <w:tc>
          <w:tcPr>
            <w:tcW w:type="dxa" w:w="3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PYGL block→ROS→p53 arrest</w:t>
            </w:r>
          </w:p>
        </w:tc>
        <w:tc>
          <w:tcPr>
            <w:tcW w:type="dxa" w:w="15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Established</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Failure of reserve (human, GSD)</w:t>
            </w:r>
          </w:p>
        </w:tc>
        <w:tc>
          <w:tcPr>
            <w:tcW w:type="dxa" w:w="18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Maintenance pathology</w:t>
            </w:r>
          </w:p>
        </w:tc>
        <w:tc>
          <w:tcPr>
            <w:tcW w:type="dxa" w:w="3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G6PC/GBE1 deficiency→mitochondrial dysfunction→apoptosis/oncogenesis</w:t>
            </w:r>
          </w:p>
        </w:tc>
        <w:tc>
          <w:tcPr>
            <w:tcW w:type="dxa" w:w="1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Established</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Awakening (inflammatory)</w:t>
            </w:r>
          </w:p>
        </w:tc>
        <w:tc>
          <w:tcPr>
            <w:tcW w:type="dxa" w:w="1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Exit</w:t>
            </w:r>
          </w:p>
        </w:tc>
        <w:tc>
          <w:tcPr>
            <w:tcW w:type="dxa" w:w="3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TNF-α→TNFR1 Complex I/II</w:t>
            </w:r>
          </w:p>
        </w:tc>
        <w:tc>
          <w:tcPr>
            <w:tcW w:type="dxa" w:w="15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Established</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Awakening (cytokine)</w:t>
            </w:r>
          </w:p>
        </w:tc>
        <w:tc>
          <w:tcPr>
            <w:tcW w:type="dxa" w:w="18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Exit</w:t>
            </w:r>
          </w:p>
        </w:tc>
        <w:tc>
          <w:tcPr>
            <w:tcW w:type="dxa" w:w="3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IL-17A (CD4+ T)</w:t>
            </w:r>
          </w:p>
        </w:tc>
        <w:tc>
          <w:tcPr>
            <w:tcW w:type="dxa" w:w="1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Established</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Removal of NR2F1 repression at awakening</w:t>
            </w:r>
          </w:p>
        </w:tc>
        <w:tc>
          <w:tcPr>
            <w:tcW w:type="dxa" w:w="1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w:t>
            </w:r>
          </w:p>
        </w:tc>
        <w:tc>
          <w:tcPr>
            <w:tcW w:type="dxa" w:w="3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w:t>
            </w:r>
          </w:p>
        </w:tc>
        <w:tc>
          <w:tcPr>
            <w:tcW w:type="dxa" w:w="15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Gap</w:t>
            </w:r>
          </w:p>
        </w:tc>
      </w:tr>
    </w:tbl>
    <w:p>
      <w:pPr>
        <w:pStyle w:val="Heading1"/>
        <w:spacing w:after="160" w:before="320"/>
      </w:pPr>
      <w:r>
        <w:t xml:space="preserve">Predictions</w:t>
      </w:r>
    </w:p>
    <w:p>
      <w:pPr>
        <w:spacing w:after="20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Cells driven into dormancy by different inducers (mTOR/NR2F1 vs. IFN-γ/IDO1) should show a similar chromatin profile at the p27 promoter (the shared convergence point), but a different profile at other NR2F1 targets.</w:t>
      </w:r>
    </w:p>
    <w:p>
      <w:pPr>
        <w:spacing w:after="20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ChIP-seq for NR2F1 targets before and after TNF-α/IL-17A-mediated awakening should reveal whether repression is lifted at the same loci occupied during induction, or whether awakening proceeds via a parallel gene set — a direct test of the gap identified in Section 4.</w:t>
      </w:r>
    </w:p>
    <w:p>
      <w:pPr>
        <w:spacing w:after="20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Fibroblasts or hepatocytes from GSD patients should show partial overlap in epigenetic profile (in particular at p27/p16 loci) with the profile of physiological NR2F1-mediated dormancy, if both mechanisms employ a similar type of chromatin repression in response to chronic metabolic stress.</w:t>
      </w:r>
    </w:p>
    <w:p>
      <w:pPr>
        <w:spacing w:after="200" w:line="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Restoring PYGL activity (or a pharmacological equivalent) in a GSD1a cell model should reduce ROS and partially reverse p53-dependent arrest, independently testing the causal, rather than merely correlative, role of unconsumed glycogen in this chain.</w:t>
      </w:r>
    </w:p>
    <w:p>
      <w:pPr>
        <w:spacing w:after="200" w:line="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Electron microscopy and local, genetically encoded ATP sensors should reveal non-random proximity of glycogen granules to the nuclear membrane and to sites of active chromatin remodeling specifically in dormant, rather than proliferating or differentiated, cells of the same type — a direct test of the hypothesis in Section 2.3.</w:t>
      </w:r>
    </w:p>
    <w:p>
      <w:pPr>
        <w:spacing w:after="200" w:line="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Directly measured Na/K-ATPase activity should be lower in cells with low mitochondrial membrane potential (a marker of deep dormancy) than in cells of the same type with high membrane potential, and this reduction should correlate with independently measured cytoplasmic density/stiffness, rather than merely with reduced overall transcriptional activity.</w:t>
      </w:r>
    </w:p>
    <w:p>
      <w:pPr>
        <w:pStyle w:val="Heading1"/>
        <w:spacing w:after="160" w:before="320"/>
      </w:pPr>
      <w:r>
        <w:t xml:space="preserve">Limitations</w:t>
      </w:r>
    </w:p>
    <w:p>
      <w:pPr>
        <w:spacing w:after="200" w:line="360"/>
        <w:jc w:val="both"/>
      </w:pPr>
      <w:r>
        <w:rPr>
          <w:rFonts w:ascii="Times New Roman" w:cs="Times New Roman" w:eastAsia="Times New Roman" w:hAnsi="Times New Roman"/>
          <w:i w:val="false"/>
          <w:iCs w:val="false"/>
          <w:sz w:val="24"/>
          <w:szCs w:val="24"/>
        </w:rPr>
        <w:t xml:space="preserve">The link between physiological (reversible, NR2F1-mediated) dormancy and pathological glycogen accumulation in GSD remains at the level of structural analogy rather than a direct comparison performed on the same cells within a single study. The open question regarding the mechanism of NR2F1 de-repression at awakening (Section 4) is not resolved by any of the cited sources and requires dedicated testing before the model can be considered closed. The hypothesis of a local, subcellular glycogen-based ATP buffer (Section 2.3) remains untested specifically for dormant cells — all evidence presented is drawn from other systems (neurons, yeast, muscle) or reflects total, rather than subcellular, glycogen content (aging hematopoietic cells), and should be regarded as a physiologically plausible extension rather than an established fact.</w:t>
      </w:r>
    </w:p>
    <w:p>
      <w:pPr>
        <w:spacing w:after="200" w:line="360"/>
        <w:jc w:val="both"/>
      </w:pPr>
      <w:r>
        <w:rPr>
          <w:rFonts w:ascii="Times New Roman" w:cs="Times New Roman" w:eastAsia="Times New Roman" w:hAnsi="Times New Roman"/>
          <w:i w:val="false"/>
          <w:iCs w:val="false"/>
          <w:sz w:val="24"/>
          <w:szCs w:val="24"/>
        </w:rPr>
        <w:t xml:space="preserve">This series adheres to an explicit three-tier classification of claims: Established (directly shown in the cited studies), Framework interpretation (an interpretation of established data in terms of the Framework's architecture, not itself directly tested), and Framework hypothesis (a new mechanistic idea proposed within the Framework, not yet empirically tested — for example, the local glycogen ATP buffer or the effect of cytoplasmic density on ion-pump energy cost).</w:t>
      </w:r>
    </w:p>
    <w:p>
      <w:pPr>
        <w:pStyle w:val="Heading1"/>
        <w:spacing w:after="160" w:before="320"/>
      </w:pPr>
      <w:r>
        <w:t xml:space="preserve">References</w:t>
      </w:r>
    </w:p>
    <w:p>
      <w:pPr>
        <w:spacing w:after="200" w:line="360"/>
        <w:jc w:val="both"/>
      </w:pPr>
      <w:r>
        <w:rPr>
          <w:rFonts w:ascii="Times New Roman" w:cs="Times New Roman" w:eastAsia="Times New Roman" w:hAnsi="Times New Roman"/>
          <w:i w:val="false"/>
          <w:iCs w:val="false"/>
          <w:sz w:val="24"/>
          <w:szCs w:val="24"/>
        </w:rPr>
        <w:t xml:space="preserve">1. Khalil BD, Sanchez R, Rahman T, Rodriguez-Tirado C, Moritsch S, Rodriguez Martinez A, Miles B, Farias E, Mezei M, Cheung JF, Nobre AR, Kale N, Sproll KC, Sosa MS, Aguirre-Ghiso JA. A specific agonist of the orphan nuclear receptor NR2F1 suppresses metastasis through the induction of cancer cell dormancy. J Exp Med. 2022;219(1):e20210836. doi:10.1084/jem.20210836.</w:t>
      </w:r>
    </w:p>
    <w:p>
      <w:pPr>
        <w:spacing w:after="200" w:line="360"/>
        <w:jc w:val="both"/>
      </w:pPr>
      <w:r>
        <w:rPr>
          <w:rFonts w:ascii="Times New Roman" w:cs="Times New Roman" w:eastAsia="Times New Roman" w:hAnsi="Times New Roman"/>
          <w:i w:val="false"/>
          <w:iCs w:val="false"/>
          <w:sz w:val="24"/>
          <w:szCs w:val="24"/>
        </w:rPr>
        <w:t xml:space="preserve">2. Favaro E, Bensaad K, Chong MG, Tennant DA, Ferguson DJP, Snell C, Steers G, Turley H, Li JL, Günther UL, Buffa FM, McIntyre A, Harris AL. Glucose utilization via glycogen phosphorylase sustains proliferation and prevents premature senescence in cancer cells. Cell Metab. 2012;16(6):751–764. doi:10.1016/j.cmet.2012.10.017.</w:t>
      </w:r>
    </w:p>
    <w:p>
      <w:pPr>
        <w:spacing w:after="200" w:line="360"/>
        <w:jc w:val="both"/>
      </w:pPr>
      <w:r>
        <w:rPr>
          <w:rFonts w:ascii="Times New Roman" w:cs="Times New Roman" w:eastAsia="Times New Roman" w:hAnsi="Times New Roman"/>
          <w:i w:val="false"/>
          <w:iCs w:val="false"/>
          <w:sz w:val="24"/>
          <w:szCs w:val="24"/>
        </w:rPr>
        <w:t xml:space="preserve">3. Imaging glycogenesis as a novel biomarker of drug-induced quiescence and senescence. EPSRC Centre for Doctoral Training in Smart Medical Imaging, 2020.</w:t>
      </w:r>
    </w:p>
    <w:p>
      <w:pPr>
        <w:spacing w:after="200" w:line="360"/>
        <w:jc w:val="both"/>
      </w:pPr>
      <w:r>
        <w:rPr>
          <w:rFonts w:ascii="Times New Roman" w:cs="Times New Roman" w:eastAsia="Times New Roman" w:hAnsi="Times New Roman"/>
          <w:i w:val="false"/>
          <w:iCs w:val="false"/>
          <w:sz w:val="24"/>
          <w:szCs w:val="24"/>
        </w:rPr>
        <w:t xml:space="preserve">4. Pescador N, Villar D, Cifuentes D, Garcia-Rocha M, Ortiz-Barahona A, Vazquez S, Ordoñez A, Cuevas Y, Saez-Morales D, Garcia-Bermejo ML, Landazuri MO, Guinovart J, del Peso L. Hypoxia promotes glycogen accumulation through hypoxia inducible factor (HIF)-mediated induction of glycogen synthase 1. PLoS One. 2010;5(3):e9644. doi:10.1371/journal.pone.0009644.</w:t>
      </w:r>
    </w:p>
    <w:p>
      <w:pPr>
        <w:spacing w:after="200" w:line="360"/>
        <w:jc w:val="both"/>
      </w:pPr>
      <w:r>
        <w:rPr>
          <w:rFonts w:ascii="Times New Roman" w:cs="Times New Roman" w:eastAsia="Times New Roman" w:hAnsi="Times New Roman"/>
          <w:i w:val="false"/>
          <w:iCs w:val="false"/>
          <w:sz w:val="24"/>
          <w:szCs w:val="24"/>
        </w:rPr>
        <w:t xml:space="preserve">5. Cellular senescence in hepatocytes contributes to metabolic disturbances in NASH. Front Cell Dev Biol / PMC9441597. 2022.</w:t>
      </w:r>
    </w:p>
    <w:p>
      <w:pPr>
        <w:spacing w:after="200" w:line="360"/>
        <w:jc w:val="both"/>
      </w:pPr>
      <w:r>
        <w:rPr>
          <w:rFonts w:ascii="Times New Roman" w:cs="Times New Roman" w:eastAsia="Times New Roman" w:hAnsi="Times New Roman"/>
          <w:i w:val="false"/>
          <w:iCs w:val="false"/>
          <w:sz w:val="24"/>
          <w:szCs w:val="24"/>
        </w:rPr>
        <w:t xml:space="preserve">6. Glycogen storage diseases: An update. PMC10354582.</w:t>
      </w:r>
    </w:p>
    <w:p>
      <w:pPr>
        <w:spacing w:after="200" w:line="360"/>
        <w:jc w:val="both"/>
      </w:pPr>
      <w:r>
        <w:rPr>
          <w:rFonts w:ascii="Times New Roman" w:cs="Times New Roman" w:eastAsia="Times New Roman" w:hAnsi="Times New Roman"/>
          <w:i w:val="false"/>
          <w:iCs w:val="false"/>
          <w:sz w:val="24"/>
          <w:szCs w:val="24"/>
        </w:rPr>
        <w:t xml:space="preserve">7. Farah BL, Sinha RA, Wu Y, Singh BK, Lim A, Hirayama M, Landau DJ, Bay BH, Koeberl DD, Yen PM. Hepatic mitochondrial dysfunction is a feature of Glycogen Storage Disease Type Ia (GSDIa). Sci Rep. 2017;7:44408. doi:10.1038/srep44408.</w:t>
      </w:r>
    </w:p>
    <w:p>
      <w:pPr>
        <w:spacing w:after="200" w:line="360"/>
        <w:jc w:val="both"/>
      </w:pPr>
      <w:r>
        <w:rPr>
          <w:rFonts w:ascii="Times New Roman" w:cs="Times New Roman" w:eastAsia="Times New Roman" w:hAnsi="Times New Roman"/>
          <w:i w:val="false"/>
          <w:iCs w:val="false"/>
          <w:sz w:val="24"/>
          <w:szCs w:val="24"/>
        </w:rPr>
        <w:t xml:space="preserve">8. Disease-associated programming of cell memory in glycogen storage disorder type 1a. bioRxiv. 2023.</w:t>
      </w:r>
    </w:p>
    <w:p>
      <w:pPr>
        <w:spacing w:after="200" w:line="360"/>
        <w:jc w:val="both"/>
      </w:pPr>
      <w:r>
        <w:rPr>
          <w:rFonts w:ascii="Times New Roman" w:cs="Times New Roman" w:eastAsia="Times New Roman" w:hAnsi="Times New Roman"/>
          <w:i w:val="false"/>
          <w:iCs w:val="false"/>
          <w:sz w:val="24"/>
          <w:szCs w:val="24"/>
        </w:rPr>
        <w:t xml:space="preserve">9. Type Ia Glycogen Storage Disease. Medscape, 2026.</w:t>
      </w:r>
    </w:p>
    <w:p>
      <w:pPr>
        <w:spacing w:after="200" w:line="360"/>
        <w:jc w:val="both"/>
      </w:pPr>
      <w:r>
        <w:rPr>
          <w:rFonts w:ascii="Times New Roman" w:cs="Times New Roman" w:eastAsia="Times New Roman" w:hAnsi="Times New Roman"/>
          <w:i w:val="false"/>
          <w:iCs w:val="false"/>
          <w:sz w:val="24"/>
          <w:szCs w:val="24"/>
        </w:rPr>
        <w:t xml:space="preserve">10. Glycogen storage disease type III. MedlinePlus Genetics.</w:t>
      </w:r>
    </w:p>
    <w:p>
      <w:pPr>
        <w:spacing w:after="200" w:line="360"/>
        <w:jc w:val="both"/>
      </w:pPr>
      <w:r>
        <w:rPr>
          <w:rFonts w:ascii="Times New Roman" w:cs="Times New Roman" w:eastAsia="Times New Roman" w:hAnsi="Times New Roman"/>
          <w:i w:val="false"/>
          <w:iCs w:val="false"/>
          <w:sz w:val="24"/>
          <w:szCs w:val="24"/>
        </w:rPr>
        <w:t xml:space="preserve">11. Two cases of a non-progressive hepatic form of glycogen storage disease type IV with atypical liver pathology. PMC7235638.</w:t>
      </w:r>
    </w:p>
    <w:p>
      <w:pPr>
        <w:spacing w:after="200" w:line="360"/>
        <w:jc w:val="both"/>
      </w:pPr>
      <w:r>
        <w:rPr>
          <w:rFonts w:ascii="Times New Roman" w:cs="Times New Roman" w:eastAsia="Times New Roman" w:hAnsi="Times New Roman"/>
          <w:i w:val="false"/>
          <w:iCs w:val="false"/>
          <w:sz w:val="24"/>
          <w:szCs w:val="24"/>
        </w:rPr>
        <w:t xml:space="preserve">12. Neuronal glycolysis: focus on developmental morphogenesis and localized subcellular functions. PMC11037282.</w:t>
      </w:r>
    </w:p>
    <w:p>
      <w:pPr>
        <w:spacing w:after="200" w:line="360"/>
        <w:jc w:val="both"/>
      </w:pPr>
      <w:r>
        <w:rPr>
          <w:rFonts w:ascii="Times New Roman" w:cs="Times New Roman" w:eastAsia="Times New Roman" w:hAnsi="Times New Roman"/>
          <w:i w:val="false"/>
          <w:iCs w:val="false"/>
          <w:sz w:val="24"/>
          <w:szCs w:val="24"/>
        </w:rPr>
        <w:t xml:space="preserve">13. Jang S, Nelson JC, Bend EG, Rodríguez-Laureano L, Tueros FG, Cartagenova L, Underwood K, Jorgensen EM, Colon-Ramos DA. Glycolytic enzymes localize to synapses under energy stress to support synaptic function. Neuron. 2016;90(2):278–291. doi:10.1016/j.neuron.2016.03.011.</w:t>
      </w:r>
    </w:p>
    <w:p>
      <w:pPr>
        <w:spacing w:after="200" w:line="360"/>
        <w:jc w:val="both"/>
      </w:pPr>
      <w:r>
        <w:rPr>
          <w:rFonts w:ascii="Times New Roman" w:cs="Times New Roman" w:eastAsia="Times New Roman" w:hAnsi="Times New Roman"/>
          <w:i w:val="false"/>
          <w:iCs w:val="false"/>
          <w:sz w:val="24"/>
          <w:szCs w:val="24"/>
        </w:rPr>
        <w:t xml:space="preserve">14. Ortenblad N, Nielsen J, et al. The spatial distribution of glycogen and glycogen consumption in muscle cells. J Gen Physiol. 2022;154(9):e202213238.</w:t>
      </w:r>
    </w:p>
    <w:p>
      <w:pPr>
        <w:spacing w:after="200" w:line="360"/>
        <w:jc w:val="both"/>
      </w:pPr>
      <w:r>
        <w:rPr>
          <w:rFonts w:ascii="Times New Roman" w:cs="Times New Roman" w:eastAsia="Times New Roman" w:hAnsi="Times New Roman"/>
          <w:i w:val="false"/>
          <w:iCs w:val="false"/>
          <w:sz w:val="24"/>
          <w:szCs w:val="24"/>
        </w:rPr>
        <w:t xml:space="preserve">15. Poisa-Beiro L, Landry TJ, Sauer S, Yamamoto A, Eckstein V, Romanov N, Raffel S, Hoffmann GF, Bork P, Benes V, et al. Glycogen accumulation, central carbon metabolism, and aging of hematopoietic stem and progenitor cells. Sci Rep. 2020;10:11597. doi:10.1038/s41598-020-68396-2.</w:t>
      </w:r>
    </w:p>
    <w:p>
      <w:pPr>
        <w:spacing w:after="200" w:line="360"/>
        <w:jc w:val="both"/>
      </w:pPr>
      <w:r>
        <w:rPr>
          <w:rFonts w:ascii="Times New Roman" w:cs="Times New Roman" w:eastAsia="Times New Roman" w:hAnsi="Times New Roman"/>
          <w:i w:val="false"/>
          <w:iCs w:val="false"/>
          <w:sz w:val="24"/>
          <w:szCs w:val="24"/>
        </w:rPr>
        <w:t xml:space="preserve">16. Gusarov I, Pani B, Gautier L, Smolentseva O, Eremina S, Shamovsky I, Katkova-Zhukotskaya O, Mironov A, Nudler E. Glycogen controls Caenorhabditis elegans lifespan and resistance to oxidative stress. Nat Commun. 2017;8:15868. doi:10.1038/ncomms15868.</w:t>
      </w:r>
    </w:p>
    <w:p>
      <w:pPr>
        <w:spacing w:after="200" w:line="360"/>
        <w:jc w:val="both"/>
      </w:pPr>
      <w:r>
        <w:rPr>
          <w:rFonts w:ascii="Times New Roman" w:cs="Times New Roman" w:eastAsia="Times New Roman" w:hAnsi="Times New Roman"/>
          <w:i w:val="false"/>
          <w:iCs w:val="false"/>
          <w:sz w:val="24"/>
          <w:szCs w:val="24"/>
        </w:rPr>
        <w:t xml:space="preserve">17. The role of metabolism in cellular quiescence. PMC10445740.</w:t>
      </w:r>
    </w:p>
    <w:p>
      <w:pPr>
        <w:spacing w:after="200" w:line="360"/>
        <w:jc w:val="both"/>
      </w:pPr>
      <w:r>
        <w:rPr>
          <w:rFonts w:ascii="Times New Roman" w:cs="Times New Roman" w:eastAsia="Times New Roman" w:hAnsi="Times New Roman"/>
          <w:i w:val="false"/>
          <w:iCs w:val="false"/>
          <w:sz w:val="24"/>
          <w:szCs w:val="24"/>
        </w:rPr>
        <w:t xml:space="preserve">18. Cellular Mechanisms and Regulation of Quiescence. Dev Cell. 2020.</w:t>
      </w:r>
    </w:p>
    <w:p>
      <w:pPr>
        <w:spacing w:after="200" w:line="360"/>
        <w:jc w:val="both"/>
      </w:pPr>
      <w:r>
        <w:rPr>
          <w:rFonts w:ascii="Times New Roman" w:cs="Times New Roman" w:eastAsia="Times New Roman" w:hAnsi="Times New Roman"/>
          <w:i w:val="false"/>
          <w:iCs w:val="false"/>
          <w:sz w:val="24"/>
          <w:szCs w:val="24"/>
        </w:rPr>
        <w:t xml:space="preserve">19. Hematopoietic Stem Cell Quiescence Exposed Using Mitochondrial Membrane Potential. PMC9960947.</w:t>
      </w:r>
    </w:p>
    <w:p>
      <w:pPr>
        <w:spacing w:after="200" w:line="360"/>
        <w:jc w:val="both"/>
      </w:pPr>
      <w:r>
        <w:rPr>
          <w:rFonts w:ascii="Times New Roman" w:cs="Times New Roman" w:eastAsia="Times New Roman" w:hAnsi="Times New Roman"/>
          <w:i w:val="false"/>
          <w:iCs w:val="false"/>
          <w:sz w:val="24"/>
          <w:szCs w:val="24"/>
        </w:rPr>
        <w:t xml:space="preserve">20. Mitochondrial Respiratory Quiescence: A new model for examining the role of mitochondrial metabolism in development. PMC9576824.</w:t>
      </w:r>
    </w:p>
    <w:p>
      <w:pPr>
        <w:spacing w:after="200" w:line="360"/>
        <w:jc w:val="both"/>
      </w:pPr>
      <w:r>
        <w:rPr>
          <w:rFonts w:ascii="Times New Roman" w:cs="Times New Roman" w:eastAsia="Times New Roman" w:hAnsi="Times New Roman"/>
          <w:i w:val="false"/>
          <w:iCs w:val="false"/>
          <w:sz w:val="24"/>
          <w:szCs w:val="24"/>
        </w:rPr>
        <w:t xml:space="preserve">21. Harris JW, Kellermeyer RW. The Red Cell: Production, Metabolism, Destruction: Normal and Abnormal. Harvard University Press, 1970.</w:t>
      </w:r>
    </w:p>
    <w:p>
      <w:r>
        <w:br w:type="page"/>
      </w:r>
    </w:p>
    <w:p>
      <w:pPr>
        <w:spacing w:after="400"/>
        <w:jc w:val="center"/>
      </w:pPr>
      <w:r>
        <w:rPr>
          <w:rFonts w:ascii="Times New Roman" w:cs="Times New Roman" w:eastAsia="Times New Roman" w:hAnsi="Times New Roman"/>
          <w:b/>
          <w:bCs/>
          <w:sz w:val="25"/>
          <w:szCs w:val="25"/>
        </w:rPr>
        <w:t xml:space="preserve">Framework 1.3, Article 6: Senescence as a Modular Arrest Regime, and Mitochondrial Migration as a Physical Mechanism of Forced Cellular Maturation</w:t>
      </w:r>
    </w:p>
    <w:p>
      <w:pPr>
        <w:spacing w:after="60"/>
        <w:jc w:val="center"/>
      </w:pPr>
      <w:r>
        <w:rPr>
          <w:rFonts w:ascii="Times New Roman" w:cs="Times New Roman" w:eastAsia="Times New Roman" w:hAnsi="Times New Roman"/>
          <w:sz w:val="24"/>
          <w:szCs w:val="24"/>
        </w:rPr>
        <w:t xml:space="preserve">Yuri Dmitrochenko, MD</w:t>
      </w:r>
    </w:p>
    <w:p>
      <w:pPr>
        <w:spacing w:after="500"/>
        <w:jc w:val="center"/>
      </w:pPr>
      <w:r>
        <w:rPr>
          <w:rFonts w:ascii="Times New Roman" w:cs="Times New Roman" w:eastAsia="Times New Roman" w:hAnsi="Times New Roman"/>
          <w:i/>
          <w:iCs/>
          <w:sz w:val="22"/>
          <w:szCs w:val="22"/>
        </w:rPr>
        <w:t xml:space="preserve">Independent researcher, Israel</w:t>
      </w:r>
    </w:p>
    <w:p>
      <w:pPr>
        <w:pStyle w:val="Heading1"/>
        <w:spacing w:after="160" w:before="320"/>
      </w:pPr>
      <w:r>
        <w:t xml:space="preserve">Abstract</w:t>
      </w:r>
    </w:p>
    <w:p>
      <w:pPr>
        <w:spacing w:after="200" w:line="360"/>
        <w:jc w:val="both"/>
      </w:pPr>
      <w:r>
        <w:rPr>
          <w:rFonts w:ascii="Times New Roman" w:cs="Times New Roman" w:eastAsia="Times New Roman" w:hAnsi="Times New Roman"/>
          <w:i w:val="false"/>
          <w:iCs w:val="false"/>
          <w:sz w:val="24"/>
          <w:szCs w:val="24"/>
        </w:rPr>
        <w:t xml:space="preserve">This article examines the least settled portion of the current monograph. The starting point is senescence, reframed not as terminal breakdown but as an evolutionarily ancient, originally temporary regime of “self-maintenance at any cost,” employing the same modular molecular toolkit (CDK inhibitors, the Rb/E2F axis) as quiescence, but deployed at different points along the developmental trajectory. The conversion of a temporary arrest into a permanent one is shown to be explained by desynchronization with mTOR (geroconversion). The article then turns to a physical mechanism by which cell fate may be forced rather than autonomously chosen: direct transfer of mitochondria from a mature to an immature cell via tunneling nanotubes, which reorganizes the recipient's cytoskeleton and activates the same central mTOR node, potentially forcing premature acquisition of a mature, OXPHOS-dependent energetic profile — by analogy with an extremely preterm infant's lungs being forced into function before full developmental readiness. All constructs in this article are exploratory and are explicitly flagged according to the three-tier system (Established / Framework interpretation / Framework hypothesis) adopted in this monograph.</w:t>
      </w:r>
    </w:p>
    <w:p>
      <w:pPr>
        <w:pStyle w:val="Heading1"/>
        <w:spacing w:after="160" w:before="320"/>
      </w:pPr>
      <w:r>
        <w:t xml:space="preserve">1. Senescence as an Ancient, Modular Self-Maintenance Regime</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Senescence is accompanied by paradoxically high, rather than low, metabolic activity — increased mitochondrial mass, ROS production, intensive SASP secretion — despite permanent cell-cycle arrest. The direction of the metabolic shift (glycolysis vs. OXPHOS) is heterogeneous and depends on cell type and the cause of induction, precluding a universal rule.</w:t>
      </w:r>
    </w:p>
    <w:p>
      <w:pPr>
        <w:spacing w:after="200" w:line="360"/>
        <w:jc w:val="both"/>
      </w:pPr>
      <w:r>
        <w:rPr>
          <w:rFonts w:ascii="Times New Roman" w:cs="Times New Roman" w:eastAsia="Times New Roman" w:hAnsi="Times New Roman"/>
          <w:b/>
          <w:bCs/>
          <w:i/>
          <w:iCs/>
          <w:sz w:val="24"/>
          <w:szCs w:val="24"/>
        </w:rPr>
        <w:t xml:space="preserve">(Framework interpretation) </w:t>
      </w:r>
      <w:r>
        <w:rPr>
          <w:rFonts w:ascii="Times New Roman" w:cs="Times New Roman" w:eastAsia="Times New Roman" w:hAnsi="Times New Roman"/>
          <w:sz w:val="24"/>
          <w:szCs w:val="24"/>
        </w:rPr>
        <w:t xml:space="preserve">It is more accurate to describe senescence not as a directional shift in preference between glycolysis and OXPHOS, but as a state of maximal total energy expenditure with declining efficiency of use — that is, “agony” in the sense of the volume and disorder of resource expenditure, rather than the choice of a specific fuel.</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The evolutionary roots of senescence trace back to unicellular organisms — yeast and bacteria — where a limited replicative potential is already present. It has also been shown that formally symmetrically dividing bacteria (E. coli) exhibit physical asymmetry: each daughter cell inherits one old and one new cell-wall pole, and the cell inheriting the old pole, which accumulates misfolded proteins, ages faster and dies more often. In Caulobacter crescentus, a direct bacterial analog of differentiation is documented: a motile swarmer cell irreversibly converts into a non-motile, reproductively active stalked cell.</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Senescence is not necessarily permanent by nature. It has been described as “a journey toward a full-featured arrest condition of variable strength and depth,” dependent on continuously operating maintenance mechanisms rather than a binary, default-irreversible switch. Direct support comes from programmed, temporary senescence in normal embryonic development (kidney, ear, neural roof plate) in mice, birds, amphibians, and fish, eliminable by a senolytic without harm once its function has been served; separately, a literal molecular timer has been documented — p21 expression in certain contexts normalizes within four days, after which recruited macrophages withdraw and the cells are not cleared.</w:t>
      </w:r>
    </w:p>
    <w:p>
      <w:pPr>
        <w:pStyle w:val="Heading1"/>
        <w:spacing w:after="160" w:before="320"/>
      </w:pPr>
      <w:r>
        <w:t xml:space="preserve">2. A Single Modular Toolkit Deployed at Different Points</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The same basic toolkit — the CDK inhibitors p21, p27, p16 and the Rb/E2F axis — is repeatedly reused as an arrest switch across different contexts: quiescence is preferentially p27-mediated and arrests the cell in G1 before the restriction point (R-point); senescence is mediated by p16/p21 and can arrest the cell in either G1 or G2, depending on which checkpoint is activated. This is not three different mechanisms but a single module deployed at different points along the trajectory.</w:t>
      </w:r>
    </w:p>
    <w:p>
      <w:pPr>
        <w:pStyle w:val="Heading1"/>
        <w:spacing w:after="160" w:before="320"/>
      </w:pPr>
      <w:r>
        <w:t xml:space="preserve">3. Geroconversion: Why a Temporary Arrest Sometimes Becomes Permanent</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Not every arrest leads to senescence. Serum withdrawal, contact inhibition, nutrient starvation, and rapamycin all produce reversible arrest (quiescence) precisely because they simultaneously suppress the mTOR pathway. DNA damage produces arrest via p21/p16 but does not switch off mTOR — growth-promoting pathways (mTOR, MEK/MAPK) continue operating in parallel with the already-arrested cycle. This “futile” continuation of the growth program under a blocked cycle converts a temporary arrest into irreversible senescence — a process termed geroconversion.</w:t>
      </w:r>
    </w:p>
    <w:p>
      <w:pPr>
        <w:spacing w:after="200" w:line="360"/>
        <w:jc w:val="both"/>
      </w:pPr>
      <w:r>
        <w:rPr>
          <w:rFonts w:ascii="Times New Roman" w:cs="Times New Roman" w:eastAsia="Times New Roman" w:hAnsi="Times New Roman"/>
          <w:b/>
          <w:bCs/>
          <w:i/>
          <w:iCs/>
          <w:sz w:val="24"/>
          <w:szCs w:val="24"/>
        </w:rPr>
        <w:t xml:space="preserve">(Framework interpretation) </w:t>
      </w:r>
      <w:r>
        <w:rPr>
          <w:rFonts w:ascii="Times New Roman" w:cs="Times New Roman" w:eastAsia="Times New Roman" w:hAnsi="Times New Roman"/>
          <w:sz w:val="24"/>
          <w:szCs w:val="24"/>
        </w:rPr>
        <w:t xml:space="preserve">What determines the outcome is not the fact of arrest itself (p21/p16/CDK) but the status of mTOR at the moment of arrest — the same node that is already central to the entire architecture of this Framework (IGF1R→mTOR→NR2F1). If mTOR is suppressed together with cell-cycle arrest, the system correctly “knows” when to lift the pause; if mTOR continues signaling “grow” while the cycle is already blocked, a desynchronization arises that converts a temporary halt into a permanent one.</w:t>
      </w:r>
    </w:p>
    <w:p>
      <w:pPr>
        <w:pStyle w:val="Heading1"/>
        <w:spacing w:after="160" w:before="320"/>
      </w:pPr>
      <w:r>
        <w:t xml:space="preserve">4. Death of the Senescent Cell: Blocked Apoptosis, Immune Masking, Necrosis When Defenses Are Breached</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Senescent cells are, by default, resistant to apoptosis — actively protected from both intrinsic and extrinsic pro-apoptotic signals via senescent-cell anti-apoptotic pathways (SCAPs), including MVP-mediated modulation of Bcl-2. This resistance is not universal: the same cardiac glycosides kill senescent A549 cells but not mesenchymal stem cells, which acquire genuine apoptosis resistance upon becoming senescent.</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Senescent cells additionally mask themselves from immune surveillance by upregulating PD-L1 — a structural parallel to the CD200/STING masking of dormancy discussed elsewhere in this series.</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When this defense is forcibly breached (by a senolytic targeting the B2M antigen), cell death occurs via necrosis rather than apoptosis — direct confirmation that when the apoptotic program has been pre-emptively disabled, forced death is realized through a catastrophic rather than a controlled pathway.</w:t>
      </w:r>
    </w:p>
    <w:p>
      <w:pPr>
        <w:pStyle w:val="Heading1"/>
        <w:spacing w:after="160" w:before="320"/>
      </w:pPr>
      <w:r>
        <w:t xml:space="preserve">5. Mitochondrial Migration into the Immature Cell and Associated Cytoplasmic Changes</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Direct transfer of mitochondria from a mature to an immature cell is a documented physical mechanism. Mitochondria are transferred through tunneling nanotubes (TNTs) — thin, F-actin-containing membrane bridges between cells. When embryonic stem cells (ESCs) are co-cultured with more mature SHED (stem cells from human exfoliated deciduous teeth), SHED mitochondria migrate into the ESCs via TNTs and induce their differentiation toward a neural crest fate. Mature osteoblasts secrete fragmented mitochondria that accelerate the differentiation of osteoprogenitor cells. In both cases, transfer runs from the more mature to the less mature cell, and the result is a forced shift of the recipient toward maturation.</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Formation of the transfer channel itself is an actively directed, not passive, process. Drp1 in the donor cell triggers reorganization of actin and microtubules via interaction with filamin and kinesin, physically building the nanotube. The donor cell's centrosome and Golgi apparatus reorient precisely toward the site of TNT formation, ensuring directed, polarized cargo transport.</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Receiving a mitochondrion reorganizes the recipient cell's cytoskeleton. In mitochondrial transfer from T24 to RT4 bladder cancer cells, direct redistribution of F-actin was recorded in the recipient cell — that is, acquisition of a foreign organelle physically alters the internal architecture of the cytoplasm, rather than merely adding an energy source.</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This reorganization is accompanied by activation of the model's central node — mTOR. In the same study, mitochondrial transfer was followed by activation of Akt, mTOR, and their downstream targets in the recipient cell, leading to increased invasiveness. This provides a direct link, not previously documented in this series: the physical acquisition of a mature mitochondrion may by itself suffice to engage the signaling node that, throughout this Framework's architecture, determines whether a cell divides, differentiates, or enters dormancy.</w:t>
      </w:r>
    </w:p>
    <w:p>
      <w:pPr>
        <w:spacing w:after="200" w:line="360"/>
        <w:jc w:val="both"/>
      </w:pPr>
      <w:r>
        <w:rPr>
          <w:rFonts w:ascii="Times New Roman" w:cs="Times New Roman" w:eastAsia="Times New Roman" w:hAnsi="Times New Roman"/>
          <w:b/>
          <w:bCs/>
          <w:i/>
          <w:iCs/>
          <w:sz w:val="24"/>
          <w:szCs w:val="24"/>
        </w:rPr>
        <w:t xml:space="preserve">(Framework hypothesis) </w:t>
      </w:r>
      <w:r>
        <w:rPr>
          <w:rFonts w:ascii="Times New Roman" w:cs="Times New Roman" w:eastAsia="Times New Roman" w:hAnsi="Times New Roman"/>
          <w:sz w:val="24"/>
          <w:szCs w:val="24"/>
        </w:rPr>
        <w:t xml:space="preserve">F-actin reorganization around a newly acquired mitochondrion as a possible local, rather than cell-wide, analog of synaeresis. No direct data measuring cytoplasmic density or stiffness specifically in the zone of integration of a transferred organelle were found. Working hypothesis: the observed F-actin redistribution may represent not a diffuse but a focal, locally densifying response — mechanical stabilization immediately surrounding the foreign mitochondrion that the cell must integrate into its own metabolic circuit before that mitochondrion can function stably in its new environment.</w:t>
      </w:r>
    </w:p>
    <w:p>
      <w:pPr>
        <w:spacing w:after="200" w:line="360"/>
        <w:jc w:val="both"/>
      </w:pPr>
      <w:r>
        <w:rPr>
          <w:rFonts w:ascii="Times New Roman" w:cs="Times New Roman" w:eastAsia="Times New Roman" w:hAnsi="Times New Roman"/>
          <w:b/>
          <w:bCs/>
          <w:i/>
          <w:iCs/>
          <w:sz w:val="24"/>
          <w:szCs w:val="24"/>
        </w:rPr>
        <w:t xml:space="preserve">(Framework interpretation) </w:t>
      </w:r>
      <w:r>
        <w:rPr>
          <w:rFonts w:ascii="Times New Roman" w:cs="Times New Roman" w:eastAsia="Times New Roman" w:hAnsi="Times New Roman"/>
          <w:sz w:val="24"/>
          <w:szCs w:val="24"/>
        </w:rPr>
        <w:t xml:space="preserve">Analogy with premature breathing in an extremely preterm infant. Just as birth mechanically forces immature lungs to begin functioning before the alveolar apparatus is ready to produce sufficient surfactant, direct physical contact with an already mature, respiring mitochondrion via a TNT may forcibly switch on OXPHOS infrastructure in an immature cell that is not yet ready to produce it autonomously. A plausible cost of such forcing is that where the recipient cell fails to build sufficient local structural support in time (an analog of surfactant in the infant), integration of the foreign mitochondrion may be incomplete or may generate oxidative stress — but this is not yet supported by direct data and requires separate testing.</w:t>
      </w:r>
    </w:p>
    <w:p>
      <w:pPr>
        <w:pStyle w:val="Heading1"/>
        <w:spacing w:after="160" w:before="320"/>
      </w:pPr>
      <w:r>
        <w:t xml:space="preserve">Limitations</w:t>
      </w:r>
    </w:p>
    <w:p>
      <w:pPr>
        <w:spacing w:after="200" w:line="360"/>
        <w:jc w:val="both"/>
      </w:pPr>
      <w:r>
        <w:rPr>
          <w:rFonts w:ascii="Times New Roman" w:cs="Times New Roman" w:eastAsia="Times New Roman" w:hAnsi="Times New Roman"/>
          <w:i w:val="false"/>
          <w:iCs w:val="false"/>
          <w:sz w:val="24"/>
          <w:szCs w:val="24"/>
        </w:rPr>
        <w:t xml:space="preserve">This article examines the least settled portion of the monograph. The link between mitochondrial transfer via tunneling nanotubes and forced metabolic maturation is well documented for the specific systems cited (ESC/SHED co-culture, osteoblast/osteoprogenitor signaling, T24/RT4 bladder cancer cells), but the proposed connection to synaeresis — a local, focal densification of cytoplasm around the newly acquired organelle — is a working hypothesis with no direct supporting measurement of cytoplasmic density or stiffness in this specific context. The premature-infant analogy is offered as an interpretive frame, not as evidence of a shared mechanism between pulmonary and cellular maturation. Geroconversion as an explanation for the conversion of temporary arrest into permanent arrest is well established for cell culture systems; its relationship, if any, to mitochondria-transfer-driven maturation has not been examined and is not asserted here.</w:t>
      </w:r>
    </w:p>
    <w:p>
      <w:pPr>
        <w:pStyle w:val="Heading1"/>
        <w:spacing w:after="160" w:before="320"/>
      </w:pPr>
      <w:r>
        <w:t xml:space="preserve">Predictions</w:t>
      </w:r>
    </w:p>
    <w:p>
      <w:pPr>
        <w:spacing w:after="20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Super-resolution or atomic force microscopy of the recipient-cell region immediately surrounding a transferred mitochondrion should reveal locally increased cytoplasmic density or stiffness relative to the rest of the same cell — a direct test of the local-synaeresis hypothesis proposed in Section 5.</w:t>
      </w:r>
    </w:p>
    <w:p>
      <w:pPr>
        <w:spacing w:after="20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Blocking mTOR activation pharmacologically at the time of mitochondrial transfer (without blocking the transfer itself) should prevent the recipient cell's shift toward a more mature phenotype, testing whether mTOR activation is necessary, rather than incidental, to the maturation-forcing effect.</w:t>
      </w:r>
    </w:p>
    <w:p>
      <w:pPr>
        <w:spacing w:after="20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degree of forced maturation (e.g., OXPHOS capacity acquired by the recipient) should correlate with the number or total mass of mitochondria transferred, and should be measurably impaired when recipient cells are prevented from mounting a local cytoskeletal reorganization response, consistent with the surfactant-deficiency analogy proposed here.</w:t>
      </w:r>
    </w:p>
    <w:p>
      <w:pPr>
        <w:spacing w:after="200" w:line="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Recipient cells receiving mitochondria under conditions that prevent adequate local structural support should show elevated markers of oxidative stress or incomplete organelle integration, compared to recipients in which transfer occurs gradually or under permissive conditions.</w:t>
      </w:r>
    </w:p>
    <w:p>
      <w:pPr>
        <w:pStyle w:val="Heading1"/>
        <w:spacing w:after="160" w:before="320"/>
      </w:pPr>
      <w:r>
        <w:t xml:space="preserve">References</w:t>
      </w:r>
    </w:p>
    <w:p>
      <w:pPr>
        <w:spacing w:after="200" w:line="360"/>
        <w:jc w:val="both"/>
      </w:pPr>
      <w:r>
        <w:rPr>
          <w:rFonts w:ascii="Times New Roman" w:cs="Times New Roman" w:eastAsia="Times New Roman" w:hAnsi="Times New Roman"/>
          <w:i w:val="false"/>
          <w:iCs w:val="false"/>
          <w:sz w:val="24"/>
          <w:szCs w:val="24"/>
        </w:rPr>
        <w:t xml:space="preserve">1. Yao G. Quiescence-Origin Senescence: A New Paradigm in Cellular Aging. Biomedicines. 2024;12(8):1837. doi:10.3390/biomedicines12081837.</w:t>
      </w:r>
    </w:p>
    <w:p>
      <w:pPr>
        <w:spacing w:after="200" w:line="360"/>
        <w:jc w:val="both"/>
      </w:pPr>
      <w:r>
        <w:rPr>
          <w:rFonts w:ascii="Times New Roman" w:cs="Times New Roman" w:eastAsia="Times New Roman" w:hAnsi="Times New Roman"/>
          <w:i w:val="false"/>
          <w:iCs w:val="false"/>
          <w:sz w:val="24"/>
          <w:szCs w:val="24"/>
        </w:rPr>
        <w:t xml:space="preserve">2. Reimann M, Lee S, Schmitt CA. Cellular senescence: Neither irreversible nor reversible. J Exp Med. 2024;221(4):e20232136. doi:10.1084/jem.20232136.</w:t>
      </w:r>
    </w:p>
    <w:p>
      <w:pPr>
        <w:spacing w:after="200" w:line="360"/>
        <w:jc w:val="both"/>
      </w:pPr>
      <w:r>
        <w:rPr>
          <w:rFonts w:ascii="Times New Roman" w:cs="Times New Roman" w:eastAsia="Times New Roman" w:hAnsi="Times New Roman"/>
          <w:i w:val="false"/>
          <w:iCs w:val="false"/>
          <w:sz w:val="24"/>
          <w:szCs w:val="24"/>
        </w:rPr>
        <w:t xml:space="preserve">3. Developmentally-programmed cellular senescence is conserved and widespread in zebrafish. PMC7585104.</w:t>
      </w:r>
    </w:p>
    <w:p>
      <w:pPr>
        <w:spacing w:after="200" w:line="360"/>
        <w:jc w:val="both"/>
      </w:pPr>
      <w:r>
        <w:rPr>
          <w:rFonts w:ascii="Times New Roman" w:cs="Times New Roman" w:eastAsia="Times New Roman" w:hAnsi="Times New Roman"/>
          <w:i w:val="false"/>
          <w:iCs w:val="false"/>
          <w:sz w:val="24"/>
          <w:szCs w:val="24"/>
        </w:rPr>
        <w:t xml:space="preserve">4. Conserved and novel functions of programmed cellular senescence during vertebrate development. PMC5278627.</w:t>
      </w:r>
    </w:p>
    <w:p>
      <w:pPr>
        <w:spacing w:after="200" w:line="360"/>
        <w:jc w:val="both"/>
      </w:pPr>
      <w:r>
        <w:rPr>
          <w:rFonts w:ascii="Times New Roman" w:cs="Times New Roman" w:eastAsia="Times New Roman" w:hAnsi="Times New Roman"/>
          <w:i w:val="false"/>
          <w:iCs w:val="false"/>
          <w:sz w:val="24"/>
          <w:szCs w:val="24"/>
        </w:rPr>
        <w:t xml:space="preserve">5. On the evolution of cellular senescence. PMC7744960.</w:t>
      </w:r>
    </w:p>
    <w:p>
      <w:pPr>
        <w:spacing w:after="200" w:line="360"/>
        <w:jc w:val="both"/>
      </w:pPr>
      <w:r>
        <w:rPr>
          <w:rFonts w:ascii="Times New Roman" w:cs="Times New Roman" w:eastAsia="Times New Roman" w:hAnsi="Times New Roman"/>
          <w:i w:val="false"/>
          <w:iCs w:val="false"/>
          <w:sz w:val="24"/>
          <w:szCs w:val="24"/>
        </w:rPr>
        <w:t xml:space="preserve">6. A link between aging and persistence. bioRxiv. 2024. PMC11963536.</w:t>
      </w:r>
    </w:p>
    <w:p>
      <w:pPr>
        <w:spacing w:after="200" w:line="360"/>
        <w:jc w:val="both"/>
      </w:pPr>
      <w:r>
        <w:rPr>
          <w:rFonts w:ascii="Times New Roman" w:cs="Times New Roman" w:eastAsia="Times New Roman" w:hAnsi="Times New Roman"/>
          <w:i w:val="false"/>
          <w:iCs w:val="false"/>
          <w:sz w:val="24"/>
          <w:szCs w:val="24"/>
        </w:rPr>
        <w:t xml:space="preserve">7. Senescence in Bacteria and Its Underlying Mechanisms. Front Cell Dev Biol. 2021. PMC8249858.</w:t>
      </w:r>
    </w:p>
    <w:p>
      <w:pPr>
        <w:spacing w:after="200" w:line="360"/>
        <w:jc w:val="both"/>
      </w:pPr>
      <w:r>
        <w:rPr>
          <w:rFonts w:ascii="Times New Roman" w:cs="Times New Roman" w:eastAsia="Times New Roman" w:hAnsi="Times New Roman"/>
          <w:i w:val="false"/>
          <w:iCs w:val="false"/>
          <w:sz w:val="24"/>
          <w:szCs w:val="24"/>
        </w:rPr>
        <w:t xml:space="preserve">8. Bacterial senescence. Wikipedia.</w:t>
      </w:r>
    </w:p>
    <w:p>
      <w:pPr>
        <w:spacing w:after="200" w:line="360"/>
        <w:jc w:val="both"/>
      </w:pPr>
      <w:r>
        <w:rPr>
          <w:rFonts w:ascii="Times New Roman" w:cs="Times New Roman" w:eastAsia="Times New Roman" w:hAnsi="Times New Roman"/>
          <w:i w:val="false"/>
          <w:iCs w:val="false"/>
          <w:sz w:val="24"/>
          <w:szCs w:val="24"/>
        </w:rPr>
        <w:t xml:space="preserve">9. The Normalcy of Dormancy: Common Themes in Microbial Quiescence. Cell Host Microbe. 2013.</w:t>
      </w:r>
    </w:p>
    <w:p>
      <w:pPr>
        <w:spacing w:after="200" w:line="360"/>
        <w:jc w:val="both"/>
      </w:pPr>
      <w:r>
        <w:rPr>
          <w:rFonts w:ascii="Times New Roman" w:cs="Times New Roman" w:eastAsia="Times New Roman" w:hAnsi="Times New Roman"/>
          <w:i w:val="false"/>
          <w:iCs w:val="false"/>
          <w:sz w:val="24"/>
          <w:szCs w:val="24"/>
        </w:rPr>
        <w:t xml:space="preserve">10. Aging of a Bacterial Colony Enforces the Evolvement of Nondifferentiating Mutants. PMC6722413.</w:t>
      </w:r>
    </w:p>
    <w:p>
      <w:pPr>
        <w:spacing w:after="200" w:line="360"/>
        <w:jc w:val="both"/>
      </w:pPr>
      <w:r>
        <w:rPr>
          <w:rFonts w:ascii="Times New Roman" w:cs="Times New Roman" w:eastAsia="Times New Roman" w:hAnsi="Times New Roman"/>
          <w:i w:val="false"/>
          <w:iCs w:val="false"/>
          <w:sz w:val="24"/>
          <w:szCs w:val="24"/>
        </w:rPr>
        <w:t xml:space="preserve">11. Dynamic p21-dependency during quiescence arrest unveiled by a rapid p21 depletion system. bioRxiv. 2024.</w:t>
      </w:r>
    </w:p>
    <w:p>
      <w:pPr>
        <w:spacing w:after="200" w:line="360"/>
        <w:jc w:val="both"/>
      </w:pPr>
      <w:r>
        <w:rPr>
          <w:rFonts w:ascii="Times New Roman" w:cs="Times New Roman" w:eastAsia="Times New Roman" w:hAnsi="Times New Roman"/>
          <w:i w:val="false"/>
          <w:iCs w:val="false"/>
          <w:sz w:val="24"/>
          <w:szCs w:val="24"/>
        </w:rPr>
        <w:t xml:space="preserve">12. Uncoupling between Phenotypic Senescence and Cell Cycle Arrest in Aging p21-Deficient Fibroblasts. PMC86196.</w:t>
      </w:r>
    </w:p>
    <w:p>
      <w:pPr>
        <w:spacing w:after="200" w:line="360"/>
        <w:jc w:val="both"/>
      </w:pPr>
      <w:r>
        <w:rPr>
          <w:rFonts w:ascii="Times New Roman" w:cs="Times New Roman" w:eastAsia="Times New Roman" w:hAnsi="Times New Roman"/>
          <w:i w:val="false"/>
          <w:iCs w:val="false"/>
          <w:sz w:val="24"/>
          <w:szCs w:val="24"/>
        </w:rPr>
        <w:t xml:space="preserve">13. The Senescence Markers p16INK4A, p14ARF/p19ARF, and p21 in Organ Development and Homeostasis. Cells (MDPI). 2022;11(12):1966.</w:t>
      </w:r>
    </w:p>
    <w:p>
      <w:pPr>
        <w:spacing w:after="200" w:line="360"/>
        <w:jc w:val="both"/>
      </w:pPr>
      <w:r>
        <w:rPr>
          <w:rFonts w:ascii="Times New Roman" w:cs="Times New Roman" w:eastAsia="Times New Roman" w:hAnsi="Times New Roman"/>
          <w:i w:val="false"/>
          <w:iCs w:val="false"/>
          <w:sz w:val="24"/>
          <w:szCs w:val="24"/>
        </w:rPr>
        <w:t xml:space="preserve">14. Developmental senescence profiling reveals Eda2r as a common mediator in the core senescence program. bioRxiv. 2025.</w:t>
      </w:r>
    </w:p>
    <w:p>
      <w:pPr>
        <w:spacing w:after="200" w:line="360"/>
        <w:jc w:val="both"/>
      </w:pPr>
      <w:r>
        <w:rPr>
          <w:rFonts w:ascii="Times New Roman" w:cs="Times New Roman" w:eastAsia="Times New Roman" w:hAnsi="Times New Roman"/>
          <w:i w:val="false"/>
          <w:iCs w:val="false"/>
          <w:sz w:val="24"/>
          <w:szCs w:val="24"/>
        </w:rPr>
        <w:t xml:space="preserve">15. Blagosklonny MV. Cellular senescence: when growth stimulation meets cell cycle arrest. Aging (Albany NY). 2023.</w:t>
      </w:r>
    </w:p>
    <w:p>
      <w:pPr>
        <w:spacing w:after="200" w:line="360"/>
        <w:jc w:val="both"/>
      </w:pPr>
      <w:r>
        <w:rPr>
          <w:rFonts w:ascii="Times New Roman" w:cs="Times New Roman" w:eastAsia="Times New Roman" w:hAnsi="Times New Roman"/>
          <w:i w:val="false"/>
          <w:iCs w:val="false"/>
          <w:sz w:val="24"/>
          <w:szCs w:val="24"/>
        </w:rPr>
        <w:t xml:space="preserve">16. Targeting Mitochondrial Metabolism as a Strategy to Treat Senescence. PMC8616445.</w:t>
      </w:r>
    </w:p>
    <w:p>
      <w:pPr>
        <w:spacing w:after="200" w:line="360"/>
        <w:jc w:val="both"/>
      </w:pPr>
      <w:r>
        <w:rPr>
          <w:rFonts w:ascii="Times New Roman" w:cs="Times New Roman" w:eastAsia="Times New Roman" w:hAnsi="Times New Roman"/>
          <w:i w:val="false"/>
          <w:iCs w:val="false"/>
          <w:sz w:val="24"/>
          <w:szCs w:val="24"/>
        </w:rPr>
        <w:t xml:space="preserve">17. Senescent Endothelial Cells Sustain Their SASP through Enhanced Fatty Acid Oxidation. PMC10668971.</w:t>
      </w:r>
    </w:p>
    <w:p>
      <w:pPr>
        <w:spacing w:after="200" w:line="360"/>
        <w:jc w:val="both"/>
      </w:pPr>
      <w:r>
        <w:rPr>
          <w:rFonts w:ascii="Times New Roman" w:cs="Times New Roman" w:eastAsia="Times New Roman" w:hAnsi="Times New Roman"/>
          <w:i w:val="false"/>
          <w:iCs w:val="false"/>
          <w:sz w:val="24"/>
          <w:szCs w:val="24"/>
        </w:rPr>
        <w:t xml:space="preserve">18. Apoptosis resistance of senescent cells is an intrinsic barrier for senolysis induced by cardiac glycosides. PMC8629786.</w:t>
      </w:r>
    </w:p>
    <w:p>
      <w:pPr>
        <w:spacing w:after="200" w:line="360"/>
        <w:jc w:val="both"/>
      </w:pPr>
      <w:r>
        <w:rPr>
          <w:rFonts w:ascii="Times New Roman" w:cs="Times New Roman" w:eastAsia="Times New Roman" w:hAnsi="Times New Roman"/>
          <w:i w:val="false"/>
          <w:iCs w:val="false"/>
          <w:sz w:val="24"/>
          <w:szCs w:val="24"/>
        </w:rPr>
        <w:t xml:space="preserve">19. Why Senescent Cells Are Resistant to Apoptosis: An Insight for Senolytic Development. PMC8890612.</w:t>
      </w:r>
    </w:p>
    <w:p>
      <w:pPr>
        <w:spacing w:after="200" w:line="360"/>
        <w:jc w:val="both"/>
      </w:pPr>
      <w:r>
        <w:rPr>
          <w:rFonts w:ascii="Times New Roman" w:cs="Times New Roman" w:eastAsia="Times New Roman" w:hAnsi="Times New Roman"/>
          <w:i w:val="false"/>
          <w:iCs w:val="false"/>
          <w:sz w:val="24"/>
          <w:szCs w:val="24"/>
        </w:rPr>
        <w:t xml:space="preserve">20. Targeting senescent cells for the treatment of age-associated diseases. J Biochem. 2025.</w:t>
      </w:r>
    </w:p>
    <w:p>
      <w:pPr>
        <w:spacing w:after="200" w:line="360"/>
        <w:jc w:val="both"/>
      </w:pPr>
      <w:r>
        <w:rPr>
          <w:rFonts w:ascii="Times New Roman" w:cs="Times New Roman" w:eastAsia="Times New Roman" w:hAnsi="Times New Roman"/>
          <w:i w:val="false"/>
          <w:iCs w:val="false"/>
          <w:sz w:val="24"/>
          <w:szCs w:val="24"/>
        </w:rPr>
        <w:t xml:space="preserve">21. Keung W, Ren L, Wong AO, Chopra A, Kong CW, Tomaselli GF, Chen CS, Li RA. Non-cell autonomous cues for enhanced functionality of human embryonic stem cell-derived cardiomyocytes via maturation of sarcolemmal and mitochondrial KATP channels. Sci Rep. 2016;6:34154. doi:10.1038/srep34154.</w:t>
      </w:r>
    </w:p>
    <w:p>
      <w:pPr>
        <w:spacing w:after="200" w:line="360"/>
        <w:jc w:val="both"/>
      </w:pPr>
      <w:r>
        <w:rPr>
          <w:rFonts w:ascii="Times New Roman" w:cs="Times New Roman" w:eastAsia="Times New Roman" w:hAnsi="Times New Roman"/>
          <w:i w:val="false"/>
          <w:iCs w:val="false"/>
          <w:sz w:val="24"/>
          <w:szCs w:val="24"/>
        </w:rPr>
        <w:t xml:space="preserve">22. Therapeutic implications of mitochondrial transfer on stem cell fate in regenerative medicine. PMC12093763.</w:t>
      </w:r>
    </w:p>
    <w:p>
      <w:pPr>
        <w:spacing w:after="200" w:line="360"/>
        <w:jc w:val="both"/>
      </w:pPr>
      <w:r>
        <w:rPr>
          <w:rFonts w:ascii="Times New Roman" w:cs="Times New Roman" w:eastAsia="Times New Roman" w:hAnsi="Times New Roman"/>
          <w:i w:val="false"/>
          <w:iCs w:val="false"/>
          <w:sz w:val="24"/>
          <w:szCs w:val="24"/>
        </w:rPr>
        <w:t xml:space="preserve">23. Mesenchymal stem cells and their mitochondrial transfer: a double-edged sword. PMC6500894.</w:t>
      </w:r>
    </w:p>
    <w:p>
      <w:pPr>
        <w:spacing w:after="200" w:line="360"/>
        <w:jc w:val="both"/>
      </w:pPr>
      <w:r>
        <w:rPr>
          <w:rFonts w:ascii="Times New Roman" w:cs="Times New Roman" w:eastAsia="Times New Roman" w:hAnsi="Times New Roman"/>
          <w:i w:val="false"/>
          <w:iCs w:val="false"/>
          <w:sz w:val="24"/>
          <w:szCs w:val="24"/>
        </w:rPr>
        <w:t xml:space="preserve">24. Charmpilas N, Tavernarakis N. Mitochondrial maturation drives germline stem cell differentiation in Caenorhabditis elegans. Cell Death Differ. 2019;26(11):2273–2287. doi:10.1038/s41418-019-0375-9.</w:t>
      </w:r>
    </w:p>
    <w:p>
      <w:pPr>
        <w:spacing w:after="200" w:line="360"/>
        <w:jc w:val="both"/>
      </w:pPr>
      <w:r>
        <w:rPr>
          <w:rFonts w:ascii="Times New Roman" w:cs="Times New Roman" w:eastAsia="Times New Roman" w:hAnsi="Times New Roman"/>
          <w:i w:val="false"/>
          <w:iCs w:val="false"/>
          <w:sz w:val="24"/>
          <w:szCs w:val="24"/>
        </w:rPr>
        <w:t xml:space="preserve">25. Cytoskeletal remodeling promotes tunneling nanotube formation and drives cardiac resident cell mitochondrial transfer in sepsis. Sci Adv. 2026. doi:10.1126/sciadv.adz3266.</w:t>
      </w:r>
    </w:p>
    <w:p>
      <w:pPr>
        <w:spacing w:after="200" w:line="360"/>
        <w:jc w:val="both"/>
      </w:pPr>
      <w:r>
        <w:rPr>
          <w:rFonts w:ascii="Times New Roman" w:cs="Times New Roman" w:eastAsia="Times New Roman" w:hAnsi="Times New Roman"/>
          <w:i w:val="false"/>
          <w:iCs w:val="false"/>
          <w:sz w:val="24"/>
          <w:szCs w:val="24"/>
        </w:rPr>
        <w:t xml:space="preserve">26. Lu J, Zheng X, Li F, Yu Y, Chen Z, Liu Z, Wang Z, Xu H, Yang W. Tunneling nanotubes promote intercellular mitochondria transfer followed by increased invasiveness in bladder cancer cells. Oncotarget. 2017;8(9):15539–15552. doi:10.18632/oncotarget.14695.</w:t>
      </w:r>
    </w:p>
    <w:p>
      <w:pPr>
        <w:spacing w:after="200" w:line="360"/>
        <w:jc w:val="both"/>
      </w:pPr>
      <w:r>
        <w:rPr>
          <w:rFonts w:ascii="Times New Roman" w:cs="Times New Roman" w:eastAsia="Times New Roman" w:hAnsi="Times New Roman"/>
          <w:i w:val="false"/>
          <w:iCs w:val="false"/>
          <w:sz w:val="24"/>
          <w:szCs w:val="24"/>
        </w:rPr>
        <w:t xml:space="preserve">27. Centrosome, the Newly Identified Passenger through Tunneling Nanotubes, Increases Binucleation and Proliferation Marker in Receiving Cells. PMC8467045.</w:t>
      </w:r>
    </w:p>
    <w:p>
      <w:pPr>
        <w:spacing w:after="200" w:line="360"/>
        <w:jc w:val="both"/>
      </w:pPr>
      <w:r>
        <w:rPr>
          <w:rFonts w:ascii="Times New Roman" w:cs="Times New Roman" w:eastAsia="Times New Roman" w:hAnsi="Times New Roman"/>
          <w:i w:val="false"/>
          <w:iCs w:val="false"/>
          <w:sz w:val="24"/>
          <w:szCs w:val="24"/>
        </w:rPr>
        <w:t xml:space="preserve">28. Cell Connections by Tunneling Nanotubes: Effects of Mitochondrial Trafficking on Target Cell Metabolism, Homeostasis, and Response to Therapy. PubMed 28659978.</w:t>
      </w:r>
    </w:p>
    <w:p>
      <w:r>
        <w:br w:type="page"/>
      </w:r>
    </w:p>
    <w:p>
      <w:pPr>
        <w:spacing w:after="400"/>
        <w:jc w:val="center"/>
      </w:pPr>
      <w:r>
        <w:rPr>
          <w:rFonts w:ascii="Times New Roman" w:cs="Times New Roman" w:eastAsia="Times New Roman" w:hAnsi="Times New Roman"/>
          <w:b/>
          <w:bCs/>
          <w:sz w:val="26"/>
          <w:szCs w:val="26"/>
        </w:rPr>
        <w:t xml:space="preserve">Framework 1.3, Article 7: The Complete Matrix of Cell-State Transitions: States, Energetics, and Receptors</w:t>
      </w:r>
    </w:p>
    <w:p>
      <w:pPr>
        <w:spacing w:after="60"/>
        <w:jc w:val="center"/>
      </w:pPr>
      <w:r>
        <w:rPr>
          <w:rFonts w:ascii="Times New Roman" w:cs="Times New Roman" w:eastAsia="Times New Roman" w:hAnsi="Times New Roman"/>
          <w:sz w:val="24"/>
          <w:szCs w:val="24"/>
        </w:rPr>
        <w:t xml:space="preserve">Yuri Dmitrochenko, MD</w:t>
      </w:r>
    </w:p>
    <w:p>
      <w:pPr>
        <w:spacing w:after="500"/>
        <w:jc w:val="center"/>
      </w:pPr>
      <w:r>
        <w:rPr>
          <w:rFonts w:ascii="Times New Roman" w:cs="Times New Roman" w:eastAsia="Times New Roman" w:hAnsi="Times New Roman"/>
          <w:i/>
          <w:iCs/>
          <w:sz w:val="22"/>
          <w:szCs w:val="22"/>
        </w:rPr>
        <w:t xml:space="preserve">Independent researcher, Israel</w:t>
      </w:r>
    </w:p>
    <w:p>
      <w:pPr>
        <w:pStyle w:val="Heading1"/>
        <w:spacing w:after="160" w:before="320"/>
      </w:pPr>
      <w:r>
        <w:t xml:space="preserve">Abstract</w:t>
      </w:r>
    </w:p>
    <w:p>
      <w:pPr>
        <w:spacing w:after="200" w:line="360"/>
        <w:jc w:val="both"/>
      </w:pPr>
      <w:r>
        <w:rPr>
          <w:rFonts w:ascii="Times New Roman" w:cs="Times New Roman" w:eastAsia="Times New Roman" w:hAnsi="Times New Roman"/>
          <w:i w:val="false"/>
          <w:iCs w:val="false"/>
          <w:sz w:val="24"/>
          <w:szCs w:val="24"/>
        </w:rPr>
        <w:t xml:space="preserve">Cell fate can be described as movement within a matrix of four stable states — Active (proliferative), Dormant, Differentiated, and Senescent — each maintained by continuous regulatory and energetic work rather than existing as a passive equilibrium. This article assembles a complete matrix of transitions between these states, including the self-maintenance diagonal of each state and cell death as a formally equal part of the same system, and maps two further layers onto it: energetic provisioning (glycolytic/glycogen-based metabolism, here termed BGR, versus oxidative phosphorylation, OXPHOS) and the receptor inputs established for each transition. Of the eight possible transitions between distinct states, five are supported by direct evidence and three remain unestablished; these three gaps are shown to be united by an absence of data at two independent levels — molecular/receptor and energetic — suggesting they may be energetically unfavorable or physically obstructed rather than merely unstudied. Cell death is shown not to be a single category but a set of pathways whose availability is governed by the same physical and molecular status — cytoplasmic density, mTOR activity, and the presence or absence of active anti-apoptotic defense — that governs transitions between living states.</w:t>
      </w:r>
    </w:p>
    <w:p>
      <w:pPr>
        <w:pStyle w:val="Heading1"/>
        <w:spacing w:after="160" w:before="320"/>
      </w:pPr>
      <w:r>
        <w:t xml:space="preserve">1. The Complete Matrix of Cell Transitions, Including the Diagonal and Death Pathways</w:t>
      </w:r>
    </w:p>
    <w:p>
      <w:pPr>
        <w:spacing w:after="200" w:line="360"/>
        <w:jc w:val="both"/>
      </w:pPr>
      <w:r>
        <w:rPr>
          <w:rFonts w:ascii="Times New Roman" w:cs="Times New Roman" w:eastAsia="Times New Roman" w:hAnsi="Times New Roman"/>
          <w:i w:val="false"/>
          <w:iCs w:val="false"/>
          <w:sz w:val="24"/>
          <w:szCs w:val="24"/>
        </w:rPr>
        <w:t xml:space="preserve">Cell death is treated here not as a category outside the system of states but as a transition like any other: an exit from the system of four stable states into one of several pathways of irreversible death. The diagonal of the matrix (self-maintenance of each state) is shown in italics with shading as a point of reference, distinct from the eight transitions between different states.</w:t>
      </w:r>
    </w:p>
    <w:p>
      <w:pPr>
        <w:pStyle w:val="Heading2"/>
        <w:spacing w:after="120" w:before="240"/>
      </w:pPr>
      <w:r>
        <w:t xml:space="preserve">1.1. Mechanism: Diagonal and Transitions Between Living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60"/>
      </w:tblGrid>
      <w:tr>
        <w:tc>
          <w:tcPr>
            <w:tcW w:type="dxa" w:w="250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Transition</w:t>
            </w:r>
          </w:p>
        </w:tc>
        <w:tc>
          <w:tcPr>
            <w:tcW w:type="dxa" w:w="170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Status</w:t>
            </w:r>
          </w:p>
        </w:tc>
        <w:tc>
          <w:tcPr>
            <w:tcW w:type="dxa" w:w="516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Mechanism</w:t>
            </w:r>
          </w:p>
        </w:tc>
      </w:tr>
      <w:tr>
        <w:tc>
          <w:tcPr>
            <w:tcW w:type="dxa" w:w="25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Active → Active</w:t>
            </w:r>
          </w:p>
        </w:tc>
        <w:tc>
          <w:tcPr>
            <w:tcW w:type="dxa" w:w="17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Established</w:t>
            </w:r>
          </w:p>
        </w:tc>
        <w:tc>
          <w:tcPr>
            <w:tcW w:type="dxa" w:w="516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Cyclical glycogen mobilization: CDK1 phosphorylates and activates glycogen phosphorylase during S/G2/M, coupled to G2-phase reserve buildup before each division (1–4)</w:t>
            </w:r>
          </w:p>
        </w:tc>
      </w:tr>
      <w:tr>
        <w:tc>
          <w:tcPr>
            <w:tcW w:type="dxa" w:w="25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Dormant → Dormant</w:t>
            </w:r>
          </w:p>
        </w:tc>
        <w:tc>
          <w:tcPr>
            <w:tcW w:type="dxa" w:w="17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Established</w:t>
            </w:r>
          </w:p>
        </w:tc>
        <w:tc>
          <w:tcPr>
            <w:tcW w:type="dxa" w:w="516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NR2F1-driven chromatin lock (5–7); minimal nuclear maintenance and mitochondrial respiratory quiescence (MRQ) (8, 9)</w:t>
            </w:r>
          </w:p>
        </w:tc>
      </w:tr>
      <w:tr>
        <w:tc>
          <w:tcPr>
            <w:tcW w:type="dxa" w:w="25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Differentiate → Differentiate</w:t>
            </w:r>
          </w:p>
        </w:tc>
        <w:tc>
          <w:tcPr>
            <w:tcW w:type="dxa" w:w="17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Established</w:t>
            </w:r>
          </w:p>
        </w:tc>
        <w:tc>
          <w:tcPr>
            <w:tcW w:type="dxa" w:w="516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Lola-like transcriptional guarding against dedifferentiation (10); stable OXPHOS-dominant homeostasis (11)</w:t>
            </w:r>
          </w:p>
        </w:tc>
      </w:tr>
      <w:tr>
        <w:tc>
          <w:tcPr>
            <w:tcW w:type="dxa" w:w="25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Senescent → Senescent</w:t>
            </w:r>
          </w:p>
        </w:tc>
        <w:tc>
          <w:tcPr>
            <w:tcW w:type="dxa" w:w="17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Established</w:t>
            </w:r>
          </w:p>
        </w:tc>
        <w:tc>
          <w:tcPr>
            <w:tcW w:type="dxa" w:w="516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SCAPs/MVP-mediated Bcl-2 modulation and PD-L1 immune masking sustain the state (12–15); not a true equilibrium but a progressive, heterogeneous metabolic drift (16, 17)</w:t>
            </w:r>
          </w:p>
        </w:tc>
      </w:tr>
      <w:tr>
        <w:tc>
          <w:tcPr>
            <w:tcW w:type="dxa" w:w="25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Active → Dormant</w:t>
            </w:r>
          </w:p>
        </w:tc>
        <w:tc>
          <w:tcPr>
            <w:tcW w:type="dxa" w:w="17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w:t>
            </w:r>
          </w:p>
        </w:tc>
        <w:tc>
          <w:tcPr>
            <w:tcW w:type="dxa" w:w="51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mTOR↓ → NR2F1 → p27/p16 (5–7); IFN-γ → IDO1–kynurenine–AhR → p27 (18–19)</w:t>
            </w:r>
          </w:p>
        </w:tc>
      </w:tr>
      <w:tr>
        <w:tc>
          <w:tcPr>
            <w:tcW w:type="dxa" w:w="25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Dormant → Active</w:t>
            </w:r>
          </w:p>
        </w:tc>
        <w:tc>
          <w:tcPr>
            <w:tcW w:type="dxa" w:w="17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 asymmetric</w:t>
            </w:r>
          </w:p>
        </w:tc>
        <w:tc>
          <w:tcPr>
            <w:tcW w:type="dxa" w:w="51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TNFR1 Complex I/II and IL-17A reactivation — a distinct mechanism from induction (19)</w:t>
            </w:r>
          </w:p>
        </w:tc>
      </w:tr>
      <w:tr>
        <w:tc>
          <w:tcPr>
            <w:tcW w:type="dxa" w:w="25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Active → Differentiate</w:t>
            </w:r>
          </w:p>
        </w:tc>
        <w:tc>
          <w:tcPr>
            <w:tcW w:type="dxa" w:w="17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w:t>
            </w:r>
          </w:p>
        </w:tc>
        <w:tc>
          <w:tcPr>
            <w:tcW w:type="dxa" w:w="51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Notch/Wnt antagonism (20); Lola-like guarding of the resulting state (10)</w:t>
            </w:r>
          </w:p>
        </w:tc>
      </w:tr>
      <w:tr>
        <w:tc>
          <w:tcPr>
            <w:tcW w:type="dxa" w:w="25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Differentiate → Active</w:t>
            </w:r>
          </w:p>
        </w:tc>
        <w:tc>
          <w:tcPr>
            <w:tcW w:type="dxa" w:w="17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Gap</w:t>
            </w:r>
          </w:p>
        </w:tc>
        <w:tc>
          <w:tcPr>
            <w:tcW w:type="dxa" w:w="51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Dedifferentiation is rare and actively prevented (loss of Lola precedes tumor formation) (10); no physiological receptor pathway identified</w:t>
            </w:r>
          </w:p>
        </w:tc>
      </w:tr>
      <w:tr>
        <w:tc>
          <w:tcPr>
            <w:tcW w:type="dxa" w:w="25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Dormant → Differentiate</w:t>
            </w:r>
          </w:p>
        </w:tc>
        <w:tc>
          <w:tcPr>
            <w:tcW w:type="dxa" w:w="17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Gap</w:t>
            </w:r>
          </w:p>
        </w:tc>
        <w:tc>
          <w:tcPr>
            <w:tcW w:type="dxa" w:w="51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 direct transition bypassing the Active state has not been established in the reviewed literature</w:t>
            </w:r>
          </w:p>
        </w:tc>
      </w:tr>
      <w:tr>
        <w:tc>
          <w:tcPr>
            <w:tcW w:type="dxa" w:w="25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Differentiate → Dormant</w:t>
            </w:r>
          </w:p>
        </w:tc>
        <w:tc>
          <w:tcPr>
            <w:tcW w:type="dxa" w:w="17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Gap</w:t>
            </w:r>
          </w:p>
        </w:tc>
        <w:tc>
          <w:tcPr>
            <w:tcW w:type="dxa" w:w="51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Senescence and terminal differentiation are explicitly treated as parallel, not sequential, categories in the literature (21); an analogous parallelism is presumed for dormancy</w:t>
            </w:r>
          </w:p>
        </w:tc>
      </w:tr>
      <w:tr>
        <w:tc>
          <w:tcPr>
            <w:tcW w:type="dxa" w:w="25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Active → Senescent</w:t>
            </w:r>
          </w:p>
        </w:tc>
        <w:tc>
          <w:tcPr>
            <w:tcW w:type="dxa" w:w="17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w:t>
            </w:r>
          </w:p>
        </w:tc>
        <w:tc>
          <w:tcPr>
            <w:tcW w:type="dxa" w:w="51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Classical replicative and oncogene-induced senescence pathways (16, 22, 23)</w:t>
            </w:r>
          </w:p>
        </w:tc>
      </w:tr>
      <w:tr>
        <w:tc>
          <w:tcPr>
            <w:tcW w:type="dxa" w:w="25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Dormant → Senescent</w:t>
            </w:r>
          </w:p>
        </w:tc>
        <w:tc>
          <w:tcPr>
            <w:tcW w:type="dxa" w:w="17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w:t>
            </w:r>
          </w:p>
        </w:tc>
        <w:tc>
          <w:tcPr>
            <w:tcW w:type="dxa" w:w="51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“Quiescence-origin senescence” — a transition bypassing proliferation and differentiation (24)</w:t>
            </w:r>
          </w:p>
        </w:tc>
      </w:tr>
      <w:tr>
        <w:tc>
          <w:tcPr>
            <w:tcW w:type="dxa" w:w="25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Differentiate → Senescent</w:t>
            </w:r>
          </w:p>
        </w:tc>
        <w:tc>
          <w:tcPr>
            <w:tcW w:type="dxa" w:w="17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w:t>
            </w:r>
          </w:p>
        </w:tc>
        <w:tc>
          <w:tcPr>
            <w:tcW w:type="dxa" w:w="51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Post-Mitotic Cellular Senescence (PoMiCS), using the same p53/p21, p16/Rb toolkit; clinical anchor in Alzheimer's disease neurons (25–30)</w:t>
            </w:r>
          </w:p>
        </w:tc>
      </w:tr>
    </w:tbl>
    <w:p>
      <w:pPr>
        <w:pStyle w:val="Heading2"/>
        <w:spacing w:after="120" w:before="240"/>
      </w:pPr>
      <w:r>
        <w:t xml:space="preserve">1.2. Death Pathways as Part of the Same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From State</w:t>
            </w:r>
          </w:p>
        </w:tc>
        <w:tc>
          <w:tcPr>
            <w:tcW w:type="dxa" w:w="320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Death Pathway</w:t>
            </w:r>
          </w:p>
        </w:tc>
        <w:tc>
          <w:tcPr>
            <w:tcW w:type="dxa" w:w="416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Status</w:t>
            </w:r>
          </w:p>
        </w:tc>
      </w:tr>
      <w:tr>
        <w:tc>
          <w:tcPr>
            <w:tcW w:type="dxa" w:w="20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Active</w:t>
            </w:r>
          </w:p>
        </w:tc>
        <w:tc>
          <w:tcPr>
            <w:tcW w:type="dxa" w:w="32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Cytolysis (predominant)</w:t>
            </w:r>
          </w:p>
        </w:tc>
        <w:tc>
          <w:tcPr>
            <w:tcW w:type="dxa" w:w="41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 — liquid, loosely cross-linked post-mitotic cytoplasm cannot mechanically restrain osmotic rupture upon ion pump failure (31, 32)</w:t>
            </w:r>
          </w:p>
        </w:tc>
      </w:tr>
      <w:tr>
        <w:tc>
          <w:tcPr>
            <w:tcW w:type="dxa" w:w="20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Dormant</w:t>
            </w:r>
          </w:p>
        </w:tc>
        <w:tc>
          <w:tcPr>
            <w:tcW w:type="dxa" w:w="32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Apoptosis</w:t>
            </w:r>
          </w:p>
        </w:tc>
        <w:tc>
          <w:tcPr>
            <w:tcW w:type="dxa" w:w="41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 — dense, cross-linked cytoplasm mechanically resists rupture (poroelastic constraint), redirecting collapse toward a controlled, caspase-mediated pathway (33, 34)</w:t>
            </w:r>
          </w:p>
        </w:tc>
      </w:tr>
      <w:tr>
        <w:tc>
          <w:tcPr>
            <w:tcW w:type="dxa" w:w="20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Differentiate</w:t>
            </w:r>
          </w:p>
        </w:tc>
        <w:tc>
          <w:tcPr>
            <w:tcW w:type="dxa" w:w="32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Apoptosis</w:t>
            </w:r>
          </w:p>
        </w:tc>
        <w:tc>
          <w:tcPr>
            <w:tcW w:type="dxa" w:w="41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 — the same dense-cytoplasm mechanical principle applies (33, 34)</w:t>
            </w:r>
          </w:p>
        </w:tc>
      </w:tr>
      <w:tr>
        <w:tc>
          <w:tcPr>
            <w:tcW w:type="dxa" w:w="20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Senescent</w:t>
            </w:r>
          </w:p>
        </w:tc>
        <w:tc>
          <w:tcPr>
            <w:tcW w:type="dxa" w:w="32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Blocked apoptosis → necrosis upon breach</w:t>
            </w:r>
          </w:p>
        </w:tc>
        <w:tc>
          <w:tcPr>
            <w:tcW w:type="dxa" w:w="41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 — active apoptosis resistance (SCAPs, MVP/Bcl-2) (12, 13); necrosis, not apoptosis, results when this defense is forcibly overcome (14, 15)</w:t>
            </w:r>
          </w:p>
        </w:tc>
      </w:tr>
    </w:tbl>
    <w:p>
      <w:pPr>
        <w:pStyle w:val="Heading1"/>
        <w:spacing w:after="160" w:before="320"/>
      </w:pPr>
      <w:r>
        <w:t xml:space="preserve">2. Energetic Provisioning of Transitions (BGR/OXPHOS)</w:t>
      </w:r>
    </w:p>
    <w:p>
      <w:pPr>
        <w:pStyle w:val="Heading2"/>
        <w:spacing w:after="120" w:before="240"/>
      </w:pPr>
      <w:r>
        <w:t xml:space="preserve">2.1. Energetics of the Diagonal and Living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Transition</w:t>
            </w:r>
          </w:p>
        </w:tc>
        <w:tc>
          <w:tcPr>
            <w:tcW w:type="dxa" w:w="340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BGR</w:t>
            </w:r>
          </w:p>
        </w:tc>
        <w:tc>
          <w:tcPr>
            <w:tcW w:type="dxa" w:w="356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OXPHOS</w:t>
            </w:r>
          </w:p>
        </w:tc>
      </w:tr>
      <w:tr>
        <w:tc>
          <w:tcPr>
            <w:tcW w:type="dxa" w:w="24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Active → Active</w:t>
            </w:r>
          </w:p>
        </w:tc>
        <w:tc>
          <w:tcPr>
            <w:tcW w:type="dxa" w:w="34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Cyclical mobilization via CDK1→PYGL on every cycle turn (1–4)</w:t>
            </w:r>
          </w:p>
        </w:tc>
        <w:tc>
          <w:tcPr>
            <w:tcW w:type="dxa" w:w="356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Minimal role; resynthesis after mitosis</w:t>
            </w:r>
          </w:p>
        </w:tc>
      </w:tr>
      <w:tr>
        <w:tc>
          <w:tcPr>
            <w:tcW w:type="dxa" w:w="24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Dormant → Dormant</w:t>
            </w:r>
          </w:p>
        </w:tc>
        <w:tc>
          <w:tcPr>
            <w:tcW w:type="dxa" w:w="34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Minimal, localized nuclear expenditure (8)</w:t>
            </w:r>
          </w:p>
        </w:tc>
        <w:tc>
          <w:tcPr>
            <w:tcW w:type="dxa" w:w="356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MRQ — minimal, non-zero potential maintained deliberately, not by default (9)</w:t>
            </w:r>
          </w:p>
        </w:tc>
      </w:tr>
      <w:tr>
        <w:tc>
          <w:tcPr>
            <w:tcW w:type="dxa" w:w="24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Differentiate → Differentiate</w:t>
            </w:r>
          </w:p>
        </w:tc>
        <w:tc>
          <w:tcPr>
            <w:tcW w:type="dxa" w:w="34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Preserved nuclear glycolytic contour, e.g. NUDIX5/PAR-dependent chromatin remodeling (35, 36)</w:t>
            </w:r>
          </w:p>
        </w:tc>
        <w:tc>
          <w:tcPr>
            <w:tcW w:type="dxa" w:w="356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Dominant and stable following enforced metabolic switch (11, 37)</w:t>
            </w:r>
          </w:p>
        </w:tc>
      </w:tr>
      <w:tr>
        <w:tc>
          <w:tcPr>
            <w:tcW w:type="dxa" w:w="24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Senescent → Senescent</w:t>
            </w:r>
          </w:p>
        </w:tc>
        <w:tc>
          <w:tcPr>
            <w:tcW w:type="dxa" w:w="34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Heterogeneous and tissue-dependent (16, 17)</w:t>
            </w:r>
          </w:p>
        </w:tc>
        <w:tc>
          <w:tcPr>
            <w:tcW w:type="dxa" w:w="356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Often elevated in total mass but with declining efficiency — metabolic “burnout” (16)</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Active → Dormant</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HIF→GYS1↑, glycogen accumulation preceding arrest (38)</w:t>
            </w:r>
          </w:p>
        </w:tc>
        <w:tc>
          <w:tcPr>
            <w:tcW w:type="dxa" w:w="35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Shift into MRQ (9)</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Dormant → Active</w:t>
            </w:r>
          </w:p>
        </w:tc>
        <w:tc>
          <w:tcPr>
            <w:tcW w:type="dxa" w:w="3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Rapid mobilization via PYGL; CDK1 activates glycogen phosphorylase (2, 3)</w:t>
            </w:r>
          </w:p>
        </w:tc>
        <w:tc>
          <w:tcPr>
            <w:tcW w:type="dxa" w:w="3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Exit from MRQ, gradual recovery (9)</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Active → Differentiate</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Deliberate cytoplasmic suppression of HK2/LDHA and PKM2→PKM1 splicing (11)</w:t>
            </w:r>
          </w:p>
        </w:tc>
        <w:tc>
          <w:tcPr>
            <w:tcW w:type="dxa" w:w="35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Induction of PGC-1α/ERRγ (11); nuclear glycolytic contour preserved (35, 36)</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Differentiate → Active</w:t>
            </w:r>
          </w:p>
        </w:tc>
        <w:tc>
          <w:tcPr>
            <w:tcW w:type="dxa" w:w="3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Would require reversal of an enforced suppression</w:t>
            </w:r>
          </w:p>
        </w:tc>
        <w:tc>
          <w:tcPr>
            <w:tcW w:type="dxa" w:w="3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Would require dismantling established OXPHOS infrastructure — a plausible energetic barrier</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Dormant → Differentiate</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Minimal existing BGR would need to directly finance OXPHOS buildup</w:t>
            </w:r>
          </w:p>
        </w:tc>
        <w:tc>
          <w:tcPr>
            <w:tcW w:type="dxa" w:w="35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Building OXPHOS infrastructure from a minimal starting budget — the least energetically plausible transition in the matrix</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Differentiate → Dormant</w:t>
            </w:r>
          </w:p>
        </w:tc>
        <w:tc>
          <w:tcPr>
            <w:tcW w:type="dxa" w:w="3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Would require winding down established OXPHOS to a minimal BGR-only budget</w:t>
            </w:r>
          </w:p>
        </w:tc>
        <w:tc>
          <w:tcPr>
            <w:tcW w:type="dxa" w:w="3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Full dismantling of a working respiratory network — plausibly unfavorable</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Active → Senescent</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Continued anabolic signaling under an already-arrested cycle (geroconversion) (39)</w:t>
            </w:r>
          </w:p>
        </w:tc>
        <w:tc>
          <w:tcPr>
            <w:tcW w:type="dxa" w:w="35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Progressive accumulation of dysfunctional mitochondria and rising ROS (16)</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Dormant → Senescent</w:t>
            </w:r>
          </w:p>
        </w:tc>
        <w:tc>
          <w:tcPr>
            <w:tcW w:type="dxa" w:w="3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Energetic tension between a minimal starting budget and the elevated demand of senescence</w:t>
            </w:r>
          </w:p>
        </w:tc>
        <w:tc>
          <w:tcPr>
            <w:tcW w:type="dxa" w:w="3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Sharp rise in demand against minimal starting infrastructure — not directly resolved in the literature reviewed</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Differentiate → Senescent</w:t>
            </w:r>
          </w:p>
        </w:tc>
        <w:tc>
          <w:tcPr>
            <w:tcW w:type="dxa" w:w="3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Cytoplasmic BGR already minimal (11)</w:t>
            </w:r>
          </w:p>
        </w:tc>
        <w:tc>
          <w:tcPr>
            <w:tcW w:type="dxa" w:w="35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OXPHOS infrastructure already built — an energetically “cheap” route into senescence</w:t>
            </w:r>
          </w:p>
        </w:tc>
      </w:tr>
    </w:tbl>
    <w:p>
      <w:pPr>
        <w:pStyle w:val="Heading2"/>
        <w:spacing w:after="120" w:before="240"/>
      </w:pPr>
      <w:r>
        <w:t xml:space="preserve">2.2. Energetics of Death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Pathway</w:t>
            </w:r>
          </w:p>
        </w:tc>
        <w:tc>
          <w:tcPr>
            <w:tcW w:type="dxa" w:w="696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Cause</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Active → cytolysis</w:t>
            </w:r>
          </w:p>
        </w:tc>
        <w:tc>
          <w:tcPr>
            <w:tcW w:type="dxa" w:w="69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BGR depleted by the act of division itself, with no OXPHOS reserve yet built — death from energetic insufficiency for any controlled pathway (1–4, 31)</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Dormant → apoptosis</w:t>
            </w:r>
          </w:p>
        </w:tc>
        <w:tc>
          <w:tcPr>
            <w:tcW w:type="dxa" w:w="69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Residual BGR plus oxidation of alternative substrates (fatty acids, amino acids) suffice to finance apoptosome assembly (33)</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Differentiate → apoptosis</w:t>
            </w:r>
          </w:p>
        </w:tc>
        <w:tc>
          <w:tcPr>
            <w:tcW w:type="dxa" w:w="69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Dominant, already-built OXPHOS infrastructure provides the cheapest route to apoptosome-dependent death (33)</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Senescent → necrosis</w:t>
            </w:r>
          </w:p>
        </w:tc>
        <w:tc>
          <w:tcPr>
            <w:tcW w:type="dxa" w:w="69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Not an energetic cause — the block on apoptosis is signaling-based (SCAPs/Bcl-2/MVP), overridden only by forced antigen-directed clearance (12–15)</w:t>
            </w:r>
          </w:p>
        </w:tc>
      </w:tr>
    </w:tbl>
    <w:p>
      <w:pPr>
        <w:spacing w:after="200" w:line="360"/>
        <w:jc w:val="both"/>
      </w:pPr>
      <w:r>
        <w:rPr>
          <w:rFonts w:ascii="Times New Roman" w:cs="Times New Roman" w:eastAsia="Times New Roman" w:hAnsi="Times New Roman"/>
          <w:i w:val="false"/>
          <w:iCs w:val="false"/>
          <w:sz w:val="24"/>
          <w:szCs w:val="24"/>
        </w:rPr>
        <w:t xml:space="preserve">The three gap transitions share a common requirement: either constructing OXPHOS infrastructure on a minimal starting energetic budget, or dismantling an already-built one. The five established transitions, by contrast, either require no change in energetic architecture or proceed in the energetically permissive direction of infrastructure buildup, rather than teardown.</w:t>
      </w:r>
    </w:p>
    <w:p>
      <w:pPr>
        <w:pStyle w:val="Heading1"/>
        <w:spacing w:after="160" w:before="320"/>
      </w:pPr>
      <w:r>
        <w:t xml:space="preserve">3. The Receptor Map of Transitions</w:t>
      </w:r>
    </w:p>
    <w:p>
      <w:pPr>
        <w:pStyle w:val="Heading2"/>
        <w:spacing w:after="120" w:before="240"/>
      </w:pPr>
      <w:r>
        <w:t xml:space="preserve">3.1. Receptors of the Diagonal and Living Transitions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000"/>
      </w:tblGrid>
      <w:tr>
        <w:tc>
          <w:tcPr>
            <w:tcW w:type="dxa" w:w="260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Transition</w:t>
            </w:r>
          </w:p>
        </w:tc>
        <w:tc>
          <w:tcPr>
            <w:tcW w:type="dxa" w:w="356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Receptor(s)</w:t>
            </w:r>
          </w:p>
        </w:tc>
        <w:tc>
          <w:tcPr>
            <w:tcW w:type="dxa" w:w="300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Status</w:t>
            </w:r>
          </w:p>
        </w:tc>
      </w:tr>
      <w:tr>
        <w:tc>
          <w:tcPr>
            <w:tcW w:type="dxa" w:w="26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Active → Active</w:t>
            </w:r>
          </w:p>
        </w:tc>
        <w:tc>
          <w:tcPr>
            <w:tcW w:type="dxa" w:w="356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IGF1R/INSR — constant background input (5, 6)</w:t>
            </w:r>
          </w:p>
        </w:tc>
        <w:tc>
          <w:tcPr>
            <w:tcW w:type="dxa" w:w="30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Established</w:t>
            </w:r>
          </w:p>
        </w:tc>
      </w:tr>
      <w:tr>
        <w:tc>
          <w:tcPr>
            <w:tcW w:type="dxa" w:w="26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Dormant → Dormant</w:t>
            </w:r>
          </w:p>
        </w:tc>
        <w:tc>
          <w:tcPr>
            <w:tcW w:type="dxa" w:w="356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CD200–CD200R1 (NK-cell axis) and suppressed STING signaling (40, 41)</w:t>
            </w:r>
          </w:p>
        </w:tc>
        <w:tc>
          <w:tcPr>
            <w:tcW w:type="dxa" w:w="30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Established</w:t>
            </w:r>
          </w:p>
        </w:tc>
      </w:tr>
      <w:tr>
        <w:tc>
          <w:tcPr>
            <w:tcW w:type="dxa" w:w="26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Differentiate → Differentiate</w:t>
            </w:r>
          </w:p>
        </w:tc>
        <w:tc>
          <w:tcPr>
            <w:tcW w:type="dxa" w:w="356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Tissue-specific homeostatic receptors, e.g. sustained low-level Notch/Wnt signaling (20)</w:t>
            </w:r>
          </w:p>
        </w:tc>
        <w:tc>
          <w:tcPr>
            <w:tcW w:type="dxa" w:w="30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Established</w:t>
            </w:r>
          </w:p>
        </w:tc>
      </w:tr>
      <w:tr>
        <w:tc>
          <w:tcPr>
            <w:tcW w:type="dxa" w:w="26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Senescent → Senescent</w:t>
            </w:r>
          </w:p>
        </w:tc>
        <w:tc>
          <w:tcPr>
            <w:tcW w:type="dxa" w:w="356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PD-L1/PD-1 (13)</w:t>
            </w:r>
          </w:p>
        </w:tc>
        <w:tc>
          <w:tcPr>
            <w:tcW w:type="dxa" w:w="3000"/>
            <w:shd w:fill="D6EAF8" w:val="clear"/>
            <w:tcMar>
              <w:top w:type="dxa" w:w="100"/>
              <w:left w:type="dxa" w:w="120"/>
              <w:bottom w:type="dxa" w:w="100"/>
              <w:right w:type="dxa" w:w="120"/>
            </w:tcMar>
            <w:vAlign w:val="center"/>
          </w:tcPr>
          <w:p>
            <w:r>
              <w:rPr>
                <w:rFonts w:ascii="Times New Roman" w:cs="Times New Roman" w:eastAsia="Times New Roman" w:hAnsi="Times New Roman"/>
                <w:b w:val="false"/>
                <w:bCs w:val="false"/>
                <w:i/>
                <w:iCs/>
                <w:color w:val="000000"/>
                <w:sz w:val="18"/>
                <w:szCs w:val="18"/>
              </w:rPr>
              <w:t xml:space="preserve">Established</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Active → Dormant</w:t>
            </w:r>
          </w:p>
        </w:tc>
        <w:tc>
          <w:tcPr>
            <w:tcW w:type="dxa" w:w="35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IGF1R/INSR (reduced signaling) together with IFN-γR → IDO1 (5–7, 18)</w:t>
            </w:r>
          </w:p>
        </w:tc>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w:t>
            </w:r>
          </w:p>
        </w:tc>
      </w:tr>
      <w:tr>
        <w:tc>
          <w:tcPr>
            <w:tcW w:type="dxa" w:w="2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Dormant → Active</w:t>
            </w:r>
          </w:p>
        </w:tc>
        <w:tc>
          <w:tcPr>
            <w:tcW w:type="dxa" w:w="3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TNFR1 (Complex I/II) and IL-17RA — two distinct receptors for two non-overlapping inputs (19)</w:t>
            </w:r>
          </w:p>
        </w:tc>
        <w:tc>
          <w:tcPr>
            <w:tcW w:type="dxa" w:w="30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Active → Differentiate</w:t>
            </w:r>
          </w:p>
        </w:tc>
        <w:tc>
          <w:tcPr>
            <w:tcW w:type="dxa" w:w="35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Notch together with Frizzled/LRP (Wnt co-receptor complex) acting antagonistically (20)</w:t>
            </w:r>
          </w:p>
        </w:tc>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w:t>
            </w:r>
          </w:p>
        </w:tc>
      </w:tr>
      <w:tr>
        <w:tc>
          <w:tcPr>
            <w:tcW w:type="dxa" w:w="2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Differentiate → Active</w:t>
            </w:r>
          </w:p>
        </w:tc>
        <w:tc>
          <w:tcPr>
            <w:tcW w:type="dxa" w:w="3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w:t>
            </w:r>
          </w:p>
        </w:tc>
        <w:tc>
          <w:tcPr>
            <w:tcW w:type="dxa" w:w="30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Gap</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Dormant → Differentiate</w:t>
            </w:r>
          </w:p>
        </w:tc>
        <w:tc>
          <w:tcPr>
            <w:tcW w:type="dxa" w:w="35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w:t>
            </w:r>
          </w:p>
        </w:tc>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Gap</w:t>
            </w:r>
          </w:p>
        </w:tc>
      </w:tr>
      <w:tr>
        <w:tc>
          <w:tcPr>
            <w:tcW w:type="dxa" w:w="2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Differentiate → Dormant</w:t>
            </w:r>
          </w:p>
        </w:tc>
        <w:tc>
          <w:tcPr>
            <w:tcW w:type="dxa" w:w="3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w:t>
            </w:r>
          </w:p>
        </w:tc>
        <w:tc>
          <w:tcPr>
            <w:tcW w:type="dxa" w:w="30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Gap</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Active → Senescent</w:t>
            </w:r>
          </w:p>
        </w:tc>
        <w:tc>
          <w:tcPr>
            <w:tcW w:type="dxa" w:w="35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Growth-factor receptor tyrosine kinases upstream of oncogenic RAS signaling, converging on intracellular ATM/ATR damage sensors (22, 23)</w:t>
            </w:r>
          </w:p>
        </w:tc>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 input largely intracellular</w:t>
            </w:r>
          </w:p>
        </w:tc>
      </w:tr>
      <w:tr>
        <w:tc>
          <w:tcPr>
            <w:tcW w:type="dxa" w:w="2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Dormant → Senescent</w:t>
            </w:r>
          </w:p>
        </w:tc>
        <w:tc>
          <w:tcPr>
            <w:tcW w:type="dxa" w:w="3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w:t>
            </w:r>
          </w:p>
        </w:tc>
        <w:tc>
          <w:tcPr>
            <w:tcW w:type="dxa" w:w="30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 as a transition (24); no specific receptor identified in the reviewed literature</w:t>
            </w:r>
          </w:p>
        </w:tc>
      </w:tr>
      <w:tr>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Differentiate → Senescent</w:t>
            </w:r>
          </w:p>
        </w:tc>
        <w:tc>
          <w:tcPr>
            <w:tcW w:type="dxa" w:w="35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p53/p21 and p16/Rb intracellular sensors (25, 60)</w:t>
            </w:r>
          </w:p>
        </w:tc>
        <w:tc>
          <w:tcPr>
            <w:tcW w:type="dxa" w:w="30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Established; no dedicated membrane receptor identified</w:t>
            </w:r>
          </w:p>
        </w:tc>
      </w:tr>
    </w:tbl>
    <w:p>
      <w:pPr>
        <w:pStyle w:val="Heading2"/>
        <w:spacing w:after="120" w:before="240"/>
      </w:pPr>
      <w:r>
        <w:t xml:space="preserve">3.2. Receptors of Death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Pathway</w:t>
            </w:r>
          </w:p>
        </w:tc>
        <w:tc>
          <w:tcPr>
            <w:tcW w:type="dxa" w:w="6960"/>
            <w:shd w:fill="2E4057" w:val="clear"/>
            <w:tcMar>
              <w:top w:type="dxa" w:w="100"/>
              <w:left w:type="dxa" w:w="120"/>
              <w:bottom w:type="dxa" w:w="100"/>
              <w:right w:type="dxa" w:w="120"/>
            </w:tcMar>
            <w:vAlign w:val="center"/>
          </w:tcPr>
          <w:p>
            <w:r>
              <w:rPr>
                <w:rFonts w:ascii="Times New Roman" w:cs="Times New Roman" w:eastAsia="Times New Roman" w:hAnsi="Times New Roman"/>
                <w:b/>
                <w:bCs/>
                <w:i w:val="false"/>
                <w:iCs w:val="false"/>
                <w:color w:val="FFFFFF"/>
                <w:sz w:val="18"/>
                <w:szCs w:val="18"/>
              </w:rPr>
              <w:t xml:space="preserve">Receptor(s)</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Active → cytolysis</w:t>
            </w:r>
          </w:p>
        </w:tc>
        <w:tc>
          <w:tcPr>
            <w:tcW w:type="dxa" w:w="69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Na⁺/K⁺-ATPase — an ion pump, not a signaling receptor (31, 32)</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Dormant → apoptosis</w:t>
            </w:r>
          </w:p>
        </w:tc>
        <w:tc>
          <w:tcPr>
            <w:tcW w:type="dxa" w:w="69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Fas (CD95), DR4/DR5 — death receptors forming the DISC complex (34)</w:t>
            </w:r>
          </w:p>
        </w:tc>
      </w:tr>
      <w:tr>
        <w:tc>
          <w:tcPr>
            <w:tcW w:type="dxa" w:w="240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Differentiate → apoptosis</w:t>
            </w:r>
          </w:p>
        </w:tc>
        <w:tc>
          <w:tcPr>
            <w:tcW w:type="dxa" w:w="6960"/>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The same death-receptor set (Fas/DR4/DR5) (34)</w:t>
            </w:r>
          </w:p>
        </w:tc>
      </w:tr>
      <w:tr>
        <w:tc>
          <w:tcPr>
            <w:tcW w:type="dxa" w:w="24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Senescent → necrosis</w:t>
            </w:r>
          </w:p>
        </w:tc>
        <w:tc>
          <w:tcPr>
            <w:tcW w:type="dxa" w:w="69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i w:val="false"/>
                <w:iCs w:val="false"/>
                <w:color w:val="000000"/>
                <w:sz w:val="18"/>
                <w:szCs w:val="18"/>
              </w:rPr>
              <w:t xml:space="preserve">B2M as a senolytic antibody target (15); PD-L1/PD-1 as the physiological masking axis (13)</w:t>
            </w:r>
          </w:p>
        </w:tc>
      </w:tr>
    </w:tbl>
    <w:p>
      <w:pPr>
        <w:spacing w:after="200" w:line="360"/>
        <w:jc w:val="both"/>
      </w:pPr>
      <w:r>
        <w:rPr>
          <w:rFonts w:ascii="Times New Roman" w:cs="Times New Roman" w:eastAsia="Times New Roman" w:hAnsi="Times New Roman"/>
          <w:i w:val="false"/>
          <w:iCs w:val="false"/>
          <w:sz w:val="24"/>
          <w:szCs w:val="24"/>
        </w:rPr>
        <w:t xml:space="preserve">All three gap transitions lack both an established mechanism and an established receptor — a double, rather than single, absence of evidence. All three transitions into Senescent converge on the same property: the input is an intracellular damage sensor (p53/p21, p16/Rb, ATM/ATR) rather than a membrane receptor. TNFR1 is the only receptor in the matrix documented in two distinct roles — survival (Complex I) or apoptosis (Complex II) — depending on which intracellular complex is engaged (34).</w:t>
      </w:r>
    </w:p>
    <w:p>
      <w:pPr>
        <w:pStyle w:val="Heading1"/>
        <w:spacing w:after="160" w:before="320"/>
      </w:pPr>
      <w:r>
        <w:t xml:space="preserve">Limitations</w:t>
      </w:r>
    </w:p>
    <w:p>
      <w:pPr>
        <w:spacing w:after="200" w:line="360"/>
        <w:jc w:val="both"/>
      </w:pPr>
      <w:r>
        <w:rPr>
          <w:rFonts w:ascii="Times New Roman" w:cs="Times New Roman" w:eastAsia="Times New Roman" w:hAnsi="Times New Roman"/>
          <w:i w:val="false"/>
          <w:iCs w:val="false"/>
          <w:sz w:val="24"/>
          <w:szCs w:val="24"/>
        </w:rPr>
        <w:t xml:space="preserve">Three of the eight transitions between distinct states (Differentiate↔Active, Dormant↔Differentiate) remain unestablished across all three levels of analysis examined here — mechanism, energetics, and receptor — which is treated as an expected outcome of systematic review rather than a shortcoming of the analysis itself. The energetic explanations offered for these gaps (Section 2) constitute a plausible interpretation rather than a directly tested finding. The claim that Dormant→Senescent and Differentiate→Senescent lack an identified receptor input reflects the absence of such a report in the literature reviewed here, not a demonstrated absence of any such receptor in nature. Citations in this article were assigned by matching each summarized claim to the topical content of the source reviews and primary studies listed below; because the original source articles in this series did not themselves carry inline citation markers, this mapping was performed retrospectively and readers requiring the precise sentence-level attribution of any given source article are advised to consult it directly.</w:t>
      </w:r>
    </w:p>
    <w:p>
      <w:pPr>
        <w:pStyle w:val="Heading1"/>
        <w:spacing w:after="160" w:before="320"/>
      </w:pPr>
      <w:r>
        <w:t xml:space="preserve">Predictions</w:t>
      </w:r>
    </w:p>
    <w:p>
      <w:pPr>
        <w:spacing w:after="20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Experimental induction of a Differentiate→Dormant transition should require not only a signaling stimulus but also a deliberately organized dismantling of OXPHOS infrastructure, taking substantially longer than the reverse, energetically “natural” transition Active→Differentiate.</w:t>
      </w:r>
    </w:p>
    <w:p>
      <w:pPr>
        <w:spacing w:after="20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If the energetic hypothesis in Section 2 is correct, artificially supplying a cell with additional energetic substrate (for example, exogenous lactate or pyruvate) should facilitate at least one of the three gap transitions, distinguishing a purely energetic barrier from a purely regulatory absence of signal.</w:t>
      </w:r>
    </w:p>
    <w:p>
      <w:pPr>
        <w:spacing w:after="20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 targeted search for a membrane receptor mediating the Dormant→Senescent transition should either reveal a previously undescribed input or confirm that this transition is governed solely by accumulated intracellular damage without an external receptor trigger.</w:t>
      </w:r>
    </w:p>
    <w:p>
      <w:pPr>
        <w:pStyle w:val="Heading1"/>
        <w:spacing w:after="160" w:before="320"/>
      </w:pPr>
      <w:r>
        <w:t xml:space="preserve">References</w:t>
      </w:r>
    </w:p>
    <w:p>
      <w:pPr>
        <w:spacing w:after="200" w:line="360"/>
        <w:jc w:val="both"/>
      </w:pPr>
      <w:r>
        <w:rPr>
          <w:rFonts w:ascii="Times New Roman" w:cs="Times New Roman" w:eastAsia="Times New Roman" w:hAnsi="Times New Roman"/>
          <w:i w:val="false"/>
          <w:iCs w:val="false"/>
          <w:sz w:val="24"/>
          <w:szCs w:val="24"/>
        </w:rPr>
        <w:t xml:space="preserve">1. Carbohydrate storage metabolism and the cell cycle: Cdk1-dependent activation of glycogen phosphorylase Gph1 and trehalase Nth1 (summarizing Skotheim laboratory and Futcher laboratory findings, 2016).</w:t>
      </w:r>
    </w:p>
    <w:p>
      <w:pPr>
        <w:spacing w:after="200" w:line="360"/>
        <w:jc w:val="both"/>
      </w:pPr>
      <w:r>
        <w:rPr>
          <w:rFonts w:ascii="Times New Roman" w:cs="Times New Roman" w:eastAsia="Times New Roman" w:hAnsi="Times New Roman"/>
          <w:i w:val="false"/>
          <w:iCs w:val="false"/>
          <w:sz w:val="24"/>
          <w:szCs w:val="24"/>
        </w:rPr>
        <w:t xml:space="preserve">2. A Cdk4/6-dependent phosphorylation gradient regulates the early to late G1 phase transition. PMC8290049.</w:t>
      </w:r>
    </w:p>
    <w:p>
      <w:pPr>
        <w:spacing w:after="200" w:line="360"/>
        <w:jc w:val="both"/>
      </w:pPr>
      <w:r>
        <w:rPr>
          <w:rFonts w:ascii="Times New Roman" w:cs="Times New Roman" w:eastAsia="Times New Roman" w:hAnsi="Times New Roman"/>
          <w:i w:val="false"/>
          <w:iCs w:val="false"/>
          <w:sz w:val="24"/>
          <w:szCs w:val="24"/>
        </w:rPr>
        <w:t xml:space="preserve">3. G2 Phase and Control of Entry into Mitosis. In: Molecular Biology of the Cell. NCBI Bookshelf NBK26856.</w:t>
      </w:r>
    </w:p>
    <w:p>
      <w:pPr>
        <w:spacing w:after="200" w:line="360"/>
        <w:jc w:val="both"/>
      </w:pPr>
      <w:r>
        <w:rPr>
          <w:rFonts w:ascii="Times New Roman" w:cs="Times New Roman" w:eastAsia="Times New Roman" w:hAnsi="Times New Roman"/>
          <w:i w:val="false"/>
          <w:iCs w:val="false"/>
          <w:sz w:val="24"/>
          <w:szCs w:val="24"/>
        </w:rPr>
        <w:t xml:space="preserve">4. Phosphorylation of CDC25C by AMP-activated protein kinase mediates a metabolic checkpoint during cell-cycle G2/M-phase transition. PMC5892595.</w:t>
      </w:r>
    </w:p>
    <w:p>
      <w:pPr>
        <w:spacing w:after="200" w:line="360"/>
        <w:jc w:val="both"/>
      </w:pPr>
      <w:r>
        <w:rPr>
          <w:rFonts w:ascii="Times New Roman" w:cs="Times New Roman" w:eastAsia="Times New Roman" w:hAnsi="Times New Roman"/>
          <w:i w:val="false"/>
          <w:iCs w:val="false"/>
          <w:sz w:val="24"/>
          <w:szCs w:val="24"/>
        </w:rPr>
        <w:t xml:space="preserve">5. Mamidi N, Das SK, Fisher PB. NR2F1 and mTORC1 provide the bridge between melanoma dormancy and therapeutic resistance. J Clin Invest. 2025. doi:10.1172/JCI197764.</w:t>
      </w:r>
    </w:p>
    <w:p>
      <w:pPr>
        <w:spacing w:after="200" w:line="360"/>
        <w:jc w:val="both"/>
      </w:pPr>
      <w:r>
        <w:rPr>
          <w:rFonts w:ascii="Times New Roman" w:cs="Times New Roman" w:eastAsia="Times New Roman" w:hAnsi="Times New Roman"/>
          <w:i w:val="false"/>
          <w:iCs w:val="false"/>
          <w:sz w:val="24"/>
          <w:szCs w:val="24"/>
        </w:rPr>
        <w:t xml:space="preserve">6. Tiago M, et al. Elevated NR2F1 underlies the persistence of invasive disease after treatment of BRAF-mutant melanoma. J Clin Invest. 2025.</w:t>
      </w:r>
    </w:p>
    <w:p>
      <w:pPr>
        <w:spacing w:after="200" w:line="360"/>
        <w:jc w:val="both"/>
      </w:pPr>
      <w:r>
        <w:rPr>
          <w:rFonts w:ascii="Times New Roman" w:cs="Times New Roman" w:eastAsia="Times New Roman" w:hAnsi="Times New Roman"/>
          <w:i w:val="false"/>
          <w:iCs w:val="false"/>
          <w:sz w:val="24"/>
          <w:szCs w:val="24"/>
        </w:rPr>
        <w:t xml:space="preserve">7. Khalil BD, Sanchez R, Rahman T, Rodriguez-Tirado C, Moritsch S, Rodriguez Martinez A, Miles B, Farias E, Mezei M, Cheung JF, Nobre AR, Kale N, Sproll KC, Sosa MS, Aguirre-Ghiso JA. A specific agonist of the orphan nuclear receptor NR2F1 suppresses metastasis through the induction of cancer cell dormancy. J Exp Med. 2022;219(1):e20210836. doi:10.1084/jem.20210836.</w:t>
      </w:r>
    </w:p>
    <w:p>
      <w:pPr>
        <w:spacing w:after="200" w:line="360"/>
        <w:jc w:val="both"/>
      </w:pPr>
      <w:r>
        <w:rPr>
          <w:rFonts w:ascii="Times New Roman" w:cs="Times New Roman" w:eastAsia="Times New Roman" w:hAnsi="Times New Roman"/>
          <w:i w:val="false"/>
          <w:iCs w:val="false"/>
          <w:sz w:val="24"/>
          <w:szCs w:val="24"/>
        </w:rPr>
        <w:t xml:space="preserve">8. The role of metabolism in cellular quiescence. PMC10445740.</w:t>
      </w:r>
    </w:p>
    <w:p>
      <w:pPr>
        <w:spacing w:after="200" w:line="360"/>
        <w:jc w:val="both"/>
      </w:pPr>
      <w:r>
        <w:rPr>
          <w:rFonts w:ascii="Times New Roman" w:cs="Times New Roman" w:eastAsia="Times New Roman" w:hAnsi="Times New Roman"/>
          <w:i w:val="false"/>
          <w:iCs w:val="false"/>
          <w:sz w:val="24"/>
          <w:szCs w:val="24"/>
        </w:rPr>
        <w:t xml:space="preserve">9. Mitochondrial Respiratory Quiescence: A new model for examining the role of mitochondrial metabolism in development. PMC9576824; see also Hematopoietic Stem Cell Quiescence Exposed Using Mitochondrial Membrane Potential, PMC9960947.</w:t>
      </w:r>
    </w:p>
    <w:p>
      <w:pPr>
        <w:spacing w:after="200" w:line="360"/>
        <w:jc w:val="both"/>
      </w:pPr>
      <w:r>
        <w:rPr>
          <w:rFonts w:ascii="Times New Roman" w:cs="Times New Roman" w:eastAsia="Times New Roman" w:hAnsi="Times New Roman"/>
          <w:i w:val="false"/>
          <w:iCs w:val="false"/>
          <w:sz w:val="24"/>
          <w:szCs w:val="24"/>
        </w:rPr>
        <w:t xml:space="preserve">10. Southall TD, Davidson CM, Miller C, Carr A, Brand AH. Dedifferentiation of neurons precedes tumor formation in lola mutants. Dev Cell. 2014. doi:10.1016/j.devcel.2014.01.030.</w:t>
      </w:r>
    </w:p>
    <w:p>
      <w:pPr>
        <w:spacing w:after="200" w:line="360"/>
        <w:jc w:val="both"/>
      </w:pPr>
      <w:r>
        <w:rPr>
          <w:rFonts w:ascii="Times New Roman" w:cs="Times New Roman" w:eastAsia="Times New Roman" w:hAnsi="Times New Roman"/>
          <w:i w:val="false"/>
          <w:iCs w:val="false"/>
          <w:sz w:val="24"/>
          <w:szCs w:val="24"/>
        </w:rPr>
        <w:t xml:space="preserve">11. Zheng X, et al. Metabolic reprogramming during neuronal differentiation from aerobic glycolysis to neuronal oxidative phosphorylation. eLife. 2016. doi:10.7554/eLife.13374.</w:t>
      </w:r>
    </w:p>
    <w:p>
      <w:pPr>
        <w:spacing w:after="200" w:line="360"/>
        <w:jc w:val="both"/>
      </w:pPr>
      <w:r>
        <w:rPr>
          <w:rFonts w:ascii="Times New Roman" w:cs="Times New Roman" w:eastAsia="Times New Roman" w:hAnsi="Times New Roman"/>
          <w:i w:val="false"/>
          <w:iCs w:val="false"/>
          <w:sz w:val="24"/>
          <w:szCs w:val="24"/>
        </w:rPr>
        <w:t xml:space="preserve">12. Apoptosis resistance of senescent cells is an intrinsic barrier for senolysis induced by cardiac glycosides. PMC8629786.</w:t>
      </w:r>
    </w:p>
    <w:p>
      <w:pPr>
        <w:spacing w:after="200" w:line="360"/>
        <w:jc w:val="both"/>
      </w:pPr>
      <w:r>
        <w:rPr>
          <w:rFonts w:ascii="Times New Roman" w:cs="Times New Roman" w:eastAsia="Times New Roman" w:hAnsi="Times New Roman"/>
          <w:i w:val="false"/>
          <w:iCs w:val="false"/>
          <w:sz w:val="24"/>
          <w:szCs w:val="24"/>
        </w:rPr>
        <w:t xml:space="preserve">13. Why Senescent Cells Are Resistant to Apoptosis: An Insight for Senolytic Development. PMC8890612.</w:t>
      </w:r>
    </w:p>
    <w:p>
      <w:pPr>
        <w:spacing w:after="200" w:line="360"/>
        <w:jc w:val="both"/>
      </w:pPr>
      <w:r>
        <w:rPr>
          <w:rFonts w:ascii="Times New Roman" w:cs="Times New Roman" w:eastAsia="Times New Roman" w:hAnsi="Times New Roman"/>
          <w:i w:val="false"/>
          <w:iCs w:val="false"/>
          <w:sz w:val="24"/>
          <w:szCs w:val="24"/>
        </w:rPr>
        <w:t xml:space="preserve">14. Targeting senescent cells for the treatment of age-associated diseases. J Biochem. 2025.</w:t>
      </w:r>
    </w:p>
    <w:p>
      <w:pPr>
        <w:spacing w:after="200" w:line="360"/>
        <w:jc w:val="both"/>
      </w:pPr>
      <w:r>
        <w:rPr>
          <w:rFonts w:ascii="Times New Roman" w:cs="Times New Roman" w:eastAsia="Times New Roman" w:hAnsi="Times New Roman"/>
          <w:i w:val="false"/>
          <w:iCs w:val="false"/>
          <w:sz w:val="24"/>
          <w:szCs w:val="24"/>
        </w:rPr>
        <w:t xml:space="preserve">15. Targeting Mitochondrial Metabolism as a Strategy to Treat Senescence. PMC8616445.</w:t>
      </w:r>
    </w:p>
    <w:p>
      <w:pPr>
        <w:spacing w:after="200" w:line="360"/>
        <w:jc w:val="both"/>
      </w:pPr>
      <w:r>
        <w:rPr>
          <w:rFonts w:ascii="Times New Roman" w:cs="Times New Roman" w:eastAsia="Times New Roman" w:hAnsi="Times New Roman"/>
          <w:i w:val="false"/>
          <w:iCs w:val="false"/>
          <w:sz w:val="24"/>
          <w:szCs w:val="24"/>
        </w:rPr>
        <w:t xml:space="preserve">16. Blagosklonny MV. Cellular senescence: when growth stimulation meets cell cycle arrest. Aging (Albany NY). 2023.</w:t>
      </w:r>
    </w:p>
    <w:p>
      <w:pPr>
        <w:spacing w:after="200" w:line="360"/>
        <w:jc w:val="both"/>
      </w:pPr>
      <w:r>
        <w:rPr>
          <w:rFonts w:ascii="Times New Roman" w:cs="Times New Roman" w:eastAsia="Times New Roman" w:hAnsi="Times New Roman"/>
          <w:i w:val="false"/>
          <w:iCs w:val="false"/>
          <w:sz w:val="24"/>
          <w:szCs w:val="24"/>
        </w:rPr>
        <w:t xml:space="preserve">17. Senescent Endothelial Cells Sustain Their SASP through Enhanced Fatty Acid Oxidation. PMC10668971.</w:t>
      </w:r>
    </w:p>
    <w:p>
      <w:pPr>
        <w:spacing w:after="200" w:line="360"/>
        <w:jc w:val="both"/>
      </w:pPr>
      <w:r>
        <w:rPr>
          <w:rFonts w:ascii="Times New Roman" w:cs="Times New Roman" w:eastAsia="Times New Roman" w:hAnsi="Times New Roman"/>
          <w:i w:val="false"/>
          <w:iCs w:val="false"/>
          <w:sz w:val="24"/>
          <w:szCs w:val="24"/>
        </w:rPr>
        <w:t xml:space="preserve">18. The enigmatic role of tumor dormancy cells in gynecologic cancers. Front Immunol. 2026. doi:10.3389/fimmu.2026.1836770.</w:t>
      </w:r>
    </w:p>
    <w:p>
      <w:pPr>
        <w:spacing w:after="200" w:line="360"/>
        <w:jc w:val="both"/>
      </w:pPr>
      <w:r>
        <w:rPr>
          <w:rFonts w:ascii="Times New Roman" w:cs="Times New Roman" w:eastAsia="Times New Roman" w:hAnsi="Times New Roman"/>
          <w:i w:val="false"/>
          <w:iCs w:val="false"/>
          <w:sz w:val="24"/>
          <w:szCs w:val="24"/>
        </w:rPr>
        <w:t xml:space="preserve">19. Inflammatory cytokines mediate the induction of and awakening from metastatic dormancy. bioRxiv/ScienceDirect. 2024–2025.</w:t>
      </w:r>
    </w:p>
    <w:p>
      <w:pPr>
        <w:spacing w:after="200" w:line="360"/>
        <w:jc w:val="both"/>
      </w:pPr>
      <w:r>
        <w:rPr>
          <w:rFonts w:ascii="Times New Roman" w:cs="Times New Roman" w:eastAsia="Times New Roman" w:hAnsi="Times New Roman"/>
          <w:i w:val="false"/>
          <w:iCs w:val="false"/>
          <w:sz w:val="24"/>
          <w:szCs w:val="24"/>
        </w:rPr>
        <w:t xml:space="preserve">20. Brack AS, Conboy IM, Conboy MJ, Shen J, Rando TA. A temporal switch from Notch to Wnt signaling in muscle stem cells is necessary for normal adult myogenesis. Cell Stem Cell. 2008;2(1):50–59. doi:10.1016/j.stem.2007.10.006.</w:t>
      </w:r>
    </w:p>
    <w:p>
      <w:pPr>
        <w:spacing w:after="200" w:line="360"/>
        <w:jc w:val="both"/>
      </w:pPr>
      <w:r>
        <w:rPr>
          <w:rFonts w:ascii="Times New Roman" w:cs="Times New Roman" w:eastAsia="Times New Roman" w:hAnsi="Times New Roman"/>
          <w:i w:val="false"/>
          <w:iCs w:val="false"/>
          <w:sz w:val="24"/>
          <w:szCs w:val="24"/>
        </w:rPr>
        <w:t xml:space="preserve">21. Sapieha P, Mallette FA. Cellular senescence in postmitotic cells: beyond growth arrest. Trends Cell Biol. 2018 Aug;28(8):595–607. doi:10.1016/j.tcb.2018.03.003.</w:t>
      </w:r>
    </w:p>
    <w:p>
      <w:pPr>
        <w:spacing w:after="200" w:line="360"/>
        <w:jc w:val="both"/>
      </w:pPr>
      <w:r>
        <w:rPr>
          <w:rFonts w:ascii="Times New Roman" w:cs="Times New Roman" w:eastAsia="Times New Roman" w:hAnsi="Times New Roman"/>
          <w:i w:val="false"/>
          <w:iCs w:val="false"/>
          <w:sz w:val="24"/>
          <w:szCs w:val="24"/>
        </w:rPr>
        <w:t xml:space="preserve">22. Herranz N, Gil J. Mechanisms and functions of cellular senescence. J Clin Invest. 2018 Apr 2;128(4):1238–1246. doi:10.1172/JCI95148.</w:t>
      </w:r>
    </w:p>
    <w:p>
      <w:pPr>
        <w:spacing w:after="200" w:line="360"/>
        <w:jc w:val="both"/>
      </w:pPr>
      <w:r>
        <w:rPr>
          <w:rFonts w:ascii="Times New Roman" w:cs="Times New Roman" w:eastAsia="Times New Roman" w:hAnsi="Times New Roman"/>
          <w:i w:val="false"/>
          <w:iCs w:val="false"/>
          <w:sz w:val="24"/>
          <w:szCs w:val="24"/>
        </w:rPr>
        <w:t xml:space="preserve">23. Van Deursen JM. The role of senescent cells in ageing. Nature. 2014 May 22;509(7501):439–446. doi:10.1038/nature13193.</w:t>
      </w:r>
    </w:p>
    <w:p>
      <w:pPr>
        <w:spacing w:after="200" w:line="360"/>
        <w:jc w:val="both"/>
      </w:pPr>
      <w:r>
        <w:rPr>
          <w:rFonts w:ascii="Times New Roman" w:cs="Times New Roman" w:eastAsia="Times New Roman" w:hAnsi="Times New Roman"/>
          <w:i w:val="false"/>
          <w:iCs w:val="false"/>
          <w:sz w:val="24"/>
          <w:szCs w:val="24"/>
        </w:rPr>
        <w:t xml:space="preserve">24. Yao G. Quiescence-Origin Senescence: A New Paradigm in Cellular Aging. Biomedicines. 2024;12(8):1837. doi:10.3390/biomedicines12081837.</w:t>
      </w:r>
    </w:p>
    <w:p>
      <w:pPr>
        <w:spacing w:after="200" w:line="360"/>
        <w:jc w:val="both"/>
      </w:pPr>
      <w:r>
        <w:rPr>
          <w:rFonts w:ascii="Times New Roman" w:cs="Times New Roman" w:eastAsia="Times New Roman" w:hAnsi="Times New Roman"/>
          <w:i w:val="false"/>
          <w:iCs w:val="false"/>
          <w:sz w:val="24"/>
          <w:szCs w:val="24"/>
        </w:rPr>
        <w:t xml:space="preserve">25. von Zglinicki T, Wan T, Miwa S. Senescence in Post-Mitotic Cells: A Driver of Aging? Antioxid Redox Signal. 2021;35(6):518–530.</w:t>
      </w:r>
    </w:p>
    <w:p>
      <w:pPr>
        <w:spacing w:after="200" w:line="360"/>
        <w:jc w:val="both"/>
      </w:pPr>
      <w:r>
        <w:rPr>
          <w:rFonts w:ascii="Times New Roman" w:cs="Times New Roman" w:eastAsia="Times New Roman" w:hAnsi="Times New Roman"/>
          <w:i w:val="false"/>
          <w:iCs w:val="false"/>
          <w:sz w:val="24"/>
          <w:szCs w:val="24"/>
        </w:rPr>
        <w:t xml:space="preserve">26. Increased post-mitotic senescence in aged human neurons is a pathological feature of Alzheimer's disease. ScienceDirect. 2022.</w:t>
      </w:r>
    </w:p>
    <w:p>
      <w:pPr>
        <w:spacing w:after="200" w:line="360"/>
        <w:jc w:val="both"/>
      </w:pPr>
      <w:r>
        <w:rPr>
          <w:rFonts w:ascii="Times New Roman" w:cs="Times New Roman" w:eastAsia="Times New Roman" w:hAnsi="Times New Roman"/>
          <w:i w:val="false"/>
          <w:iCs w:val="false"/>
          <w:sz w:val="24"/>
          <w:szCs w:val="24"/>
        </w:rPr>
        <w:t xml:space="preserve">27. Impact of Senescent Cell Subtypes on Tissue Dysfunction and Repair. PMC8373827.</w:t>
      </w:r>
    </w:p>
    <w:p>
      <w:pPr>
        <w:spacing w:after="200" w:line="360"/>
        <w:jc w:val="both"/>
      </w:pPr>
      <w:r>
        <w:rPr>
          <w:rFonts w:ascii="Times New Roman" w:cs="Times New Roman" w:eastAsia="Times New Roman" w:hAnsi="Times New Roman"/>
          <w:i w:val="false"/>
          <w:iCs w:val="false"/>
          <w:sz w:val="24"/>
          <w:szCs w:val="24"/>
        </w:rPr>
        <w:t xml:space="preserve">28. The Senescence Markers p16INK4A, p14ARF/p19ARF, and p21 in Organ Development and Homeostasis. Cells (MDPI). 2022;11(12):1966.</w:t>
      </w:r>
    </w:p>
    <w:p>
      <w:pPr>
        <w:spacing w:after="200" w:line="360"/>
        <w:jc w:val="both"/>
      </w:pPr>
      <w:r>
        <w:rPr>
          <w:rFonts w:ascii="Times New Roman" w:cs="Times New Roman" w:eastAsia="Times New Roman" w:hAnsi="Times New Roman"/>
          <w:i w:val="false"/>
          <w:iCs w:val="false"/>
          <w:sz w:val="24"/>
          <w:szCs w:val="24"/>
        </w:rPr>
        <w:t xml:space="preserve">29. Developmental senescence profiling reveals Eda2r as a common mediator in the core senescence program. bioRxiv. 2025.</w:t>
      </w:r>
    </w:p>
    <w:p>
      <w:pPr>
        <w:spacing w:after="200" w:line="360"/>
        <w:jc w:val="both"/>
      </w:pPr>
      <w:r>
        <w:rPr>
          <w:rFonts w:ascii="Times New Roman" w:cs="Times New Roman" w:eastAsia="Times New Roman" w:hAnsi="Times New Roman"/>
          <w:i w:val="false"/>
          <w:iCs w:val="false"/>
          <w:sz w:val="24"/>
          <w:szCs w:val="24"/>
        </w:rPr>
        <w:t xml:space="preserve">30. Dynamic p21-dependency during quiescence arrest unveiled by a rapid p21 depletion system. bioRxiv. 2024.</w:t>
      </w:r>
    </w:p>
    <w:p>
      <w:pPr>
        <w:spacing w:after="200" w:line="360"/>
        <w:jc w:val="both"/>
      </w:pPr>
      <w:r>
        <w:rPr>
          <w:rFonts w:ascii="Times New Roman" w:cs="Times New Roman" w:eastAsia="Times New Roman" w:hAnsi="Times New Roman"/>
          <w:i w:val="false"/>
          <w:iCs w:val="false"/>
          <w:sz w:val="24"/>
          <w:szCs w:val="24"/>
        </w:rPr>
        <w:t xml:space="preserve">31. Weerasinghe P, Buja LM. Oncosis: an important non-apoptotic mode of cell death. Exp Mol Pathol. 2012;93(3):302–308.</w:t>
      </w:r>
    </w:p>
    <w:p>
      <w:pPr>
        <w:spacing w:after="200" w:line="360"/>
        <w:jc w:val="both"/>
      </w:pPr>
      <w:r>
        <w:rPr>
          <w:rFonts w:ascii="Times New Roman" w:cs="Times New Roman" w:eastAsia="Times New Roman" w:hAnsi="Times New Roman"/>
          <w:i w:val="false"/>
          <w:iCs w:val="false"/>
          <w:sz w:val="24"/>
          <w:szCs w:val="24"/>
        </w:rPr>
        <w:t xml:space="preserve">32. Zhou EH, et al. Poroelastic osmoregulation of living cell volume. PMC8649806.</w:t>
      </w:r>
    </w:p>
    <w:p>
      <w:pPr>
        <w:spacing w:after="200" w:line="360"/>
        <w:jc w:val="both"/>
      </w:pPr>
      <w:r>
        <w:rPr>
          <w:rFonts w:ascii="Times New Roman" w:cs="Times New Roman" w:eastAsia="Times New Roman" w:hAnsi="Times New Roman"/>
          <w:i w:val="false"/>
          <w:iCs w:val="false"/>
          <w:sz w:val="24"/>
          <w:szCs w:val="24"/>
        </w:rPr>
        <w:t xml:space="preserve">33. Chiarugi A. “Simple but not simpler”: toward a unified picture of energy requirements in cell death. FASEB J. 2005;19(13):1783–1785.</w:t>
      </w:r>
    </w:p>
    <w:p>
      <w:pPr>
        <w:spacing w:after="200" w:line="360"/>
        <w:jc w:val="both"/>
      </w:pPr>
      <w:r>
        <w:rPr>
          <w:rFonts w:ascii="Times New Roman" w:cs="Times New Roman" w:eastAsia="Times New Roman" w:hAnsi="Times New Roman"/>
          <w:i w:val="false"/>
          <w:iCs w:val="false"/>
          <w:sz w:val="24"/>
          <w:szCs w:val="24"/>
        </w:rPr>
        <w:t xml:space="preserve">34. Micheau O, Tschopp J. Induction of TNF receptor I-mediated apoptosis via two sequential signaling complexes. Cell. 2003;114(2):181–190. doi:10.1016/S0092-8674(03)00521-X.</w:t>
      </w:r>
    </w:p>
    <w:p>
      <w:pPr>
        <w:spacing w:after="200" w:line="360"/>
        <w:jc w:val="both"/>
      </w:pPr>
      <w:r>
        <w:rPr>
          <w:rFonts w:ascii="Times New Roman" w:cs="Times New Roman" w:eastAsia="Times New Roman" w:hAnsi="Times New Roman"/>
          <w:i w:val="false"/>
          <w:iCs w:val="false"/>
          <w:sz w:val="24"/>
          <w:szCs w:val="24"/>
        </w:rPr>
        <w:t xml:space="preserve">35. Wright RHG, Lioutas A, Le Dily F, Soronellas D, Pohl A, Bonet J, Nacht AS, Samino S, Font-Mateu J, Vicent GP, Wierer M, Trabado MA, Schelhorn C, Carolis C, Macias MJ, Yanes O, Oliva B, Beato M. ADP-ribose-derived nuclear ATP synthesis by NUDIX5 is required for chromatin remodeling. Science. 2016;352(6290):1221–1225. doi:10.1126/science.aad9335.</w:t>
      </w:r>
    </w:p>
    <w:p>
      <w:pPr>
        <w:spacing w:after="200" w:line="360"/>
        <w:jc w:val="both"/>
      </w:pPr>
      <w:r>
        <w:rPr>
          <w:rFonts w:ascii="Times New Roman" w:cs="Times New Roman" w:eastAsia="Times New Roman" w:hAnsi="Times New Roman"/>
          <w:i w:val="false"/>
          <w:iCs w:val="false"/>
          <w:sz w:val="24"/>
          <w:szCs w:val="24"/>
        </w:rPr>
        <w:t xml:space="preserve">36. ADP-ribose derived nuclear ATP is required for chromatin remodeling and hormonal gene regulation. bioRxiv. 2014.</w:t>
      </w:r>
    </w:p>
    <w:p>
      <w:pPr>
        <w:spacing w:after="200" w:line="360"/>
        <w:jc w:val="both"/>
      </w:pPr>
      <w:r>
        <w:rPr>
          <w:rFonts w:ascii="Times New Roman" w:cs="Times New Roman" w:eastAsia="Times New Roman" w:hAnsi="Times New Roman"/>
          <w:i w:val="false"/>
          <w:iCs w:val="false"/>
          <w:sz w:val="24"/>
          <w:szCs w:val="24"/>
        </w:rPr>
        <w:t xml:space="preserve">37. Distinct mitochondrial remodeling during mesoderm differentiation in a human-based stem cell model. PMC8553110.</w:t>
      </w:r>
    </w:p>
    <w:p>
      <w:pPr>
        <w:spacing w:after="200" w:line="360"/>
        <w:jc w:val="both"/>
      </w:pPr>
      <w:r>
        <w:rPr>
          <w:rFonts w:ascii="Times New Roman" w:cs="Times New Roman" w:eastAsia="Times New Roman" w:hAnsi="Times New Roman"/>
          <w:i w:val="false"/>
          <w:iCs w:val="false"/>
          <w:sz w:val="24"/>
          <w:szCs w:val="24"/>
        </w:rPr>
        <w:t xml:space="preserve">38. Pescador N, Villar D, Cifuentes D, Garcia-Rocha M, Ortiz-Barahona A, Vazquez S, Ordoñez A, Cuevas Y, Saez-Morales D, Garcia-Bermejo ML, Landazuri MO, Guinovart J, del Peso L. Hypoxia promotes glycogen accumulation through hypoxia inducible factor (HIF)-mediated induction of glycogen synthase 1. PLoS One. 2010;5(3):e9644. doi:10.1371/journal.pone.0009644.</w:t>
      </w:r>
    </w:p>
    <w:p>
      <w:pPr>
        <w:spacing w:after="200" w:line="360"/>
        <w:jc w:val="both"/>
      </w:pPr>
      <w:r>
        <w:rPr>
          <w:rFonts w:ascii="Times New Roman" w:cs="Times New Roman" w:eastAsia="Times New Roman" w:hAnsi="Times New Roman"/>
          <w:i w:val="false"/>
          <w:iCs w:val="false"/>
          <w:sz w:val="24"/>
          <w:szCs w:val="24"/>
        </w:rPr>
        <w:t xml:space="preserve">39. Favaro E, Bensaad K, Chong MG, Tennant DA, Ferguson DJP, Snell C, Steers G, Turley H, Li JL, Günther UL, Buffa FM, McIntyre A, Harris AL. Glucose utilization via glycogen phosphorylase sustains proliferation and prevents premature senescence in cancer cells. Cell Metab. 2012;16(6):751–764. doi:10.1016/j.cmet.2012.10.017.</w:t>
      </w:r>
    </w:p>
    <w:p>
      <w:pPr>
        <w:spacing w:after="200" w:line="360"/>
        <w:jc w:val="both"/>
      </w:pPr>
      <w:r>
        <w:rPr>
          <w:rFonts w:ascii="Times New Roman" w:cs="Times New Roman" w:eastAsia="Times New Roman" w:hAnsi="Times New Roman"/>
          <w:i w:val="false"/>
          <w:iCs w:val="false"/>
          <w:sz w:val="24"/>
          <w:szCs w:val="24"/>
        </w:rPr>
        <w:t xml:space="preserve">40. Goddard ET, et al. Immune evasion by dormant disseminated cancer cells: A Fermi paradox? Cancer Cell. 2024.</w:t>
      </w:r>
    </w:p>
    <w:p>
      <w:pPr>
        <w:spacing w:after="200" w:line="360"/>
        <w:jc w:val="both"/>
      </w:pPr>
      <w:r>
        <w:rPr>
          <w:rFonts w:ascii="Times New Roman" w:cs="Times New Roman" w:eastAsia="Times New Roman" w:hAnsi="Times New Roman"/>
          <w:i w:val="false"/>
          <w:iCs w:val="false"/>
          <w:sz w:val="24"/>
          <w:szCs w:val="24"/>
        </w:rPr>
        <w:t xml:space="preserve">41. Immune Niche Formation Reveals Mechanisms of Tumor Dormancy and Targeting Opportunities. 2025. PMC12889818.</w:t>
      </w:r>
    </w:p>
    <w:p>
      <w:pPr>
        <w:spacing w:after="200" w:line="360"/>
        <w:jc w:val="both"/>
      </w:pPr>
      <w:r>
        <w:rPr>
          <w:rFonts w:ascii="Times New Roman" w:cs="Times New Roman" w:eastAsia="Times New Roman" w:hAnsi="Times New Roman"/>
          <w:i w:val="false"/>
          <w:iCs w:val="false"/>
          <w:sz w:val="24"/>
          <w:szCs w:val="24"/>
        </w:rPr>
        <w:t xml:space="preserve">42. Remodeling the tumor dormancy ecosystem to prevent recurrence and metastasis. Signal Transduct Target Ther. 2025–2026. doi:10.1038/s41392-025-02328-2.</w:t>
      </w:r>
    </w:p>
    <w:p>
      <w:pPr>
        <w:spacing w:after="200" w:line="360"/>
        <w:jc w:val="both"/>
      </w:pPr>
      <w:r>
        <w:rPr>
          <w:rFonts w:ascii="Times New Roman" w:cs="Times New Roman" w:eastAsia="Times New Roman" w:hAnsi="Times New Roman"/>
          <w:i w:val="false"/>
          <w:iCs w:val="false"/>
          <w:sz w:val="24"/>
          <w:szCs w:val="24"/>
        </w:rPr>
        <w:t xml:space="preserve">43. Daughter cell fate choice instructed preemptively by mother cells facing nutrient limitation. PMC10359942.</w:t>
      </w:r>
    </w:p>
    <w:p>
      <w:pPr>
        <w:spacing w:after="200" w:line="360"/>
        <w:jc w:val="both"/>
      </w:pPr>
      <w:r>
        <w:rPr>
          <w:rFonts w:ascii="Times New Roman" w:cs="Times New Roman" w:eastAsia="Times New Roman" w:hAnsi="Times New Roman"/>
          <w:i w:val="false"/>
          <w:iCs w:val="false"/>
          <w:sz w:val="24"/>
          <w:szCs w:val="24"/>
        </w:rPr>
        <w:t xml:space="preserve">44. Glycogen storage diseases: An update. PMC10354582.</w:t>
      </w:r>
    </w:p>
    <w:p>
      <w:pPr>
        <w:spacing w:after="200" w:line="360"/>
        <w:jc w:val="both"/>
      </w:pPr>
      <w:r>
        <w:rPr>
          <w:rFonts w:ascii="Times New Roman" w:cs="Times New Roman" w:eastAsia="Times New Roman" w:hAnsi="Times New Roman"/>
          <w:i w:val="false"/>
          <w:iCs w:val="false"/>
          <w:sz w:val="24"/>
          <w:szCs w:val="24"/>
        </w:rPr>
        <w:t xml:space="preserve">45. Farah BL, Sinha RA, Wu Y, Singh BK, Lim A, Hirayama M, Landau DJ, Bay BH, Koeberl DD, Yen PM. Hepatic mitochondrial dysfunction is a feature of Glycogen Storage Disease Type Ia (GSDIa). Sci Rep. 2017;7:44408. doi:10.1038/srep44408.</w:t>
      </w:r>
    </w:p>
    <w:p>
      <w:r>
        <w:br w:type="page"/>
      </w:r>
    </w:p>
    <w:p>
      <w:pPr>
        <w:spacing w:after="400"/>
        <w:jc w:val="center"/>
      </w:pPr>
      <w:r>
        <w:rPr>
          <w:rFonts w:ascii="Times New Roman" w:cs="Times New Roman" w:eastAsia="Times New Roman" w:hAnsi="Times New Roman"/>
          <w:b/>
          <w:bCs/>
          <w:sz w:val="25"/>
          <w:szCs w:val="25"/>
        </w:rPr>
        <w:t xml:space="preserve">Framework 1.3, Article 8: Cell Transitions as a Stochastic Process: From a Single Cell's Markov Chain to Non-Markovian Tissue Dynamics</w:t>
      </w:r>
    </w:p>
    <w:p>
      <w:pPr>
        <w:spacing w:after="60"/>
        <w:jc w:val="center"/>
      </w:pPr>
      <w:r>
        <w:rPr>
          <w:rFonts w:ascii="Times New Roman" w:cs="Times New Roman" w:eastAsia="Times New Roman" w:hAnsi="Times New Roman"/>
          <w:sz w:val="24"/>
          <w:szCs w:val="24"/>
        </w:rPr>
        <w:t xml:space="preserve">Yuri Dmitrochenko, MD</w:t>
      </w:r>
    </w:p>
    <w:p>
      <w:pPr>
        <w:spacing w:after="500"/>
        <w:jc w:val="center"/>
      </w:pPr>
      <w:r>
        <w:rPr>
          <w:rFonts w:ascii="Times New Roman" w:cs="Times New Roman" w:eastAsia="Times New Roman" w:hAnsi="Times New Roman"/>
          <w:i/>
          <w:iCs/>
          <w:sz w:val="22"/>
          <w:szCs w:val="22"/>
        </w:rPr>
        <w:t xml:space="preserve">Independent researcher, Israel</w:t>
      </w:r>
    </w:p>
    <w:p>
      <w:pPr>
        <w:pStyle w:val="Heading1"/>
        <w:spacing w:after="160" w:before="320"/>
      </w:pPr>
      <w:r>
        <w:t xml:space="preserve">Abstract</w:t>
      </w:r>
    </w:p>
    <w:p>
      <w:pPr>
        <w:spacing w:after="200" w:line="360"/>
        <w:jc w:val="both"/>
      </w:pPr>
      <w:r>
        <w:rPr>
          <w:rFonts w:ascii="Times New Roman" w:cs="Times New Roman" w:eastAsia="Times New Roman" w:hAnsi="Times New Roman"/>
          <w:i w:val="false"/>
          <w:iCs w:val="false"/>
          <w:sz w:val="24"/>
          <w:szCs w:val="24"/>
        </w:rPr>
        <w:t xml:space="preserve">This article formalizes what remained heuristic in the preceding works of this monograph: transitions between cell states (Active, Dormant, Differentiated, Senescent), assembled into a single matrix, require different, not uniform, mathematical descriptions depending on the scale of observation. At the level of a single cell, a transition can be described as a Markov process if the state space is explicitly expanded to include epigenetic memory (NR2F1 and chromatin-mark status) rather than visible phenotype alone. At the tissue level, this description breaks down: the cell population exhibits stochastic but substantially non-Markovian dynamics, because memory accumulates not in the state of one cell but in the joint history of many cells, shaping the microenvironment. It is shown that a single random change (a mutation or a phenotypic switch) does not, on its own, typically produce a system-wide shift — a population can remain for decades in a metastable state of mutation-selection balance, and a transition requires a separate, necessary accumulation factor. The formal mechanism of such accumulation — stochastic tunneling — requires that an intermediate change persist in the population long enough for a second, complementary change to arise on its background. It is proposed that the dormant reserve (described in the preceding article of this series as a mechanism of clonal competition) is a specific biological instantiation of this formal accumulation factor — that is, dormancy does not merely accompany oncogenesis but is mathematically necessary for stochastic tunneling to occur at all.</w:t>
      </w:r>
    </w:p>
    <w:p>
      <w:pPr>
        <w:pStyle w:val="Heading1"/>
        <w:spacing w:after="160" w:before="320"/>
      </w:pPr>
      <w:r>
        <w:t xml:space="preserve">1. A Single Cell: Restoring the Markov Property Through State-Space Augmentation</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The classical Markov property requires that the probability of the next transition depend only on the system's current state, not on its history. A cell's visible phenotype (Active/Dormant/Differentiated/Senescent) does not, on its own, satisfy this condition, because epigenetic memory — repressive chromatin marks (H3K27me3, H3K9me3) locked in via NR2F1 — encodes the cell's history (how often and for how long it has been in dormancy) and influences future transitions without being part of the phenotype in the narrow sense.</w:t>
      </w:r>
    </w:p>
    <w:p>
      <w:pPr>
        <w:spacing w:after="200" w:line="360"/>
        <w:jc w:val="both"/>
      </w:pPr>
      <w:r>
        <w:rPr>
          <w:rFonts w:ascii="Times New Roman" w:cs="Times New Roman" w:eastAsia="Times New Roman" w:hAnsi="Times New Roman"/>
          <w:b/>
          <w:bCs/>
          <w:i/>
          <w:iCs/>
          <w:sz w:val="24"/>
          <w:szCs w:val="24"/>
        </w:rPr>
        <w:t xml:space="preserve">(Framework interpretation) </w:t>
      </w:r>
      <w:r>
        <w:rPr>
          <w:rFonts w:ascii="Times New Roman" w:cs="Times New Roman" w:eastAsia="Times New Roman" w:hAnsi="Times New Roman"/>
          <w:sz w:val="24"/>
          <w:szCs w:val="24"/>
        </w:rPr>
        <w:t xml:space="preserve">The standard technique of Markov chain theory — state-space augmentation — resolves this: if the definition of “state” is expanded to include not only phenotype but also a hidden variable (the methylation status of specific promoter regions, NR2F1 activity status), the system again becomes Markovian, since the transition now depends only on the full, augmented state rather than on prior history. This was already proposed elsewhere in this series with respect to the Active↔Dormant transition and is generalized here to the entire state matrix.</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A direct mathematical precedent exists for modeling dedifferentiation as a continuous-time Markov chain (CTMC) with a diffusion approximation and thresholds, confirming that transitions between discrete cell states are in principle amenable to Markov formalization given an appropriate choice of state variables.</w:t>
      </w:r>
    </w:p>
    <w:p>
      <w:pPr>
        <w:pStyle w:val="Heading1"/>
        <w:spacing w:after="160" w:before="320"/>
      </w:pPr>
      <w:r>
        <w:t xml:space="preserve">2. Tissue: Not a Markov Process</w:t>
      </w:r>
    </w:p>
    <w:p>
      <w:pPr>
        <w:spacing w:after="200" w:line="360"/>
        <w:jc w:val="both"/>
      </w:pPr>
      <w:r>
        <w:rPr>
          <w:rFonts w:ascii="Times New Roman" w:cs="Times New Roman" w:eastAsia="Times New Roman" w:hAnsi="Times New Roman"/>
          <w:b/>
          <w:bCs/>
          <w:i/>
          <w:iCs/>
          <w:sz w:val="24"/>
          <w:szCs w:val="24"/>
        </w:rPr>
        <w:t xml:space="preserve">(Framework hypothesis) </w:t>
      </w:r>
      <w:r>
        <w:rPr>
          <w:rFonts w:ascii="Times New Roman" w:cs="Times New Roman" w:eastAsia="Times New Roman" w:hAnsi="Times New Roman"/>
          <w:sz w:val="24"/>
          <w:szCs w:val="24"/>
        </w:rPr>
        <w:t xml:space="preserve">At the tissue level, augmenting the state space of a single cell does not resolve the problem, because memory in this case is distributed not across the cell but across the population: the microenvironment (niche) is itself a function of the joint history of many cells and, in turn, influences the transition probabilities of future cells. This is not simply an additional hidden variable that can be appended to a single cell's state, but a fundamentally different type of memory spanning the system as a whole.</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The formal apparatus corresponding to such a system is not a continuous-time Markov chain (CTMC) but a semi-Markov process: a generalization of the Markov process in which waiting times between events follow not an exponential but an arbitrary distribution, dependent on the time elapsed since the last event. This is a standard tool for modeling memory-dependent processes in physics and biology.</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Direct empirical confirmation of non-Markovianity at the cellular scale comes from a study of tissue growth: dynamics prove non-Markovian on short time scales — owing to the refractory period of the cell cycle immediately after division, during which a cell cannot physically divide again right away — but effectively Markovian behavior emerges on long time scales. This is an important, non-obvious result: Markovian and non-Markovian descriptions are not mutually exclusive accounts of the same system, but depend on the observation time window.</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A separate study directly shows that models of carcinogenesis based on purely cell-autonomous mutation accumulation diverge from the data: aging and somatic evolution in the hematopoietic system are driven by non-Markovian processes dependent on the history of the tissue microenvironment, in which clonal fitness is not a fixed property of a mutation but a dynamic property continuously modulated by the environment.</w:t>
      </w:r>
    </w:p>
    <w:p>
      <w:pPr>
        <w:pStyle w:val="Heading1"/>
        <w:spacing w:after="160" w:before="320"/>
      </w:pPr>
      <w:r>
        <w:t xml:space="preserve">3. Why a Single Random Change Does Not Produce a System-Wide Shift</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Population genetics of tumor evolution shows that a system typically does not move smoothly from a single random change to a system-wide shift. A Moran-model analysis demonstrates the existence of metastable states — a mutation-selection balance — in which an intermediate mutant clone neither disappears nor reaches fixation; the population can remain in such a state for an extended period until random demographic fluctuations allow it to overcome adverse selection.</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Separately, Muller's ratchet has been formalized: in a finite cell population without recombination, genetic drift can irreversibly lock in accumulated changes precisely because the process moves in only one direction — no reverse, “repair” mechanism exists. This same principle has been proposed as a model of frailty and multimorbidity in tissue aging.</w:t>
      </w:r>
    </w:p>
    <w:p>
      <w:pPr>
        <w:spacing w:after="200" w:line="360"/>
        <w:jc w:val="both"/>
      </w:pPr>
      <w:r>
        <w:rPr>
          <w:rFonts w:ascii="Times New Roman" w:cs="Times New Roman" w:eastAsia="Times New Roman" w:hAnsi="Times New Roman"/>
          <w:b/>
          <w:bCs/>
          <w:i/>
          <w:iCs/>
          <w:sz w:val="24"/>
          <w:szCs w:val="24"/>
        </w:rPr>
        <w:t xml:space="preserve">(Framework interpretation) </w:t>
      </w:r>
      <w:r>
        <w:rPr>
          <w:rFonts w:ascii="Times New Roman" w:cs="Times New Roman" w:eastAsia="Times New Roman" w:hAnsi="Times New Roman"/>
          <w:sz w:val="24"/>
          <w:szCs w:val="24"/>
        </w:rPr>
        <w:t xml:space="preserve">Together, these two results support the article's opening thesis: a single random event (a mutation, a phenotypic switch) is, as a statistical rule, either lost to drift or trapped in a metastable equilibrium, producing no system-wide effect. A separate factor is required, one that either extends the lifetime of the intermediate change or renders the accumulation process one-directional and irreversible.</w:t>
      </w:r>
    </w:p>
    <w:p>
      <w:pPr>
        <w:pStyle w:val="Heading1"/>
        <w:spacing w:after="160" w:before="320"/>
      </w:pPr>
      <w:r>
        <w:t xml:space="preserve">4. Stochastic Tunneling as the Formal Mechanism of Accumulation</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The phenomenon that precisely matches the required “accumulation factor” has been formally described as stochastic tunneling: in a sufficiently large cell population, the probability that an intermediate mutant will itself reach full fixation drops sharply, and instead a second, complementary mutant arises on the background of an intermediate lineage that has not yet fixed but is still present. This means a system-wide shift requires not a single event but a window during which an intermediate, not-yet-locked-in change persists long enough for a subsequent one to arise on its background.</w:t>
      </w:r>
    </w:p>
    <w:p>
      <w:pPr>
        <w:spacing w:after="200" w:line="360"/>
        <w:jc w:val="both"/>
      </w:pPr>
      <w:r>
        <w:rPr>
          <w:rFonts w:ascii="Times New Roman" w:cs="Times New Roman" w:eastAsia="Times New Roman" w:hAnsi="Times New Roman"/>
          <w:b/>
          <w:bCs/>
          <w:i/>
          <w:iCs/>
          <w:sz w:val="24"/>
          <w:szCs w:val="24"/>
        </w:rPr>
        <w:t xml:space="preserve">(Framework hypothesis) </w:t>
      </w:r>
      <w:r>
        <w:rPr>
          <w:rFonts w:ascii="Times New Roman" w:cs="Times New Roman" w:eastAsia="Times New Roman" w:hAnsi="Times New Roman"/>
          <w:sz w:val="24"/>
          <w:szCs w:val="24"/>
        </w:rPr>
        <w:t xml:space="preserve">The key parameter determining whether tunneling occurs is the lifetime of the intermediate lineage within the population. Any mechanism that extends this lifetime (reducing the rate at which the intermediate lineage is eliminated by selection or drift) should, all else being equal, increase the probability of accumulating a second change and, correspondingly, the probability of a system-wide shift.</w:t>
      </w:r>
    </w:p>
    <w:p>
      <w:pPr>
        <w:pStyle w:val="Heading1"/>
        <w:spacing w:after="160" w:before="320"/>
      </w:pPr>
      <w:r>
        <w:t xml:space="preserve">5. Dormant Cell Collecting as the Biological Instantiation of the Accumulation Factor</w:t>
      </w:r>
    </w:p>
    <w:p>
      <w:pPr>
        <w:spacing w:after="200" w:line="360"/>
        <w:jc w:val="both"/>
      </w:pPr>
      <w:r>
        <w:rPr>
          <w:rFonts w:ascii="Times New Roman" w:cs="Times New Roman" w:eastAsia="Times New Roman" w:hAnsi="Times New Roman"/>
          <w:b/>
          <w:bCs/>
          <w:i/>
          <w:iCs/>
          <w:sz w:val="24"/>
          <w:szCs w:val="24"/>
        </w:rPr>
        <w:t xml:space="preserve">(Framework hypothesis) </w:t>
      </w:r>
      <w:r>
        <w:rPr>
          <w:rFonts w:ascii="Times New Roman" w:cs="Times New Roman" w:eastAsia="Times New Roman" w:hAnsi="Times New Roman"/>
          <w:sz w:val="24"/>
          <w:szCs w:val="24"/>
        </w:rPr>
        <w:t xml:space="preserve">The dormant reserve described in the preceding article of this series as a mechanism of clonal competition (CHIP, persister cells in treated triple-negative breast cancer, Q-GTD following hydatidiform mole) is proposed here as a concrete biological instantiation of the formal accumulation factor required for stochastic tunneling. Dormancy protects an intermediate cell lineage from elimination by stress, immune surveillance, or treatment — that is, it mechanically extends its lifetime within the population — thereby creating the window necessary for a second, complementary change to arise.</w:t>
      </w:r>
    </w:p>
    <w:p>
      <w:pPr>
        <w:spacing w:after="200" w:line="360"/>
        <w:jc w:val="both"/>
      </w:pPr>
      <w:r>
        <w:rPr>
          <w:rFonts w:ascii="Times New Roman" w:cs="Times New Roman" w:eastAsia="Times New Roman" w:hAnsi="Times New Roman"/>
          <w:b/>
          <w:bCs/>
          <w:i/>
          <w:iCs/>
          <w:sz w:val="24"/>
          <w:szCs w:val="24"/>
        </w:rPr>
        <w:t xml:space="preserve">(Framework interpretation) </w:t>
      </w:r>
      <w:r>
        <w:rPr>
          <w:rFonts w:ascii="Times New Roman" w:cs="Times New Roman" w:eastAsia="Times New Roman" w:hAnsi="Times New Roman"/>
          <w:sz w:val="24"/>
          <w:szCs w:val="24"/>
        </w:rPr>
        <w:t xml:space="preserve">This offers a formal explanation for why, in all three cases examined previously (CHIP, TNBC persisters, Q-GTD), progression to overt disease does not occur immediately upon the first deviation (mutation, phenotypic switch, genetic incompatibility), but only in a subset of cases and only after a stable intermediate reserve has been established: the reserve is not merely an accompanying feature but a mathematically necessary condition for a rare random event to accumulate to a system-wide level at all, rather than being lost to drift.</w:t>
      </w:r>
    </w:p>
    <w:p>
      <w:pPr>
        <w:pStyle w:val="Heading1"/>
        <w:spacing w:after="160" w:before="320"/>
      </w:pPr>
      <w:r>
        <w:t xml:space="preserve">6. Integration with the Complete Transition Matrix</w:t>
      </w:r>
    </w:p>
    <w:p>
      <w:pPr>
        <w:spacing w:after="200" w:line="360"/>
        <w:jc w:val="both"/>
      </w:pPr>
      <w:r>
        <w:rPr>
          <w:rFonts w:ascii="Times New Roman" w:cs="Times New Roman" w:eastAsia="Times New Roman" w:hAnsi="Times New Roman"/>
          <w:b/>
          <w:bCs/>
          <w:i/>
          <w:iCs/>
          <w:sz w:val="24"/>
          <w:szCs w:val="24"/>
        </w:rPr>
        <w:t xml:space="preserve">(Framework interpretation) </w:t>
      </w:r>
      <w:r>
        <w:rPr>
          <w:rFonts w:ascii="Times New Roman" w:cs="Times New Roman" w:eastAsia="Times New Roman" w:hAnsi="Times New Roman"/>
          <w:sz w:val="24"/>
          <w:szCs w:val="24"/>
        </w:rPr>
        <w:t xml:space="preserve">Mapping this formalization onto the transition matrix assembled in the preceding synthesis article of this series yields a refinement: the matrix's established transitions (Active↔Dormant, Active→Differentiate, and so on) describe the dynamics of a single cell and can, in principle, be formalized as Markovian given appropriate state augmentation. But the clinical significance of these transitions — that is, the probability that they will give rise to a stable, competing clone rather than remaining an isolated, lost event — is determined at the tissue-level, semi-Markov scale, where the duration of the reserve's persistence, not the single transition event itself, plays the decisive role.</w:t>
      </w:r>
    </w:p>
    <w:p>
      <w:pPr>
        <w:pStyle w:val="Heading1"/>
        <w:spacing w:after="160" w:before="320"/>
      </w:pPr>
      <w:r>
        <w:t xml:space="preserve">Limitations</w:t>
      </w:r>
    </w:p>
    <w:p>
      <w:pPr>
        <w:spacing w:after="200" w:line="360"/>
        <w:jc w:val="both"/>
      </w:pPr>
      <w:r>
        <w:rPr>
          <w:rFonts w:ascii="Times New Roman" w:cs="Times New Roman" w:eastAsia="Times New Roman" w:hAnsi="Times New Roman"/>
          <w:i w:val="false"/>
          <w:iCs w:val="false"/>
          <w:sz w:val="24"/>
          <w:szCs w:val="24"/>
        </w:rPr>
        <w:t xml:space="preserve">The formalization proposed in Sections 1–2 treats the cellular and tissue levels as requiring fundamentally different types of mathematical description; this is a conceptual distinction, not a theorem derived from data — none of the cited works directly tested the transition from one level of description to the other within a single model. The link between stochastic tunneling (Section 4) and the dormant reserve (Section 5) is a plausible but directly untested hypothesis; no work on stochastic tunneling has been specifically compared with the dormancy model developed in this series. The claim that augmenting a single cell's state space restores the Markov property is logically sound but has not been empirically tested specifically for NR2F1 status as the hidden variable in question.</w:t>
      </w:r>
    </w:p>
    <w:p>
      <w:pPr>
        <w:pStyle w:val="Heading1"/>
        <w:spacing w:after="160" w:before="320"/>
      </w:pPr>
      <w:r>
        <w:t xml:space="preserve">Predictions</w:t>
      </w:r>
    </w:p>
    <w:p>
      <w:pPr>
        <w:spacing w:after="20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If the dormant reserve indeed functions as a factor extending the lifetime of an intermediate lineage, then experimentally increasing the stability of the reserve (for example, by enhancing NR2F1 activity) should measurably increase the frequency of subsequent, complementary changes within the same cell lineage compared to a control without an enhanced reserve — a direct test of the causal, rather than merely correlative, link between Sections 4 and 5.</w:t>
      </w:r>
    </w:p>
    <w:p>
      <w:pPr>
        <w:spacing w:after="20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Time-series data on clonal dynamics in tissues with a known history of stress (chemotherapy, chronic inflammation) should show statistical signatures of non-Markovianity (dependence of future transitions on time since the last event, not only on current population state) at short scales, converging toward Markovian behavior at long scales, by analogy with the result obtained for normal tissue growth.</w:t>
      </w:r>
    </w:p>
    <w:p>
      <w:pPr>
        <w:spacing w:after="20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Clones that remain in the metastable state of mutation-selection balance longer than average (Section 3) should show a higher, not lower, probability of a subsequent system-wide transition — which would distinguish the stochastic-tunneling model from a simple, time-constant fixation-probability model.</w:t>
      </w:r>
    </w:p>
    <w:p>
      <w:pPr>
        <w:pStyle w:val="Heading1"/>
        <w:spacing w:after="160" w:before="320"/>
      </w:pPr>
      <w:r>
        <w:t xml:space="preserve">References</w:t>
      </w:r>
    </w:p>
    <w:p>
      <w:pPr>
        <w:spacing w:after="200" w:line="360"/>
        <w:jc w:val="both"/>
      </w:pPr>
      <w:r>
        <w:rPr>
          <w:rFonts w:ascii="Times New Roman" w:cs="Times New Roman" w:eastAsia="Times New Roman" w:hAnsi="Times New Roman"/>
          <w:i w:val="false"/>
          <w:iCs w:val="false"/>
          <w:sz w:val="24"/>
          <w:szCs w:val="24"/>
        </w:rPr>
        <w:t xml:space="preserve">1. Dynamics of clonal populations and dedifferentiation modeled as a continuous-time Markov chain with diffusion approximation and thresholds.</w:t>
      </w:r>
    </w:p>
    <w:p>
      <w:pPr>
        <w:spacing w:after="200" w:line="360"/>
        <w:jc w:val="both"/>
      </w:pPr>
      <w:r>
        <w:rPr>
          <w:rFonts w:ascii="Times New Roman" w:cs="Times New Roman" w:eastAsia="Times New Roman" w:hAnsi="Times New Roman"/>
          <w:i w:val="false"/>
          <w:iCs w:val="false"/>
          <w:sz w:val="24"/>
          <w:szCs w:val="24"/>
        </w:rPr>
        <w:t xml:space="preserve">2. Boguñá M, Lafuerza LF, Toral R, Serrano MÁ. Simulating non-Markovian stochastic processes. Phys Rev E. 2014;90(4):042108. doi:10.1103/PhysRevE.90.042108.</w:t>
      </w:r>
    </w:p>
    <w:p>
      <w:pPr>
        <w:spacing w:after="200" w:line="360"/>
        <w:jc w:val="both"/>
      </w:pPr>
      <w:r>
        <w:rPr>
          <w:rFonts w:ascii="Times New Roman" w:cs="Times New Roman" w:eastAsia="Times New Roman" w:hAnsi="Times New Roman"/>
          <w:i w:val="false"/>
          <w:iCs w:val="false"/>
          <w:sz w:val="24"/>
          <w:szCs w:val="24"/>
        </w:rPr>
        <w:t xml:space="preserve">3. Lavalle NG, Chara O, Grigera TS. Fluctuations in tissue growth portray homeostasis as a critical state and long-time non-Markovian cell proliferation as Markovian. R Soc Open Sci. 2023;10(9):230871. doi:10.1098/rsos.230871.</w:t>
      </w:r>
    </w:p>
    <w:p>
      <w:pPr>
        <w:spacing w:after="200" w:line="360"/>
        <w:jc w:val="both"/>
      </w:pPr>
      <w:r>
        <w:rPr>
          <w:rFonts w:ascii="Times New Roman" w:cs="Times New Roman" w:eastAsia="Times New Roman" w:hAnsi="Times New Roman"/>
          <w:i w:val="false"/>
          <w:iCs w:val="false"/>
          <w:sz w:val="24"/>
          <w:szCs w:val="24"/>
        </w:rPr>
        <w:t xml:space="preserve">4. Rozhok AI, Salstrom JL, DeGregori J. Stochastic modeling indicates that aging and somatic evolution in the hematopoietic system are driven by non-cell-autonomous processes. Aging (Albany NY). 2014;6(12):1033–1048. doi:10.18632/aging.100707.</w:t>
      </w:r>
    </w:p>
    <w:p>
      <w:pPr>
        <w:spacing w:after="200" w:line="360"/>
        <w:jc w:val="both"/>
      </w:pPr>
      <w:r>
        <w:rPr>
          <w:rFonts w:ascii="Times New Roman" w:cs="Times New Roman" w:eastAsia="Times New Roman" w:hAnsi="Times New Roman"/>
          <w:i w:val="false"/>
          <w:iCs w:val="false"/>
          <w:sz w:val="24"/>
          <w:szCs w:val="24"/>
        </w:rPr>
        <w:t xml:space="preserve">5. Ashcroft P, Michor F, Galla T. Stochastic tunneling and metastable states during the somatic evolution of cancer. Genetics. 2015;199(4):1257–1274. PMC4391561.</w:t>
      </w:r>
    </w:p>
    <w:p>
      <w:pPr>
        <w:spacing w:after="200" w:line="360"/>
        <w:jc w:val="both"/>
      </w:pPr>
      <w:r>
        <w:rPr>
          <w:rFonts w:ascii="Times New Roman" w:cs="Times New Roman" w:eastAsia="Times New Roman" w:hAnsi="Times New Roman"/>
          <w:i w:val="false"/>
          <w:iCs w:val="false"/>
          <w:sz w:val="24"/>
          <w:szCs w:val="24"/>
        </w:rPr>
        <w:t xml:space="preserve">6. Iwasa Y, Michor F, Nowak MA. Stochastic tunnels in evolutionary dynamics. Genetics. 2004;166(3):1571–1579. doi:10.1534/genetics.166.3.1571.</w:t>
      </w:r>
    </w:p>
    <w:p>
      <w:pPr>
        <w:spacing w:after="200" w:line="360"/>
        <w:jc w:val="both"/>
      </w:pPr>
      <w:r>
        <w:rPr>
          <w:rFonts w:ascii="Times New Roman" w:cs="Times New Roman" w:eastAsia="Times New Roman" w:hAnsi="Times New Roman"/>
          <w:i w:val="false"/>
          <w:iCs w:val="false"/>
          <w:sz w:val="24"/>
          <w:szCs w:val="24"/>
        </w:rPr>
        <w:t xml:space="preserve">7. Muller's ratchet as a mechanism of frailty and multimorbidity. bioRxiv. 2018.</w:t>
      </w:r>
    </w:p>
    <w:p>
      <w:pPr>
        <w:spacing w:after="200" w:line="360"/>
        <w:jc w:val="both"/>
      </w:pPr>
      <w:r>
        <w:rPr>
          <w:rFonts w:ascii="Times New Roman" w:cs="Times New Roman" w:eastAsia="Times New Roman" w:hAnsi="Times New Roman"/>
          <w:i w:val="false"/>
          <w:iCs w:val="false"/>
          <w:sz w:val="24"/>
          <w:szCs w:val="24"/>
        </w:rPr>
        <w:t xml:space="preserve">8. Towards neural reinforcement learning for large deviations in nonequilibrium systems with memory. arXiv:2501.12333.</w:t>
      </w:r>
    </w:p>
    <w:p>
      <w:pPr>
        <w:spacing w:after="200" w:line="360"/>
        <w:jc w:val="both"/>
      </w:pPr>
      <w:r>
        <w:rPr>
          <w:rFonts w:ascii="Times New Roman" w:cs="Times New Roman" w:eastAsia="Times New Roman" w:hAnsi="Times New Roman"/>
          <w:i w:val="false"/>
          <w:iCs w:val="false"/>
          <w:sz w:val="24"/>
          <w:szCs w:val="24"/>
        </w:rPr>
        <w:t xml:space="preserve">9. The competition between simple and complex evolutionary trajectories in asexual populations. arXiv:1412.3893.</w:t>
      </w:r>
    </w:p>
    <w:p>
      <w:r>
        <w:br w:type="page"/>
      </w:r>
    </w:p>
    <w:p>
      <w:pPr>
        <w:spacing w:after="400"/>
        <w:jc w:val="center"/>
      </w:pPr>
      <w:r>
        <w:rPr>
          <w:rFonts w:ascii="Times New Roman" w:cs="Times New Roman" w:eastAsia="Times New Roman" w:hAnsi="Times New Roman"/>
          <w:b/>
          <w:bCs/>
          <w:sz w:val="26"/>
          <w:szCs w:val="26"/>
        </w:rPr>
        <w:t xml:space="preserve">Framework 1.3, Article 9: Dormant Cell Collecting as a Competitive Mechanism of Oncogenesis: The Reserve Copy Hypothesis</w:t>
      </w:r>
    </w:p>
    <w:p>
      <w:pPr>
        <w:spacing w:after="60"/>
        <w:jc w:val="center"/>
      </w:pPr>
      <w:r>
        <w:rPr>
          <w:rFonts w:ascii="Times New Roman" w:cs="Times New Roman" w:eastAsia="Times New Roman" w:hAnsi="Times New Roman"/>
          <w:sz w:val="24"/>
          <w:szCs w:val="24"/>
        </w:rPr>
        <w:t xml:space="preserve">Yuri Dmitrochenko, MD</w:t>
      </w:r>
    </w:p>
    <w:p>
      <w:pPr>
        <w:spacing w:after="500"/>
        <w:jc w:val="center"/>
      </w:pPr>
      <w:r>
        <w:rPr>
          <w:rFonts w:ascii="Times New Roman" w:cs="Times New Roman" w:eastAsia="Times New Roman" w:hAnsi="Times New Roman"/>
          <w:i/>
          <w:iCs/>
          <w:sz w:val="22"/>
          <w:szCs w:val="22"/>
        </w:rPr>
        <w:t xml:space="preserve">Independent researcher, Israel</w:t>
      </w:r>
    </w:p>
    <w:p>
      <w:pPr>
        <w:pStyle w:val="Heading1"/>
        <w:spacing w:after="160" w:before="320"/>
      </w:pPr>
      <w:r>
        <w:t xml:space="preserve">Abstract</w:t>
      </w:r>
    </w:p>
    <w:p>
      <w:pPr>
        <w:spacing w:after="200" w:line="360"/>
        <w:jc w:val="both"/>
      </w:pPr>
      <w:r>
        <w:rPr>
          <w:rFonts w:ascii="Times New Roman" w:cs="Times New Roman" w:eastAsia="Times New Roman" w:hAnsi="Times New Roman"/>
          <w:i w:val="false"/>
          <w:iCs w:val="false"/>
          <w:sz w:val="24"/>
          <w:szCs w:val="24"/>
        </w:rPr>
        <w:t xml:space="preserve">This article proposes a reframing of the primary cause of oncological disease: not cellular pathology as such, but a competing clonal mechanism in which a subpopulation of dormant, reserve-like cells accumulates and gradually displaces the normal functional clone, first locally, then more widely. This process is proposed to operate identically across the precancerous and cancerous stages of disease, and recursively — competing subclones can arise within an already-dominant clone. The founding event of a competing clone is argued to be functionally interchangeable in kind: a somatic mutation, a purely phenotypic/stochastic switch with no new mutation, or a primary genetic incompatibility present from the moment of cell origin, as in a hydatidiform mole. What is proposed to be necessary and common across all three routes is the formation of a dormant reserve subpopulation; without it, the long-term persistence of the new, competing tissue is argued to be unlikely, regardless of which founding event initiated the clone. Three case studies — clonal hematopoiesis of indeterminate potential (CHIP), chemotherapy-persistent quiescent triple-negative breast cancer cells, and quiescent gestational trophoblastic disease (Q-GTD) following hydatidiform mole — are examined as convergent illustrations of this principle across three structurally distinct origins, though this convergence is an interpretation proposed here rather than a conclusion drawn by any of the individual sources cited.</w:t>
      </w:r>
    </w:p>
    <w:p>
      <w:pPr>
        <w:pStyle w:val="Heading1"/>
        <w:spacing w:after="160" w:before="320"/>
      </w:pPr>
      <w:r>
        <w:t xml:space="preserve">1. Reframing the Primary Cause: Architecture, Not Pathology</w:t>
      </w:r>
    </w:p>
    <w:p>
      <w:pPr>
        <w:spacing w:after="200" w:line="360"/>
        <w:jc w:val="both"/>
      </w:pPr>
      <w:r>
        <w:rPr>
          <w:rFonts w:ascii="Times New Roman" w:cs="Times New Roman" w:eastAsia="Times New Roman" w:hAnsi="Times New Roman"/>
          <w:b/>
          <w:bCs/>
          <w:i/>
          <w:iCs/>
          <w:sz w:val="24"/>
          <w:szCs w:val="24"/>
        </w:rPr>
        <w:t xml:space="preserve">(Framework hypothesis) </w:t>
      </w:r>
      <w:r>
        <w:rPr>
          <w:rFonts w:ascii="Times New Roman" w:cs="Times New Roman" w:eastAsia="Times New Roman" w:hAnsi="Times New Roman"/>
          <w:sz w:val="24"/>
          <w:szCs w:val="24"/>
        </w:rPr>
        <w:t xml:space="preserve">The central proposal of this article is that the primary driver of oncogenesis is not intrinsic cellular pathology — a “sick” cell behaving abnormally — but a population-level, competitive process in which a clone that has acquired a durable dormant reserve gradually outcompetes and displaces the normal clonal population occupying the same tissue niche, first locally and then, in successful cases, more broadly.</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Direct support for separating cellular-level pathology from population-level risk comes from a model of hematopoietic stem cell (HSC) aging: HSCs bearing clonal hematopoiesis of indeterminate potential (CHIP) mutations (DNMT3A, TET2) remain in stable quiescence within their niche for decades, without morphological transformation, while nonetheless gradually achieving clonal dominance through a purely competitive, non-cell-autonomous process. A recent preprint, whose primary subject is age-related involution of breast tissue rather than hematopoiesis itself, uses this HSC dynamic as an illustrative comparator and states the principle explicitly: clonal dominance is invisible at the cellular level; the risk is architectural, not cellular. This formulation is adopted here as an apt summary of the CHIP literature; it should be noted that its source is a preprint and that HSC biology is not that paper's primary object of study.</w:t>
      </w:r>
    </w:p>
    <w:p>
      <w:pPr>
        <w:pStyle w:val="Heading1"/>
        <w:spacing w:after="160" w:before="320"/>
      </w:pPr>
      <w:r>
        <w:t xml:space="preserve">2. Three Structurally Distinct Origins, One Common Requirement</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The founding event that initiates a competing clone can take at least three different forms, and the evidence reviewed here indicates these are functionally interchangeable with respect to outcome.</w:t>
      </w:r>
    </w:p>
    <w:p>
      <w:pPr>
        <w:spacing w:after="200" w:line="360"/>
        <w:jc w:val="both"/>
      </w:pPr>
      <w:r>
        <w:rPr>
          <w:rFonts w:ascii="Times New Roman" w:cs="Times New Roman" w:eastAsia="Times New Roman" w:hAnsi="Times New Roman"/>
          <w:b/>
          <w:bCs/>
          <w:sz w:val="24"/>
          <w:szCs w:val="24"/>
        </w:rPr>
        <w:t xml:space="preserve">Mutation. </w:t>
      </w:r>
      <w:r>
        <w:rPr>
          <w:rFonts w:ascii="Times New Roman" w:cs="Times New Roman" w:eastAsia="Times New Roman" w:hAnsi="Times New Roman"/>
          <w:sz w:val="24"/>
          <w:szCs w:val="24"/>
        </w:rPr>
        <w:t xml:space="preserve">In CHIP, somatic mutations in DNMT3A or TET2 confer a competitive advantage on HSCs. Notably, this advantage is mediated not primarily by faster proliferation but by an attenuated inflammatory response relative to wild-type HSCs — the mutant clone wins by tolerating chronic stress better, not by outgrowing its competitors under favorable conditions.</w:t>
      </w:r>
    </w:p>
    <w:p>
      <w:pPr>
        <w:spacing w:after="200" w:line="360"/>
        <w:jc w:val="both"/>
      </w:pPr>
      <w:r>
        <w:rPr>
          <w:rFonts w:ascii="Times New Roman" w:cs="Times New Roman" w:eastAsia="Times New Roman" w:hAnsi="Times New Roman"/>
          <w:b/>
          <w:bCs/>
          <w:sz w:val="24"/>
          <w:szCs w:val="24"/>
        </w:rPr>
        <w:t xml:space="preserve">Phenotypic or stochastic asynchrony, without mutation. </w:t>
      </w:r>
      <w:r>
        <w:rPr>
          <w:rFonts w:ascii="Times New Roman" w:cs="Times New Roman" w:eastAsia="Times New Roman" w:hAnsi="Times New Roman"/>
          <w:sz w:val="24"/>
          <w:szCs w:val="24"/>
        </w:rPr>
        <w:t xml:space="preserve">In androgen-deprivation therapy resistance in prostate cancer, phenotypic plasticity and stochastic cell-to-cell variability — with no new mutation — have been shown to give rise to drug-tolerant persister cells, drawing an explicit parallel to bacterial persistence as a bet-hedging strategy.</w:t>
      </w:r>
    </w:p>
    <w:p>
      <w:pPr>
        <w:spacing w:after="200" w:line="360"/>
        <w:jc w:val="both"/>
      </w:pPr>
      <w:r>
        <w:rPr>
          <w:rFonts w:ascii="Times New Roman" w:cs="Times New Roman" w:eastAsia="Times New Roman" w:hAnsi="Times New Roman"/>
          <w:b/>
          <w:bCs/>
          <w:sz w:val="24"/>
          <w:szCs w:val="24"/>
        </w:rPr>
        <w:t xml:space="preserve">Primary genetic incompatibility from the moment of origin. </w:t>
      </w:r>
      <w:r>
        <w:rPr>
          <w:rFonts w:ascii="Times New Roman" w:cs="Times New Roman" w:eastAsia="Times New Roman" w:hAnsi="Times New Roman"/>
          <w:sz w:val="24"/>
          <w:szCs w:val="24"/>
        </w:rPr>
        <w:t xml:space="preserve">A hydatidiform mole arises from an error in gamete formation and fertilization, producing a conceptus with an androgenetic diploid (complete mole) or triploid (partial mole) genome — genetically abnormal from its very first cell division, not through accumulated mutation.</w:t>
      </w:r>
    </w:p>
    <w:p>
      <w:pPr>
        <w:spacing w:after="200" w:line="360"/>
        <w:jc w:val="both"/>
      </w:pPr>
      <w:r>
        <w:rPr>
          <w:rFonts w:ascii="Times New Roman" w:cs="Times New Roman" w:eastAsia="Times New Roman" w:hAnsi="Times New Roman"/>
          <w:b/>
          <w:bCs/>
          <w:i/>
          <w:iCs/>
          <w:sz w:val="24"/>
          <w:szCs w:val="24"/>
        </w:rPr>
        <w:t xml:space="preserve">(Framework interpretation) </w:t>
      </w:r>
      <w:r>
        <w:rPr>
          <w:rFonts w:ascii="Times New Roman" w:cs="Times New Roman" w:eastAsia="Times New Roman" w:hAnsi="Times New Roman"/>
          <w:sz w:val="24"/>
          <w:szCs w:val="24"/>
        </w:rPr>
        <w:t xml:space="preserve">Across all three routes, the specific mechanism generating the initial divergence from the normal cell population appears secondary to whether that divergence is followed by the formation of a stable, low-turnover reserve subpopulation. This reframes the question “what caused this cancer” away from the founding genetic or phenotypic event and toward whether a durable reserve was established downstream of it.</w:t>
      </w:r>
    </w:p>
    <w:p>
      <w:pPr>
        <w:pStyle w:val="Heading1"/>
        <w:spacing w:after="160" w:before="320"/>
      </w:pPr>
      <w:r>
        <w:t xml:space="preserve">3. The Reserve Copy as the Necessary Common Denominator</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In chemotherapy-treated triple-negative breast cancer, a subpopulation of quiescent, OXPHOS-high persister cells survives cytotoxic treatment by adopting a reversible, biosynthetically and proliferatively quiescent state. These cells are explicitly described as the reservoir from which future genetic, epigenetic, and other forms of treatment resistance emerge — and, critically, this reserve state is documented as not genetically selected, meaning it is a reversible phenotypic state rather than the product of a new resistance mutation.</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This matches the broader evolutionary principle of bet-hedging: heterogeneous populations, from bacteria to microalgae to cancer, maintain a reserve subpopulation specifically because it is essential for long-term survival against unpredictable catastrophic events (antibiotic exposure, chemotherapy, immune attack), even though this reserve confers no advantage — and may impose a cost — under stable conditions.</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Epigenetic, mutation-independent heterogeneity has been shown to generate long-term drug tolerance first, from which new genetic resistance mutations subsequently arise — that is, the reserve can precede and enable later genetic evolution, rather than being a late consequence of it. This directly supports treating the reserve, rather than any specific mutation, as the primary object of interest.</w:t>
      </w:r>
    </w:p>
    <w:p>
      <w:pPr>
        <w:spacing w:after="200" w:line="360"/>
        <w:jc w:val="both"/>
      </w:pPr>
      <w:r>
        <w:rPr>
          <w:rFonts w:ascii="Times New Roman" w:cs="Times New Roman" w:eastAsia="Times New Roman" w:hAnsi="Times New Roman"/>
          <w:b/>
          <w:bCs/>
          <w:i/>
          <w:iCs/>
          <w:sz w:val="24"/>
          <w:szCs w:val="24"/>
        </w:rPr>
        <w:t xml:space="preserve">(Established, clinical case) </w:t>
      </w:r>
      <w:r>
        <w:rPr>
          <w:rFonts w:ascii="Times New Roman" w:cs="Times New Roman" w:eastAsia="Times New Roman" w:hAnsi="Times New Roman"/>
          <w:sz w:val="24"/>
          <w:szCs w:val="24"/>
        </w:rPr>
        <w:t xml:space="preserve">Quiescent Gestational Trophoblastic Disease (Q-GTD) provides a named clinical instance of exactly this reserve state following a genetically incompatible founding clone. After evacuation of a hydatidiform mole, a subset of patients show persistent low-level β-hCG elevation — in one reported case, for more than two years — with no detectable tumor, no metastasis, and no progression, before eventual spontaneous resolution without chemotherapy. The great majority of hydatidiform moles (80–99%, depending on type) regress spontaneously and never establish such a reserve; where a persistent reserve does form, a fraction of cases (15–20% of complete moles, 0.5–1% of partial moles) progress to invasive mole or choriocarcinoma. Whether the reserve resolves or progresses, its formation — not the initial genetic incompatibility itself — appears to be the pivotal event determining the tissue's subsequent trajectory.</w:t>
      </w:r>
    </w:p>
    <w:p>
      <w:pPr>
        <w:pStyle w:val="Heading1"/>
        <w:spacing w:after="160" w:before="320"/>
      </w:pPr>
      <w:r>
        <w:t xml:space="preserve">4. Nested Competition: Reserves Within an Already-Dominant Clone</w:t>
      </w:r>
    </w:p>
    <w:p>
      <w:pPr>
        <w:spacing w:after="200" w:line="360"/>
        <w:jc w:val="both"/>
      </w:pPr>
      <w:r>
        <w:rPr>
          <w:rFonts w:ascii="Times New Roman" w:cs="Times New Roman" w:eastAsia="Times New Roman" w:hAnsi="Times New Roman"/>
          <w:b/>
          <w:bCs/>
          <w:i/>
          <w:iCs/>
          <w:sz w:val="24"/>
          <w:szCs w:val="24"/>
        </w:rPr>
        <w:t xml:space="preserve">(Established) </w:t>
      </w:r>
      <w:r>
        <w:rPr>
          <w:rFonts w:ascii="Times New Roman" w:cs="Times New Roman" w:eastAsia="Times New Roman" w:hAnsi="Times New Roman"/>
          <w:sz w:val="24"/>
          <w:szCs w:val="24"/>
        </w:rPr>
        <w:t xml:space="preserve">Geographic stratification of clonal structures is documented in renal, pancreatic, colorectal, and prostate cancers, where subclones bearing distinct driver mutations expand within specific localized regions of the tumor rather than being uniformly distributed. This prevents a single clone from achieving a complete clonal sweep and is associated with larger overall tumor size.</w:t>
      </w:r>
    </w:p>
    <w:p>
      <w:pPr>
        <w:spacing w:after="200" w:line="360"/>
        <w:jc w:val="both"/>
      </w:pPr>
      <w:r>
        <w:rPr>
          <w:rFonts w:ascii="Times New Roman" w:cs="Times New Roman" w:eastAsia="Times New Roman" w:hAnsi="Times New Roman"/>
          <w:b/>
          <w:bCs/>
          <w:i/>
          <w:iCs/>
          <w:sz w:val="24"/>
          <w:szCs w:val="24"/>
        </w:rPr>
        <w:t xml:space="preserve">(Framework interpretation) </w:t>
      </w:r>
      <w:r>
        <w:rPr>
          <w:rFonts w:ascii="Times New Roman" w:cs="Times New Roman" w:eastAsia="Times New Roman" w:hAnsi="Times New Roman"/>
          <w:sz w:val="24"/>
          <w:szCs w:val="24"/>
        </w:rPr>
        <w:t xml:space="preserve">This regional pattern is consistent with, though not itself direct proof of, the idea that spatially distinct subclones each independently maintain some form of local persistence — the specific claim that this persistence takes the form of a reserve as defined in this article is an extension proposed here, not stated in the cited source.</w:t>
      </w:r>
    </w:p>
    <w:p>
      <w:pPr>
        <w:spacing w:after="200" w:line="360"/>
        <w:jc w:val="both"/>
      </w:pPr>
      <w:r>
        <w:rPr>
          <w:rFonts w:ascii="Times New Roman" w:cs="Times New Roman" w:eastAsia="Times New Roman" w:hAnsi="Times New Roman"/>
          <w:b/>
          <w:bCs/>
          <w:i/>
          <w:iCs/>
          <w:sz w:val="24"/>
          <w:szCs w:val="24"/>
        </w:rPr>
        <w:t xml:space="preserve">(Framework interpretation) </w:t>
      </w:r>
      <w:r>
        <w:rPr>
          <w:rFonts w:ascii="Times New Roman" w:cs="Times New Roman" w:eastAsia="Times New Roman" w:hAnsi="Times New Roman"/>
          <w:sz w:val="24"/>
          <w:szCs w:val="24"/>
        </w:rPr>
        <w:t xml:space="preserve">If the reserve-copy principle applies recursively, a dominant clone that has itself displaced the normal tissue population through reserve formation should, over time, be subject to the same dynamic internally: new competing subclones, each requiring their own reserve to persist, can arise and expand within the spatial and resource niche of the already-dominant clone. This would predict a fractal, self-similar competitive structure rather than a single founder-to-dominance sweep, consistent with the observed regional heterogeneity of established tumors.</w:t>
      </w:r>
    </w:p>
    <w:p>
      <w:pPr>
        <w:pStyle w:val="Heading1"/>
        <w:spacing w:after="160" w:before="320"/>
      </w:pPr>
      <w:r>
        <w:t xml:space="preserve">5. Local Displacement and Spread as the Signature of a Successfully Reserved Clone</w:t>
      </w:r>
    </w:p>
    <w:p>
      <w:pPr>
        <w:spacing w:after="200" w:line="360"/>
        <w:jc w:val="both"/>
      </w:pPr>
      <w:r>
        <w:rPr>
          <w:rFonts w:ascii="Times New Roman" w:cs="Times New Roman" w:eastAsia="Times New Roman" w:hAnsi="Times New Roman"/>
          <w:b/>
          <w:bCs/>
          <w:i/>
          <w:iCs/>
          <w:sz w:val="24"/>
          <w:szCs w:val="24"/>
        </w:rPr>
        <w:t xml:space="preserve">(Framework interpretation) </w:t>
      </w:r>
      <w:r>
        <w:rPr>
          <w:rFonts w:ascii="Times New Roman" w:cs="Times New Roman" w:eastAsia="Times New Roman" w:hAnsi="Times New Roman"/>
          <w:sz w:val="24"/>
          <w:szCs w:val="24"/>
        </w:rPr>
        <w:t xml:space="preserve">Under this model, local tissue invasion and eventual metastatic spread are not necessarily direct products of the founding genetic or phenotypic event, but downstream consequences of a clone having successfully established a reserve sufficient to outlast repeated local stresses (immune surveillance, hypoxia, treatment, resource fluctuation) that eliminate competing normal or less-reserved clones over the same period. This reframes local recurrence and metastasis as a competitive-exclusion outcome operating on a timescale of the tissue's stress history, rather than as an inevitable, linear escalation of malignancy from a single transforming event.</w:t>
      </w:r>
    </w:p>
    <w:p>
      <w:pPr>
        <w:pStyle w:val="Heading1"/>
        <w:spacing w:after="160" w:before="320"/>
      </w:pPr>
      <w:r>
        <w:t xml:space="preserve">6. Integration with the Established Architecture of Dormancy</w:t>
      </w:r>
    </w:p>
    <w:p>
      <w:pPr>
        <w:spacing w:after="200" w:line="360"/>
        <w:jc w:val="both"/>
      </w:pPr>
      <w:r>
        <w:rPr>
          <w:rFonts w:ascii="Times New Roman" w:cs="Times New Roman" w:eastAsia="Times New Roman" w:hAnsi="Times New Roman"/>
          <w:b/>
          <w:bCs/>
          <w:i/>
          <w:iCs/>
          <w:sz w:val="24"/>
          <w:szCs w:val="24"/>
        </w:rPr>
        <w:t xml:space="preserve">(Framework interpretation) </w:t>
      </w:r>
      <w:r>
        <w:rPr>
          <w:rFonts w:ascii="Times New Roman" w:cs="Times New Roman" w:eastAsia="Times New Roman" w:hAnsi="Times New Roman"/>
          <w:sz w:val="24"/>
          <w:szCs w:val="24"/>
        </w:rPr>
        <w:t xml:space="preserve">The reserve described here is proposed to be mechanistically continuous with the dormancy architecture already established elsewhere in this series — the mTOR/NR2F1 axis, glycogen-based energetic financing, and the associated immune-masking layer (CD200/STING, PD-L1) — rather than a separate phenomenon requiring its own distinct machinery. On this view, “dormant cell collecting” is the population-level, competitive consequence of the same cell-intrinsic dormancy program described elsewhere in this monograph, observed at the scale of tissue and clone rather than of a single cell.</w:t>
      </w:r>
    </w:p>
    <w:p>
      <w:pPr>
        <w:pStyle w:val="Heading1"/>
        <w:spacing w:after="160" w:before="320"/>
      </w:pPr>
      <w:r>
        <w:t xml:space="preserve">Summary Table: Three Origins Converging on One Reserve Requirement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560"/>
      </w:tblGrid>
      <w:tr>
        <w:tc>
          <w:tcPr>
            <w:tcW w:type="dxa" w:w="18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Case</w:t>
            </w:r>
          </w:p>
        </w:tc>
        <w:tc>
          <w:tcPr>
            <w:tcW w:type="dxa" w:w="22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Founding Event</w:t>
            </w:r>
          </w:p>
        </w:tc>
        <w:tc>
          <w:tcPr>
            <w:tcW w:type="dxa" w:w="260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Reserve State</w:t>
            </w:r>
          </w:p>
        </w:tc>
        <w:tc>
          <w:tcPr>
            <w:tcW w:type="dxa" w:w="2560"/>
            <w:shd w:fill="2E4057" w:val="clear"/>
            <w:tcMar>
              <w:top w:type="dxa" w:w="100"/>
              <w:left w:type="dxa" w:w="120"/>
              <w:bottom w:type="dxa" w:w="100"/>
              <w:right w:type="dxa" w:w="120"/>
            </w:tcMar>
            <w:vAlign w:val="center"/>
          </w:tcPr>
          <w:p>
            <w:r>
              <w:rPr>
                <w:rFonts w:ascii="Times New Roman" w:cs="Times New Roman" w:eastAsia="Times New Roman" w:hAnsi="Times New Roman"/>
                <w:b/>
                <w:bCs/>
                <w:color w:val="FFFFFF"/>
                <w:sz w:val="19"/>
                <w:szCs w:val="19"/>
              </w:rPr>
              <w:t xml:space="preserve">Outcome Without / With Reserve</w:t>
            </w:r>
          </w:p>
        </w:tc>
      </w:tr>
      <w:tr>
        <w:tc>
          <w:tcPr>
            <w:tcW w:type="dxa" w:w="1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CHIP (hematopoietic)</w:t>
            </w:r>
          </w:p>
        </w:tc>
        <w:tc>
          <w:tcPr>
            <w:tcW w:type="dxa" w:w="2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Somatic mutation (DNMT3A, TET2)</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Persistent, stress-resistant HSC clone in stable quiescence</w:t>
            </w:r>
          </w:p>
        </w:tc>
        <w:tc>
          <w:tcPr>
            <w:tcW w:type="dxa" w:w="25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Minor subpopulation vs. gradual clonal dominance; substrate for eventual malignancy</w:t>
            </w:r>
          </w:p>
        </w:tc>
      </w:tr>
      <w:tr>
        <w:tc>
          <w:tcPr>
            <w:tcW w:type="dxa" w:w="18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TNBC persisters</w:t>
            </w:r>
          </w:p>
        </w:tc>
        <w:tc>
          <w:tcPr>
            <w:tcW w:type="dxa" w:w="22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No new mutation; phenotypic/stochastic switch</w:t>
            </w:r>
          </w:p>
        </w:tc>
        <w:tc>
          <w:tcPr>
            <w:tcW w:type="dxa" w:w="260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Quiescent, OXPHOS-high persister cells post-chemotherapy</w:t>
            </w:r>
          </w:p>
        </w:tc>
        <w:tc>
          <w:tcPr>
            <w:tcW w:type="dxa" w:w="2560"/>
            <w:shd w:fill="F2F2F2" w:val="clear"/>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Clone eliminated by treatment vs. reservoir for relapse and resistance evolution</w:t>
            </w:r>
          </w:p>
        </w:tc>
      </w:tr>
      <w:tr>
        <w:tc>
          <w:tcPr>
            <w:tcW w:type="dxa" w:w="18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Hydatidiform mole</w:t>
            </w:r>
          </w:p>
        </w:tc>
        <w:tc>
          <w:tcPr>
            <w:tcW w:type="dxa" w:w="22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Primary genetic incompatibility (androgenetic/triploid conceptus)</w:t>
            </w:r>
          </w:p>
        </w:tc>
        <w:tc>
          <w:tcPr>
            <w:tcW w:type="dxa" w:w="260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Quiescent Gestational Trophoblastic Disease (Q-GTD)</w:t>
            </w:r>
          </w:p>
        </w:tc>
        <w:tc>
          <w:tcPr>
            <w:tcW w:type="dxa" w:w="2560"/>
            <w:tcMar>
              <w:top w:type="dxa" w:w="100"/>
              <w:left w:type="dxa" w:w="120"/>
              <w:bottom w:type="dxa" w:w="100"/>
              <w:right w:type="dxa" w:w="120"/>
            </w:tcMar>
            <w:vAlign w:val="center"/>
          </w:tcPr>
          <w:p>
            <w:r>
              <w:rPr>
                <w:rFonts w:ascii="Times New Roman" w:cs="Times New Roman" w:eastAsia="Times New Roman" w:hAnsi="Times New Roman"/>
                <w:b w:val="false"/>
                <w:bCs w:val="false"/>
                <w:color w:val="000000"/>
                <w:sz w:val="19"/>
                <w:szCs w:val="19"/>
              </w:rPr>
              <w:t xml:space="preserve">Spontaneous regression (80–99%) vs. persistent disease; risk of invasive mole/choriocarcinoma (15–20% / 0.5–1%)</w:t>
            </w:r>
          </w:p>
        </w:tc>
      </w:tr>
    </w:tbl>
    <w:p>
      <w:pPr>
        <w:pStyle w:val="Heading1"/>
        <w:spacing w:after="160" w:before="320"/>
      </w:pPr>
      <w:r>
        <w:t xml:space="preserve">Limitations</w:t>
      </w:r>
    </w:p>
    <w:p>
      <w:pPr>
        <w:spacing w:after="200" w:line="360"/>
        <w:jc w:val="both"/>
      </w:pPr>
      <w:r>
        <w:rPr>
          <w:rFonts w:ascii="Times New Roman" w:cs="Times New Roman" w:eastAsia="Times New Roman" w:hAnsi="Times New Roman"/>
          <w:i w:val="false"/>
          <w:iCs w:val="false"/>
          <w:sz w:val="24"/>
          <w:szCs w:val="24"/>
        </w:rPr>
        <w:t xml:space="preserve">This article assembles evidence from three structurally distinct biological systems (hematopoietic stem cell aging, solid tumor chemotherapy resistance, gestational trophoblastic disease) that have not, to our knowledge, been directly compared within a single study. The claim that these three cases instantiate one common underlying principle — that reserve formation, rather than the founding event, is the pivotal determinant of long-term clonal persistence — is a structural interpretation proposed here, not a finding established by any cited source considered individually. The proposed continuity between this population-level reserve and the cell-intrinsic dormancy architecture described elsewhere in this monograph (Section 6) is a working hypothesis and has not been directly tested. The term “primary genetic incompatibility,” illustrated here by hydatidiform mole, is not intended to generalize automatically to other developmentally abnormal or chimeric cell origins without separate case-by-case verification.</w:t>
      </w:r>
    </w:p>
    <w:p>
      <w:pPr>
        <w:pStyle w:val="Heading1"/>
        <w:spacing w:after="160" w:before="320"/>
      </w:pPr>
      <w:r>
        <w:t xml:space="preserve">Predictions</w:t>
      </w:r>
    </w:p>
    <w:p>
      <w:pPr>
        <w:spacing w:after="20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If reserve formation, not the founding event, is the pivotal determinant of persistence, then experimentally preventing reserve formation (e.g., by blocking entry into quiescence) in a CHIP mouse model should eliminate the long-term competitive advantage of mutant HSCs even though the founding mutation remains present.</w:t>
      </w:r>
    </w:p>
    <w:p>
      <w:pPr>
        <w:spacing w:after="20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Quiescent gestational trophoblastic disease should show molecular markers of the dormancy architecture established elsewhere in this series (NR2F1 activity, p27/p16 induction, CD200/STING-pathway status) at levels comparable to non-gestational dormant tumor cells, testing the proposed mechanistic continuity in Section 6.</w:t>
      </w:r>
    </w:p>
    <w:p>
      <w:pPr>
        <w:spacing w:after="20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Regionally distinct subclones within a single heterogeneous tumor (Section 4) should each show independent evidence of a locally maintained reserve subpopulation, rather than a single reserve shared across the whole tumor, testing the nested/recursive character of the proposed competitive dynamic.</w:t>
      </w:r>
    </w:p>
    <w:p>
      <w:pPr>
        <w:spacing w:after="200" w:line="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Across the three case studies compared here, the rate of eventual malignant progression should correlate with the measured stability or size of the intermediate reserve state (persistent HSC clone size in CHIP; persister cell fraction in treated TNBC; duration and hCG level of Q-GTD) rather than with any measure of the severity of the founding genetic or phenotypic event.</w:t>
      </w:r>
    </w:p>
    <w:p>
      <w:pPr>
        <w:pStyle w:val="Heading1"/>
        <w:spacing w:after="160" w:before="320"/>
      </w:pPr>
      <w:r>
        <w:t xml:space="preserve">References</w:t>
      </w:r>
    </w:p>
    <w:p>
      <w:pPr>
        <w:spacing w:after="200" w:line="360"/>
        <w:jc w:val="both"/>
      </w:pPr>
      <w:r>
        <w:rPr>
          <w:rFonts w:ascii="Times New Roman" w:cs="Times New Roman" w:eastAsia="Times New Roman" w:hAnsi="Times New Roman"/>
          <w:i w:val="false"/>
          <w:iCs w:val="false"/>
          <w:sz w:val="24"/>
          <w:szCs w:val="24"/>
        </w:rPr>
        <w:t xml:space="preserve">1. Leveraging clonal competition between CHIP and malignant clones as a novel therapeutic strategy in hematologic malignancy. ScienceDirect. 2025.</w:t>
      </w:r>
    </w:p>
    <w:p>
      <w:pPr>
        <w:spacing w:after="200" w:line="360"/>
        <w:jc w:val="both"/>
      </w:pPr>
      <w:r>
        <w:rPr>
          <w:rFonts w:ascii="Times New Roman" w:cs="Times New Roman" w:eastAsia="Times New Roman" w:hAnsi="Times New Roman"/>
          <w:i w:val="false"/>
          <w:iCs w:val="false"/>
          <w:sz w:val="24"/>
          <w:szCs w:val="24"/>
        </w:rPr>
        <w:t xml:space="preserve">2. Jakobsen NA, Turkalj S, Zeng AGX, Stoilova B, Metzner M, Rahmig S, Nagree MS, Shah S, Moore R, Usukhbayar B, Angulo Salazar M, Gafencu GA, Kennedy A, Newman S, Kendrick BJL, Taylor AH, Afinowi-Luitz R, Gundle R, Watkins B, Wheway K, Beazley D, Murison A, Aguilar-Navarro AG, Flores-Figueroa E, Dakin SG, Carr AJ, Nerlov C, Dick JE, Xie SZ, Vyas P. Selective advantage of mutant stem cells in human clonal hematopoiesis is associated with attenuated response to inflammation and aging. Cell Stem Cell. 2024;31(8):1127–1144. doi:10.1016/j.stem.2024.05.010.</w:t>
      </w:r>
    </w:p>
    <w:p>
      <w:pPr>
        <w:spacing w:after="200" w:line="360"/>
        <w:jc w:val="both"/>
      </w:pPr>
      <w:r>
        <w:rPr>
          <w:rFonts w:ascii="Times New Roman" w:cs="Times New Roman" w:eastAsia="Times New Roman" w:hAnsi="Times New Roman"/>
          <w:i w:val="false"/>
          <w:iCs w:val="false"/>
          <w:sz w:val="24"/>
          <w:szCs w:val="24"/>
        </w:rPr>
        <w:t xml:space="preserve">3. A senescent-immune reserve niche model for incomplete lobular involution in the aging breast. Preprint, arXiv:2605.13902.</w:t>
      </w:r>
    </w:p>
    <w:p>
      <w:pPr>
        <w:spacing w:after="200" w:line="360"/>
        <w:jc w:val="both"/>
      </w:pPr>
      <w:r>
        <w:rPr>
          <w:rFonts w:ascii="Times New Roman" w:cs="Times New Roman" w:eastAsia="Times New Roman" w:hAnsi="Times New Roman"/>
          <w:i w:val="false"/>
          <w:iCs w:val="false"/>
          <w:sz w:val="24"/>
          <w:szCs w:val="24"/>
        </w:rPr>
        <w:t xml:space="preserve">4. Challen GA, Goodell MA. Clonal hematopoiesis: mechanisms driving dominance of stem cell clones. Blood. 2020;136(14):1590–1598. doi:10.1182/blood.2020006510.</w:t>
      </w:r>
    </w:p>
    <w:p>
      <w:pPr>
        <w:spacing w:after="200" w:line="360"/>
        <w:jc w:val="both"/>
      </w:pPr>
      <w:r>
        <w:rPr>
          <w:rFonts w:ascii="Times New Roman" w:cs="Times New Roman" w:eastAsia="Times New Roman" w:hAnsi="Times New Roman"/>
          <w:i w:val="false"/>
          <w:iCs w:val="false"/>
          <w:sz w:val="24"/>
          <w:szCs w:val="24"/>
        </w:rPr>
        <w:t xml:space="preserve">5. Phenotypic Plasticity, Bet-Hedging, and Androgen Independence in Prostate Cancer: Role of Non-Genetic Heterogeneity. PMC5845637.</w:t>
      </w:r>
    </w:p>
    <w:p>
      <w:pPr>
        <w:spacing w:after="200" w:line="360"/>
        <w:jc w:val="both"/>
      </w:pPr>
      <w:r>
        <w:rPr>
          <w:rFonts w:ascii="Times New Roman" w:cs="Times New Roman" w:eastAsia="Times New Roman" w:hAnsi="Times New Roman"/>
          <w:i w:val="false"/>
          <w:iCs w:val="false"/>
          <w:sz w:val="24"/>
          <w:szCs w:val="24"/>
        </w:rPr>
        <w:t xml:space="preserve">6. A heterogeneous drug tolerant persister state in BRAF-mutant melanoma is characterized by ion channel dysregulation and susceptibility to ferroptosis. Preprint, bioRxiv. 2022.</w:t>
      </w:r>
    </w:p>
    <w:p>
      <w:pPr>
        <w:spacing w:after="200" w:line="360"/>
        <w:jc w:val="both"/>
      </w:pPr>
      <w:r>
        <w:rPr>
          <w:rFonts w:ascii="Times New Roman" w:cs="Times New Roman" w:eastAsia="Times New Roman" w:hAnsi="Times New Roman"/>
          <w:i w:val="false"/>
          <w:iCs w:val="false"/>
          <w:sz w:val="24"/>
          <w:szCs w:val="24"/>
        </w:rPr>
        <w:t xml:space="preserve">7. Phenotypic heterogeneity in temporally fluctuating environments. Preprint, arXiv:2411.03166.</w:t>
      </w:r>
    </w:p>
    <w:p>
      <w:pPr>
        <w:spacing w:after="200" w:line="360"/>
        <w:jc w:val="both"/>
      </w:pPr>
      <w:r>
        <w:rPr>
          <w:rFonts w:ascii="Times New Roman" w:cs="Times New Roman" w:eastAsia="Times New Roman" w:hAnsi="Times New Roman"/>
          <w:i w:val="false"/>
          <w:iCs w:val="false"/>
          <w:sz w:val="24"/>
          <w:szCs w:val="24"/>
        </w:rPr>
        <w:t xml:space="preserve">8. Stochasticity in the Genotype-Phenotype Map: Implications for the Robustness and Persistence of Bet-Hedging. PMC5161283.</w:t>
      </w:r>
    </w:p>
    <w:p>
      <w:pPr>
        <w:spacing w:after="200" w:line="360"/>
        <w:jc w:val="both"/>
      </w:pPr>
      <w:r>
        <w:rPr>
          <w:rFonts w:ascii="Times New Roman" w:cs="Times New Roman" w:eastAsia="Times New Roman" w:hAnsi="Times New Roman"/>
          <w:i w:val="false"/>
          <w:iCs w:val="false"/>
          <w:sz w:val="24"/>
          <w:szCs w:val="24"/>
        </w:rPr>
        <w:t xml:space="preserve">9. Bet hedging in a unicellular microalga. PMC10920660.</w:t>
      </w:r>
    </w:p>
    <w:p>
      <w:pPr>
        <w:spacing w:after="200" w:line="360"/>
        <w:jc w:val="both"/>
      </w:pPr>
      <w:r>
        <w:rPr>
          <w:rFonts w:ascii="Times New Roman" w:cs="Times New Roman" w:eastAsia="Times New Roman" w:hAnsi="Times New Roman"/>
          <w:i w:val="false"/>
          <w:iCs w:val="false"/>
          <w:sz w:val="24"/>
          <w:szCs w:val="24"/>
        </w:rPr>
        <w:t xml:space="preserve">10. Quiescent OXPHOS-high triple-negative breast cancer cells that persist after chemotherapy depend on BCL-XL for survival. Preprint, bioRxiv. 2025.</w:t>
      </w:r>
    </w:p>
    <w:p>
      <w:pPr>
        <w:spacing w:after="200" w:line="360"/>
        <w:jc w:val="both"/>
      </w:pPr>
      <w:r>
        <w:rPr>
          <w:rFonts w:ascii="Times New Roman" w:cs="Times New Roman" w:eastAsia="Times New Roman" w:hAnsi="Times New Roman"/>
          <w:i w:val="false"/>
          <w:iCs w:val="false"/>
          <w:sz w:val="24"/>
          <w:szCs w:val="24"/>
        </w:rPr>
        <w:t xml:space="preserve">11. Advances in tumor subclone formation and mechanisms of growth and invasion. PMC12012948.</w:t>
      </w:r>
    </w:p>
    <w:p>
      <w:pPr>
        <w:spacing w:after="200" w:line="360"/>
        <w:jc w:val="both"/>
      </w:pPr>
      <w:r>
        <w:rPr>
          <w:rFonts w:ascii="Times New Roman" w:cs="Times New Roman" w:eastAsia="Times New Roman" w:hAnsi="Times New Roman"/>
          <w:i w:val="false"/>
          <w:iCs w:val="false"/>
          <w:sz w:val="24"/>
          <w:szCs w:val="24"/>
        </w:rPr>
        <w:t xml:space="preserve">12. Clonal Evolution in Cancer. Mission Bio, Learning Center.</w:t>
      </w:r>
    </w:p>
    <w:p>
      <w:pPr>
        <w:spacing w:after="200" w:line="360"/>
        <w:jc w:val="both"/>
      </w:pPr>
      <w:r>
        <w:rPr>
          <w:rFonts w:ascii="Times New Roman" w:cs="Times New Roman" w:eastAsia="Times New Roman" w:hAnsi="Times New Roman"/>
          <w:i w:val="false"/>
          <w:iCs w:val="false"/>
          <w:sz w:val="24"/>
          <w:szCs w:val="24"/>
        </w:rPr>
        <w:t xml:space="preserve">13. Okada Y, Miyamoto S, Mimura T, Ishikawa T, Sekizawa A, Matsumoto K. Spontaneous regression of quiescent gestational trophoblastic disease after pregnancy: a case report. BMC Womens Health. 2019;19(1):101. doi:10.1186/s12905-019-0794-2.</w:t>
      </w:r>
    </w:p>
    <w:p>
      <w:pPr>
        <w:spacing w:after="200" w:line="360"/>
        <w:jc w:val="both"/>
      </w:pPr>
      <w:r>
        <w:rPr>
          <w:rFonts w:ascii="Times New Roman" w:cs="Times New Roman" w:eastAsia="Times New Roman" w:hAnsi="Times New Roman"/>
          <w:i w:val="false"/>
          <w:iCs w:val="false"/>
          <w:sz w:val="24"/>
          <w:szCs w:val="24"/>
        </w:rPr>
        <w:t xml:space="preserve">14. Molecular Basis of Hydatidiform Moles—A Systematic Review. PMC11354253.</w:t>
      </w:r>
    </w:p>
    <w:p>
      <w:pPr>
        <w:spacing w:after="200" w:line="360"/>
        <w:jc w:val="both"/>
      </w:pPr>
      <w:r>
        <w:rPr>
          <w:rFonts w:ascii="Times New Roman" w:cs="Times New Roman" w:eastAsia="Times New Roman" w:hAnsi="Times New Roman"/>
          <w:i w:val="false"/>
          <w:iCs w:val="false"/>
          <w:sz w:val="24"/>
          <w:szCs w:val="24"/>
        </w:rPr>
        <w:t xml:space="preserve">15. Choriocarcinoma and partial hydatidiform moles. ScienceDirect.</w:t>
      </w:r>
    </w:p>
    <w:p>
      <w:pPr>
        <w:spacing w:after="200" w:line="360"/>
        <w:jc w:val="both"/>
      </w:pPr>
      <w:r>
        <w:rPr>
          <w:rFonts w:ascii="Times New Roman" w:cs="Times New Roman" w:eastAsia="Times New Roman" w:hAnsi="Times New Roman"/>
          <w:i w:val="false"/>
          <w:iCs w:val="false"/>
          <w:sz w:val="24"/>
          <w:szCs w:val="24"/>
        </w:rPr>
        <w:t xml:space="preserve">16. Trophoblastic disease and choriocarcinoma. Eur J Surg Oncol. 2024.</w:t>
      </w:r>
    </w:p>
    <w:p>
      <w:pPr>
        <w:spacing w:after="200" w:line="360"/>
        <w:jc w:val="both"/>
      </w:pPr>
      <w:r>
        <w:rPr>
          <w:rFonts w:ascii="Times New Roman" w:cs="Times New Roman" w:eastAsia="Times New Roman" w:hAnsi="Times New Roman"/>
          <w:i w:val="false"/>
          <w:iCs w:val="false"/>
          <w:sz w:val="24"/>
          <w:szCs w:val="24"/>
        </w:rPr>
        <w:t xml:space="preserve">17. Gestational trophoblastic disease. AMBOSS.</w:t>
      </w:r>
    </w:p>
    <w:p>
      <w:r>
        <w:br w:type="page"/>
      </w:r>
    </w:p>
    <w:p>
      <w:pPr>
        <w:pStyle w:val="Heading1"/>
        <w:spacing w:after="160" w:before="320"/>
      </w:pPr>
      <w:r>
        <w:t xml:space="preserve">Glossary</w:t>
      </w:r>
    </w:p>
    <w:p>
      <w:pPr>
        <w:spacing w:after="220" w:line="360"/>
        <w:jc w:val="both"/>
      </w:pPr>
      <w:r>
        <w:rPr>
          <w:rFonts w:ascii="Times New Roman" w:cs="Times New Roman" w:eastAsia="Times New Roman" w:hAnsi="Times New Roman"/>
          <w:sz w:val="24"/>
          <w:szCs w:val="24"/>
        </w:rPr>
        <w:t xml:space="preserve">This glossary defines terms used across the monograph in an author-specific sense, or acronyms that recur across multiple articles without being redefined at each occurrence.</w:t>
      </w:r>
    </w:p>
    <w:p>
      <w:pPr>
        <w:pStyle w:val="Heading1"/>
        <w:spacing w:after="160" w:before="320"/>
      </w:pPr>
      <w:r>
        <w:t xml:space="preserve">Evidentiary Status Labels</w:t>
      </w:r>
    </w:p>
    <w:p>
      <w:pPr>
        <w:spacing w:after="220" w:line="360"/>
        <w:jc w:val="both"/>
      </w:pPr>
      <w:r>
        <w:rPr>
          <w:rFonts w:ascii="Times New Roman" w:cs="Times New Roman" w:eastAsia="Times New Roman" w:hAnsi="Times New Roman"/>
          <w:b/>
          <w:bCs/>
          <w:sz w:val="24"/>
          <w:szCs w:val="24"/>
        </w:rPr>
        <w:t xml:space="preserve">Established. </w:t>
      </w:r>
      <w:r>
        <w:rPr>
          <w:rFonts w:ascii="Times New Roman" w:cs="Times New Roman" w:eastAsia="Times New Roman" w:hAnsi="Times New Roman"/>
          <w:sz w:val="24"/>
          <w:szCs w:val="24"/>
        </w:rPr>
        <w:t xml:space="preserve">A claim directly shown in the cited primary literature.</w:t>
      </w:r>
    </w:p>
    <w:p>
      <w:pPr>
        <w:spacing w:after="220" w:line="360"/>
        <w:jc w:val="both"/>
      </w:pPr>
      <w:r>
        <w:rPr>
          <w:rFonts w:ascii="Times New Roman" w:cs="Times New Roman" w:eastAsia="Times New Roman" w:hAnsi="Times New Roman"/>
          <w:b/>
          <w:bCs/>
          <w:sz w:val="24"/>
          <w:szCs w:val="24"/>
        </w:rPr>
        <w:t xml:space="preserve">Framework interpretation. </w:t>
      </w:r>
      <w:r>
        <w:rPr>
          <w:rFonts w:ascii="Times New Roman" w:cs="Times New Roman" w:eastAsia="Times New Roman" w:hAnsi="Times New Roman"/>
          <w:sz w:val="24"/>
          <w:szCs w:val="24"/>
        </w:rPr>
        <w:t xml:space="preserve">An interpretation of established data in terms of this Framework's architecture; the underlying data are established, but the interpretation itself has not been independently tested as such.</w:t>
      </w:r>
    </w:p>
    <w:p>
      <w:pPr>
        <w:spacing w:after="220" w:line="360"/>
        <w:jc w:val="both"/>
      </w:pPr>
      <w:r>
        <w:rPr>
          <w:rFonts w:ascii="Times New Roman" w:cs="Times New Roman" w:eastAsia="Times New Roman" w:hAnsi="Times New Roman"/>
          <w:b/>
          <w:bCs/>
          <w:sz w:val="24"/>
          <w:szCs w:val="24"/>
        </w:rPr>
        <w:t xml:space="preserve">Framework hypothesis. </w:t>
      </w:r>
      <w:r>
        <w:rPr>
          <w:rFonts w:ascii="Times New Roman" w:cs="Times New Roman" w:eastAsia="Times New Roman" w:hAnsi="Times New Roman"/>
          <w:sz w:val="24"/>
          <w:szCs w:val="24"/>
        </w:rPr>
        <w:t xml:space="preserve">A new mechanistic idea proposed within this Framework that has not yet been empirically tested. This three-tier system is used throughout Articles 2–9 to prevent conceptual links proposed by the author from being mistaken for demonstrated mechanisms.</w:t>
      </w:r>
    </w:p>
    <w:p>
      <w:pPr>
        <w:pStyle w:val="Heading1"/>
        <w:spacing w:after="160" w:before="320"/>
      </w:pPr>
      <w:r>
        <w:t xml:space="preserve">Core Terms</w:t>
      </w:r>
    </w:p>
    <w:p>
      <w:pPr>
        <w:spacing w:after="220" w:line="360"/>
        <w:jc w:val="both"/>
      </w:pPr>
      <w:r>
        <w:rPr>
          <w:rFonts w:ascii="Times New Roman" w:cs="Times New Roman" w:eastAsia="Times New Roman" w:hAnsi="Times New Roman"/>
          <w:b/>
          <w:bCs/>
          <w:sz w:val="24"/>
          <w:szCs w:val="24"/>
        </w:rPr>
        <w:t xml:space="preserve">BGR (Basal Glycolytic Regime). </w:t>
      </w:r>
      <w:r>
        <w:rPr>
          <w:rFonts w:ascii="Times New Roman" w:cs="Times New Roman" w:eastAsia="Times New Roman" w:hAnsi="Times New Roman"/>
          <w:sz w:val="24"/>
          <w:szCs w:val="24"/>
        </w:rPr>
        <w:t xml:space="preserve">The glycogen/glycolysis-based energy circuit of the cell, operating independently of oxidative phosphorylation (OXPHOS). BGR is proposed to be the exclusive energy source of the Active and Dormant states and to remain active in a nucleus-specific, localized form even in the OXPHOS-dominant Differentiated state (Articles 2–5). The term is used throughout the monograph without being redefined at each occurrence; this entry is its only explicit definition within the published series.</w:t>
      </w:r>
    </w:p>
    <w:p>
      <w:pPr>
        <w:spacing w:after="220" w:line="360"/>
        <w:jc w:val="both"/>
      </w:pPr>
      <w:r>
        <w:rPr>
          <w:rFonts w:ascii="Times New Roman" w:cs="Times New Roman" w:eastAsia="Times New Roman" w:hAnsi="Times New Roman"/>
          <w:b/>
          <w:bCs/>
          <w:sz w:val="24"/>
          <w:szCs w:val="24"/>
        </w:rPr>
        <w:t xml:space="preserve">OXPHOS (Oxidative Phosphorylation). </w:t>
      </w:r>
      <w:r>
        <w:rPr>
          <w:rFonts w:ascii="Times New Roman" w:cs="Times New Roman" w:eastAsia="Times New Roman" w:hAnsi="Times New Roman"/>
          <w:sz w:val="24"/>
          <w:szCs w:val="24"/>
        </w:rPr>
        <w:t xml:space="preserve">Mitochondrial ATP production; proposed to dominate cytoplasmic energetics in the Differentiated/functional state, while remaining largely absent from the nuclear BGR contour (Article 4).</w:t>
      </w:r>
    </w:p>
    <w:p>
      <w:pPr>
        <w:spacing w:after="220" w:line="360"/>
        <w:jc w:val="both"/>
      </w:pPr>
      <w:r>
        <w:rPr>
          <w:rFonts w:ascii="Times New Roman" w:cs="Times New Roman" w:eastAsia="Times New Roman" w:hAnsi="Times New Roman"/>
          <w:b/>
          <w:bCs/>
          <w:sz w:val="24"/>
          <w:szCs w:val="24"/>
        </w:rPr>
        <w:t xml:space="preserve">R-point (Restriction Point). </w:t>
      </w:r>
      <w:r>
        <w:rPr>
          <w:rFonts w:ascii="Times New Roman" w:cs="Times New Roman" w:eastAsia="Times New Roman" w:hAnsi="Times New Roman"/>
          <w:sz w:val="24"/>
          <w:szCs w:val="24"/>
        </w:rPr>
        <w:t xml:space="preserve">The point in the cell cycle at which a mitogen-dependent signal converts into a self-sustaining CDK4/6–Rb–E2F feedback loop, after which the cell becomes independent of continued mitogen presence (Article 2).</w:t>
      </w:r>
    </w:p>
    <w:p>
      <w:pPr>
        <w:spacing w:after="220" w:line="360"/>
        <w:jc w:val="both"/>
      </w:pPr>
      <w:r>
        <w:rPr>
          <w:rFonts w:ascii="Times New Roman" w:cs="Times New Roman" w:eastAsia="Times New Roman" w:hAnsi="Times New Roman"/>
          <w:b/>
          <w:bCs/>
          <w:sz w:val="24"/>
          <w:szCs w:val="24"/>
        </w:rPr>
        <w:t xml:space="preserve">MRQ (Mitochondrial Respiratory Quiescence). </w:t>
      </w:r>
      <w:r>
        <w:rPr>
          <w:rFonts w:ascii="Times New Roman" w:cs="Times New Roman" w:eastAsia="Times New Roman" w:hAnsi="Times New Roman"/>
          <w:sz w:val="24"/>
          <w:szCs w:val="24"/>
        </w:rPr>
        <w:t xml:space="preserve">A deliberately maintained, structurally remodeled state of mitochondria in dormant cells, characterized by a minimal but non-zero membrane potential rather than complete inactivity (Article 5).</w:t>
      </w:r>
    </w:p>
    <w:p>
      <w:pPr>
        <w:spacing w:after="220" w:line="360"/>
        <w:jc w:val="both"/>
      </w:pPr>
      <w:r>
        <w:rPr>
          <w:rFonts w:ascii="Times New Roman" w:cs="Times New Roman" w:eastAsia="Times New Roman" w:hAnsi="Times New Roman"/>
          <w:b/>
          <w:bCs/>
          <w:sz w:val="24"/>
          <w:szCs w:val="24"/>
        </w:rPr>
        <w:t xml:space="preserve">Geroconversion. </w:t>
      </w:r>
      <w:r>
        <w:rPr>
          <w:rFonts w:ascii="Times New Roman" w:cs="Times New Roman" w:eastAsia="Times New Roman" w:hAnsi="Times New Roman"/>
          <w:sz w:val="24"/>
          <w:szCs w:val="24"/>
        </w:rPr>
        <w:t xml:space="preserve">The conversion of a temporary, reversible cell-cycle arrest into permanent senescence, proposed to occur when mTOR signaling remains active despite the arrest, rather than being suppressed together with it (Article 6).</w:t>
      </w:r>
    </w:p>
    <w:p>
      <w:pPr>
        <w:spacing w:after="220" w:line="360"/>
        <w:jc w:val="both"/>
      </w:pPr>
      <w:r>
        <w:rPr>
          <w:rFonts w:ascii="Times New Roman" w:cs="Times New Roman" w:eastAsia="Times New Roman" w:hAnsi="Times New Roman"/>
          <w:b/>
          <w:bCs/>
          <w:sz w:val="24"/>
          <w:szCs w:val="24"/>
        </w:rPr>
        <w:t xml:space="preserve">Stochastic Tunneling. </w:t>
      </w:r>
      <w:r>
        <w:rPr>
          <w:rFonts w:ascii="Times New Roman" w:cs="Times New Roman" w:eastAsia="Times New Roman" w:hAnsi="Times New Roman"/>
          <w:sz w:val="24"/>
          <w:szCs w:val="24"/>
        </w:rPr>
        <w:t xml:space="preserve">A population-genetic mechanism in which a second, complementary mutation arises on the background of an intermediate mutant lineage before that lineage has itself reached fixation, allowing a system-wide shift without requiring sequential fixation of each individual change (Article 8).</w:t>
      </w:r>
    </w:p>
    <w:p>
      <w:pPr>
        <w:spacing w:after="220" w:line="360"/>
        <w:jc w:val="both"/>
      </w:pPr>
      <w:r>
        <w:rPr>
          <w:rFonts w:ascii="Times New Roman" w:cs="Times New Roman" w:eastAsia="Times New Roman" w:hAnsi="Times New Roman"/>
          <w:b/>
          <w:bCs/>
          <w:sz w:val="24"/>
          <w:szCs w:val="24"/>
        </w:rPr>
        <w:t xml:space="preserve">Reserve Copy. </w:t>
      </w:r>
      <w:r>
        <w:rPr>
          <w:rFonts w:ascii="Times New Roman" w:cs="Times New Roman" w:eastAsia="Times New Roman" w:hAnsi="Times New Roman"/>
          <w:sz w:val="24"/>
          <w:szCs w:val="24"/>
        </w:rPr>
        <w:t xml:space="preserve">A dormant or persister subpopulation proposed to be the necessary common denominator across structurally distinct routes to clonal dominance (mutation, phenotypic switch, or primary genetic incompatibility), functioning as the biological instantiation of the accumulation factor required for stochastic tunneling (Articles 8–9).</w:t>
      </w:r>
    </w:p>
    <w:p>
      <w:pPr>
        <w:pStyle w:val="Heading1"/>
        <w:spacing w:after="160" w:before="320"/>
      </w:pPr>
      <w:r>
        <w:t xml:space="preserve">Recurring Acronyms</w:t>
      </w:r>
    </w:p>
    <w:p>
      <w:pPr>
        <w:spacing w:after="220" w:line="360"/>
        <w:jc w:val="both"/>
      </w:pPr>
      <w:r>
        <w:rPr>
          <w:rFonts w:ascii="Times New Roman" w:cs="Times New Roman" w:eastAsia="Times New Roman" w:hAnsi="Times New Roman"/>
          <w:b/>
          <w:bCs/>
          <w:sz w:val="24"/>
          <w:szCs w:val="24"/>
        </w:rPr>
        <w:t xml:space="preserve">NR2F1 (COUP-TFI). </w:t>
      </w:r>
      <w:r>
        <w:rPr>
          <w:rFonts w:ascii="Times New Roman" w:cs="Times New Roman" w:eastAsia="Times New Roman" w:hAnsi="Times New Roman"/>
          <w:sz w:val="24"/>
          <w:szCs w:val="24"/>
        </w:rPr>
        <w:t xml:space="preserve">Orphan nuclear receptor; the central epigenetic lock of the dormant state throughout this monograph, inducing p27/p16 and repressive chromatin marks (H3K27me3, H3K9me3).</w:t>
      </w:r>
    </w:p>
    <w:p>
      <w:pPr>
        <w:spacing w:after="220" w:line="360"/>
        <w:jc w:val="both"/>
      </w:pPr>
      <w:r>
        <w:rPr>
          <w:rFonts w:ascii="Times New Roman" w:cs="Times New Roman" w:eastAsia="Times New Roman" w:hAnsi="Times New Roman"/>
          <w:b/>
          <w:bCs/>
          <w:sz w:val="24"/>
          <w:szCs w:val="24"/>
        </w:rPr>
        <w:t xml:space="preserve">TNFR1. </w:t>
      </w:r>
      <w:r>
        <w:rPr>
          <w:rFonts w:ascii="Times New Roman" w:cs="Times New Roman" w:eastAsia="Times New Roman" w:hAnsi="Times New Roman"/>
          <w:sz w:val="24"/>
          <w:szCs w:val="24"/>
        </w:rPr>
        <w:t xml:space="preserve">TNF receptor 1; forms Complex I (NF-κB/survival) or Complex II (caspase-8/apoptosis) depending on FLIP synthesis timing, and mediates asymmetric awakening from dormancy (Articles 3, 5).</w:t>
      </w:r>
    </w:p>
    <w:p>
      <w:pPr>
        <w:spacing w:after="220" w:line="360"/>
        <w:jc w:val="both"/>
      </w:pPr>
      <w:r>
        <w:rPr>
          <w:rFonts w:ascii="Times New Roman" w:cs="Times New Roman" w:eastAsia="Times New Roman" w:hAnsi="Times New Roman"/>
          <w:b/>
          <w:bCs/>
          <w:sz w:val="24"/>
          <w:szCs w:val="24"/>
        </w:rPr>
        <w:t xml:space="preserve">CHIP (Clonal Hematopoiesis of Indeterminate Potential). </w:t>
      </w:r>
      <w:r>
        <w:rPr>
          <w:rFonts w:ascii="Times New Roman" w:cs="Times New Roman" w:eastAsia="Times New Roman" w:hAnsi="Times New Roman"/>
          <w:sz w:val="24"/>
          <w:szCs w:val="24"/>
        </w:rPr>
        <w:t xml:space="preserve">Age-related clonal dominance of hematopoietic stem cells bearing somatic mutations (commonly DNMT3A, TET2) without overt malignancy; used as a case study of the reserve-copy mechanism (Article 9).</w:t>
      </w:r>
    </w:p>
    <w:p>
      <w:pPr>
        <w:spacing w:after="220" w:line="360"/>
        <w:jc w:val="both"/>
      </w:pPr>
      <w:r>
        <w:rPr>
          <w:rFonts w:ascii="Times New Roman" w:cs="Times New Roman" w:eastAsia="Times New Roman" w:hAnsi="Times New Roman"/>
          <w:b/>
          <w:bCs/>
          <w:sz w:val="24"/>
          <w:szCs w:val="24"/>
        </w:rPr>
        <w:t xml:space="preserve">Q-GTD (Quiescent Gestational Trophoblastic Disease). </w:t>
      </w:r>
      <w:r>
        <w:rPr>
          <w:rFonts w:ascii="Times New Roman" w:cs="Times New Roman" w:eastAsia="Times New Roman" w:hAnsi="Times New Roman"/>
          <w:sz w:val="24"/>
          <w:szCs w:val="24"/>
        </w:rPr>
        <w:t xml:space="preserve">A named clinical state of persistent, low-level β-hCG elevation following hydatidiform mole, with no detectable tumor; used as a clinical instance of a dormant reserve following a primary genetic incompatibility (Article 9).</w:t>
      </w:r>
    </w:p>
    <w:p>
      <w:pPr>
        <w:spacing w:after="220" w:line="360"/>
        <w:jc w:val="both"/>
      </w:pPr>
      <w:r>
        <w:rPr>
          <w:rFonts w:ascii="Times New Roman" w:cs="Times New Roman" w:eastAsia="Times New Roman" w:hAnsi="Times New Roman"/>
          <w:b/>
          <w:bCs/>
          <w:sz w:val="24"/>
          <w:szCs w:val="24"/>
        </w:rPr>
        <w:t xml:space="preserve">DTC (Disseminated Tumor Cell). </w:t>
      </w:r>
      <w:r>
        <w:rPr>
          <w:rFonts w:ascii="Times New Roman" w:cs="Times New Roman" w:eastAsia="Times New Roman" w:hAnsi="Times New Roman"/>
          <w:sz w:val="24"/>
          <w:szCs w:val="24"/>
        </w:rPr>
        <w:t xml:space="preserve">A tumor cell that has left the primary site and entered dormancy at a distant site, the primary subject of the immune-masking mechanisms discussed in Article 2.</w:t>
      </w:r>
    </w:p>
    <w:p>
      <w:r>
        <w:br w:type="page"/>
      </w:r>
    </w:p>
    <w:p>
      <w:pPr>
        <w:spacing w:after="60"/>
        <w:jc w:val="center"/>
      </w:pPr>
      <w:r>
        <w:rPr>
          <w:rFonts w:ascii="Times New Roman" w:cs="Times New Roman" w:eastAsia="Times New Roman" w:hAnsi="Times New Roman"/>
          <w:b/>
          <w:bCs/>
          <w:i w:val="false"/>
          <w:iCs w:val="false"/>
          <w:sz w:val="28"/>
          <w:szCs w:val="28"/>
        </w:rPr>
        <w:t xml:space="preserve">Afterword — Framework 1.3</w:t>
      </w:r>
    </w:p>
    <w:p>
      <w:pPr>
        <w:spacing w:after="480"/>
        <w:jc w:val="center"/>
      </w:pPr>
      <w:r>
        <w:rPr>
          <w:rFonts w:ascii="Times New Roman" w:cs="Times New Roman" w:eastAsia="Times New Roman" w:hAnsi="Times New Roman"/>
          <w:b w:val="false"/>
          <w:bCs w:val="false"/>
          <w:i/>
          <w:iCs/>
          <w:sz w:val="24"/>
          <w:szCs w:val="24"/>
        </w:rPr>
        <w:t xml:space="preserve">Receptors, Energetics, Cell-State Transitions, and Oncogenesis</w:t>
      </w:r>
    </w:p>
    <w:p>
      <w:pPr>
        <w:spacing w:after="220" w:line="360"/>
        <w:jc w:val="both"/>
      </w:pPr>
      <w:r>
        <w:rPr>
          <w:rFonts w:ascii="Times New Roman" w:cs="Times New Roman" w:eastAsia="Times New Roman" w:hAnsi="Times New Roman"/>
          <w:i w:val="false"/>
          <w:iCs w:val="false"/>
          <w:sz w:val="24"/>
          <w:szCs w:val="24"/>
        </w:rPr>
        <w:t xml:space="preserve">This monograph marks the completion of one stage of a long intellectual journey rather than its conclusion. Whether the ideas presented here ultimately prove correct will be decided not by the author, but by future experimental work and scientific discussion.</w:t>
      </w:r>
    </w:p>
    <w:p>
      <w:pPr>
        <w:spacing w:after="220" w:line="360"/>
        <w:jc w:val="both"/>
      </w:pPr>
      <w:r>
        <w:rPr>
          <w:rFonts w:ascii="Times New Roman" w:cs="Times New Roman" w:eastAsia="Times New Roman" w:hAnsi="Times New Roman"/>
          <w:i w:val="false"/>
          <w:iCs w:val="false"/>
          <w:sz w:val="24"/>
          <w:szCs w:val="24"/>
        </w:rPr>
        <w:t xml:space="preserve">I would like to express my sincere gratitude to my faithful AI research assistants, Claude (Anthropic) and ChatGPT. Throughout this project, they served not as replacements for scientific thinking, but as tireless partners in literature exploration, critical analysis, and the organization of complex interdisciplinary ideas.</w:t>
      </w:r>
    </w:p>
    <w:p>
      <w:pPr>
        <w:spacing w:after="220" w:line="360"/>
        <w:jc w:val="both"/>
      </w:pPr>
      <w:r>
        <w:rPr>
          <w:rFonts w:ascii="Times New Roman" w:cs="Times New Roman" w:eastAsia="Times New Roman" w:hAnsi="Times New Roman"/>
          <w:i w:val="false"/>
          <w:iCs w:val="false"/>
          <w:sz w:val="24"/>
          <w:szCs w:val="24"/>
        </w:rPr>
        <w:t xml:space="preserve">My deepest thanks go to my daughter, Sarah-Lana Demi, Data Scientist, for her patience, understanding, and unwavering support throughout this work, and for enduring my often difficult character during the many months devoted to this project. I am especially grateful to her for her help in studying and understanding stochastic processes, which proved essential to the formal treatment developed in this monograph.</w:t>
      </w:r>
    </w:p>
    <w:p>
      <w:pPr>
        <w:spacing w:after="220" w:line="360"/>
        <w:jc w:val="both"/>
      </w:pPr>
      <w:r>
        <w:rPr>
          <w:rFonts w:ascii="Times New Roman" w:cs="Times New Roman" w:eastAsia="Times New Roman" w:hAnsi="Times New Roman"/>
          <w:i w:val="false"/>
          <w:iCs w:val="false"/>
          <w:sz w:val="24"/>
          <w:szCs w:val="24"/>
        </w:rPr>
        <w:t xml:space="preserve">I am also deeply grateful to my colleagues at Hillel Yaffe Medical Center, Israel, for their encouragement, professional advice, and for generously sharing their knowledge and clinical experience:</w:t>
      </w:r>
    </w:p>
    <w:p>
      <w:pPr>
        <w:spacing w:after="60"/>
        <w:jc w:val="center"/>
      </w:pPr>
      <w:r>
        <w:rPr>
          <w:rFonts w:ascii="Times New Roman" w:cs="Times New Roman" w:eastAsia="Times New Roman" w:hAnsi="Times New Roman"/>
          <w:b w:val="false"/>
          <w:bCs w:val="false"/>
          <w:i w:val="false"/>
          <w:iCs w:val="false"/>
          <w:sz w:val="24"/>
          <w:szCs w:val="24"/>
        </w:rPr>
        <w:t xml:space="preserve">Professor Ilan Bruchim</w:t>
      </w:r>
    </w:p>
    <w:p>
      <w:pPr>
        <w:spacing w:after="60"/>
        <w:jc w:val="center"/>
      </w:pPr>
      <w:r>
        <w:rPr>
          <w:rFonts w:ascii="Times New Roman" w:cs="Times New Roman" w:eastAsia="Times New Roman" w:hAnsi="Times New Roman"/>
          <w:b w:val="false"/>
          <w:bCs w:val="false"/>
          <w:i w:val="false"/>
          <w:iCs w:val="false"/>
          <w:sz w:val="24"/>
          <w:szCs w:val="24"/>
        </w:rPr>
        <w:t xml:space="preserve">Dr. Haim David</w:t>
      </w:r>
    </w:p>
    <w:p>
      <w:pPr>
        <w:spacing w:after="360"/>
        <w:jc w:val="center"/>
      </w:pPr>
      <w:r>
        <w:rPr>
          <w:rFonts w:ascii="Times New Roman" w:cs="Times New Roman" w:eastAsia="Times New Roman" w:hAnsi="Times New Roman"/>
          <w:b w:val="false"/>
          <w:bCs w:val="false"/>
          <w:i w:val="false"/>
          <w:iCs w:val="false"/>
          <w:sz w:val="24"/>
          <w:szCs w:val="24"/>
        </w:rPr>
        <w:t xml:space="preserve">Dr. Ariel Polonsky</w:t>
      </w:r>
    </w:p>
    <w:p>
      <w:pPr>
        <w:spacing w:after="220" w:line="360"/>
        <w:jc w:val="both"/>
      </w:pPr>
      <w:r>
        <w:rPr>
          <w:rFonts w:ascii="Times New Roman" w:cs="Times New Roman" w:eastAsia="Times New Roman" w:hAnsi="Times New Roman"/>
          <w:i w:val="false"/>
          <w:iCs w:val="false"/>
          <w:sz w:val="24"/>
          <w:szCs w:val="24"/>
        </w:rPr>
        <w:t xml:space="preserve">Finally, I wish to thank everyone who will read this work with an open and critical mind.</w:t>
      </w:r>
    </w:p>
    <w:p>
      <w:pPr>
        <w:spacing w:after="120"/>
        <w:jc w:val="center"/>
      </w:pPr>
      <w:r>
        <w:rPr>
          <w:rFonts w:ascii="Times New Roman" w:cs="Times New Roman" w:eastAsia="Times New Roman" w:hAnsi="Times New Roman"/>
          <w:b w:val="false"/>
          <w:bCs w:val="false"/>
          <w:i/>
          <w:iCs/>
          <w:sz w:val="24"/>
          <w:szCs w:val="24"/>
        </w:rPr>
        <w:t xml:space="preserve">Science advances not only through answers, but through questions that are worth asking.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95b7e1640206ce3a48b4a9c14ce9861f28fc0b18.png"/><Relationship Id="rId9" Type="http://schemas.openxmlformats.org/officeDocument/2006/relationships/image" Target="media/aeb126668091eb695c773074fb95bcb62753ff33.png"/><Relationship Id="rId10" Type="http://schemas.openxmlformats.org/officeDocument/2006/relationships/image" Target="media/e3910da56c1ea0f206b954e094792f97d0e3ff48.png"/><Relationship Id="rId11" Type="http://schemas.openxmlformats.org/officeDocument/2006/relationships/image" Target="media/b514ae522918b2bfcbb7a5b9caab13c6fcf91be1.png"/><Relationship Id="rId12" Type="http://schemas.openxmlformats.org/officeDocument/2006/relationships/image" Target="media/36d9ccdcd07d3d8e6369cb17e17bc9198d50b806.png"/><Relationship Id="rId13"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2026-07-09T16:06:13.392Z</dcterms:created>
  <dcterms:modified xsi:type="dcterms:W3CDTF">2026-07-09T16:06:13.392Z</dcterms:modified>
</cp:coreProperties>
</file>

<file path=docProps/custom.xml><?xml version="1.0" encoding="utf-8"?>
<Properties xmlns="http://schemas.openxmlformats.org/officeDocument/2006/custom-properties" xmlns:vt="http://schemas.openxmlformats.org/officeDocument/2006/docPropsVTypes"/>
</file>