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3238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5181600"/>
                    </a:xfrm>
                    <a:prstGeom prst="rect">
                      <a:avLst/>
                    </a:prstGeom>
                  </pic:spPr>
                </pic:pic>
              </a:graphicData>
            </a:graphic>
          </wp:inline>
        </w:drawing>
      </w:r>
    </w:p>
    <w:p>
      <w:r>
        <w:br w:type="page"/>
      </w:r>
    </w:p>
    <w:p>
      <w:pPr>
        <w:spacing w:after="0" w:before="2400"/>
        <w:jc w:val="center"/>
      </w:pPr>
      <w:r>
        <w:rPr>
          <w:rFonts w:ascii="Times New Roman" w:cs="Times New Roman" w:eastAsia="Times New Roman" w:hAnsi="Times New Roman"/>
          <w:b/>
          <w:bCs/>
          <w:i w:val="false"/>
          <w:iCs w:val="false"/>
          <w:sz w:val="44"/>
          <w:szCs w:val="44"/>
        </w:rPr>
        <w:t xml:space="preserve">FRAMEWORK 2.0</w:t>
      </w:r>
    </w:p>
    <w:p>
      <w:pPr>
        <w:spacing w:after="600" w:before="300"/>
        <w:jc w:val="center"/>
      </w:pPr>
      <w:r>
        <w:rPr>
          <w:rFonts w:ascii="Times New Roman" w:cs="Times New Roman" w:eastAsia="Times New Roman" w:hAnsi="Times New Roman"/>
          <w:b/>
          <w:bCs/>
          <w:i w:val="false"/>
          <w:iCs w:val="false"/>
          <w:sz w:val="34"/>
          <w:szCs w:val="34"/>
        </w:rPr>
        <w:t xml:space="preserve">Architecture of Organism &amp; Malignancy</w:t>
      </w:r>
    </w:p>
    <w:p>
      <w:pPr>
        <w:spacing w:after="1200"/>
        <w:jc w:val="center"/>
      </w:pPr>
      <w:r>
        <w:rPr>
          <w:rFonts w:ascii="Times New Roman" w:cs="Times New Roman" w:eastAsia="Times New Roman" w:hAnsi="Times New Roman"/>
          <w:b w:val="false"/>
          <w:bCs w:val="false"/>
          <w:i/>
          <w:iCs/>
          <w:sz w:val="26"/>
          <w:szCs w:val="26"/>
        </w:rPr>
        <w:t xml:space="preserve">System Nodes, Reserve Capture, and Limits of the Dynamic Model</w:t>
      </w:r>
    </w:p>
    <w:p>
      <w:pPr>
        <w:spacing w:before="3000"/>
        <w:jc w:val="center"/>
      </w:pPr>
      <w:r>
        <w:rPr>
          <w:rFonts w:ascii="Times New Roman" w:cs="Times New Roman" w:eastAsia="Times New Roman" w:hAnsi="Times New Roman"/>
          <w:b w:val="false"/>
          <w:bCs w:val="false"/>
          <w:i w:val="false"/>
          <w:iCs w:val="false"/>
          <w:sz w:val="24"/>
          <w:szCs w:val="24"/>
        </w:rPr>
        <w:t xml:space="preserve">Yuri Dmitrochenko, MD</w:t>
      </w:r>
    </w:p>
    <w:p>
      <w:r>
        <w:br w:type="page"/>
      </w:r>
    </w:p>
    <w:p>
      <w:pPr>
        <w:spacing w:after="220" w:before="1600"/>
        <w:jc w:val="center"/>
      </w:pPr>
      <w:r>
        <w:rPr>
          <w:rFonts w:ascii="Times New Roman" w:cs="Times New Roman" w:eastAsia="Times New Roman" w:hAnsi="Times New Roman"/>
          <w:b/>
          <w:bCs/>
          <w:sz w:val="24"/>
          <w:szCs w:val="24"/>
        </w:rPr>
        <w:t xml:space="preserve">Copyright © 2026 Yuri Dmitrochenko. All rights reserved.</w:t>
      </w:r>
    </w:p>
    <w:p>
      <w:pPr>
        <w:spacing w:after="220" w:before="400" w:line="300"/>
        <w:jc w:val="both"/>
      </w:pPr>
      <w:r>
        <w:rPr>
          <w:rFonts w:ascii="Times New Roman" w:cs="Times New Roman" w:eastAsia="Times New Roman" w:hAnsi="Times New Roman"/>
          <w:b/>
          <w:bCs/>
          <w:sz w:val="22"/>
          <w:szCs w:val="22"/>
        </w:rPr>
        <w:t xml:space="preserve">Disclaimer.</w:t>
      </w:r>
      <w:r>
        <w:rPr>
          <w:rFonts w:ascii="Times New Roman" w:cs="Times New Roman" w:eastAsia="Times New Roman" w:hAnsi="Times New Roman"/>
          <w:sz w:val="22"/>
          <w:szCs w:val="22"/>
        </w:rPr>
        <w:t xml:space="preserve"> This book is a theoretical, hypothesis-generating work of scientific synthesis. It presents an original conceptual framework intended to stimulate discussion, critical review, and further research. It is not a clinical guideline, a treatment protocol, or medical advice, and it is not a substitute for consultation with a qualified physician or other healthcare professional. Nothing in this book, including the chapters addressing oncological therapy, should be used to make or change decisions about diagnosis or treatment. The framework hypotheses presented throughout are explicitly labeled as such and should be read accordingly — as candidate explanations awaiting testing, not as established clinical fact.</w:t>
      </w:r>
    </w:p>
    <w:p>
      <w:r>
        <w:br w:type="page"/>
      </w:r>
    </w:p>
    <w:p>
      <w:pPr>
        <w:pStyle w:val="Heading1"/>
        <w:spacing w:after="220" w:before="300"/>
      </w:pPr>
      <w:r>
        <w:rPr>
          <w:rFonts w:ascii="Times New Roman" w:cs="Times New Roman" w:eastAsia="Times New Roman" w:hAnsi="Times New Roman"/>
          <w:b/>
          <w:bCs/>
          <w:i w:val="false"/>
          <w:iCs w:val="false"/>
          <w:sz w:val="27"/>
          <w:szCs w:val="27"/>
        </w:rPr>
        <w:t xml:space="preserve">Introduction</w:t>
      </w:r>
    </w:p>
    <w:p>
      <w:pPr>
        <w:spacing w:after="200" w:line="300"/>
        <w:jc w:val="both"/>
      </w:pPr>
      <w:r>
        <w:rPr>
          <w:rFonts w:ascii="Times New Roman" w:cs="Times New Roman" w:eastAsia="Times New Roman" w:hAnsi="Times New Roman"/>
          <w:b w:val="false"/>
          <w:bCs w:val="false"/>
          <w:i w:val="false"/>
          <w:iCs w:val="false"/>
          <w:sz w:val="24"/>
          <w:szCs w:val="24"/>
        </w:rPr>
        <w:t xml:space="preserve">Framework 1.0 through 1.4 established, across five volumes, a cumulative theoretical architecture for cell biology, oncology, and aging: the cell as a self-renewing active hydrogel system and the Regeneration Pendulum (1.0); the Basal Glycolytic Regime/OXPHOS dual-flux architecture and the three-state classification of cells as Active, Dormant, and Differentiated, applied to aging and cancer (1.1); reserve capture as the organizing principle of oncogenesis — “who owns the reserve?” (1.2); the IGF1R–mTOR–NR2F1 receptor axis, the cell-state transition matrix, and its semi-Markov stochastic formalization (1.3); and the antigenic architecture of the cellular clone, from immunoediting to pregnancy tolerance to immunotherapy failure (1.4).</w:t>
      </w:r>
    </w:p>
    <w:p>
      <w:pPr>
        <w:spacing w:after="200" w:line="300"/>
        <w:jc w:val="both"/>
      </w:pPr>
      <w:r>
        <w:rPr>
          <w:rFonts w:ascii="Times New Roman" w:cs="Times New Roman" w:eastAsia="Times New Roman" w:hAnsi="Times New Roman"/>
          <w:b w:val="false"/>
          <w:bCs w:val="false"/>
          <w:i w:val="false"/>
          <w:iCs w:val="false"/>
          <w:sz w:val="24"/>
          <w:szCs w:val="24"/>
        </w:rPr>
        <w:t xml:space="preserve">Framework 2.0 begins from the same three-state architecture, adding a third defining dimension — relationship to the extracellular matrix — alongside the energetic and immune dimensions already established. Over the course of the ten chapters collected here, this starting picture is progressively tested against direct experimental data and found to be incomplete in a specific way: what first appears as three separate cellular states, protected by three separate locks, resolves instead into a small number of shared executive nodes — p27, the NAD⁺/NADH–acetyl-CoA linkage — onto which multiple independent inputs converge. The same underlying logic of reserve capture first named informally in Framework 1.2 reappears, in this volume, as a specific, testable mechanism operating fractally across scales, from a single niche to the whole organism.</w:t>
      </w:r>
    </w:p>
    <w:p>
      <w:pPr>
        <w:spacing w:after="200" w:line="300"/>
        <w:jc w:val="both"/>
      </w:pPr>
      <w:r>
        <w:rPr>
          <w:rFonts w:ascii="Times New Roman" w:cs="Times New Roman" w:eastAsia="Times New Roman" w:hAnsi="Times New Roman"/>
          <w:b w:val="false"/>
          <w:bCs w:val="false"/>
          <w:i w:val="false"/>
          <w:iCs w:val="false"/>
          <w:sz w:val="24"/>
          <w:szCs w:val="24"/>
        </w:rPr>
        <w:t xml:space="preserve">The volume is organized in two halves. Chapters 1–5 establish the architecture of the organism itself: the three-dimensional definition of cellular state, dormancy as a transit state rather than a fixed cell type, senescence as branch closure within a differentiation tree, a formal stochastic model of the balance among states, and the collapse of three dormancy “locks” into one shared-node network. Chapters 6–9 turn to malignancy as the specific way this architecture is defeated or co-opted: debris as a physical channel of immune evasion, the mechanisms by which surgery and combined therapy fail to eliminate all residual clones, a full catalog of factors governing clonal dormancy and prospects for managing it, and a direct structural comparison between the growth programs of normal and oncogenic clones. Chapter 10 closes the volume by separating the small number of genuinely novel contributions from the established literature they build on, and proposing three experiments capable of testing the core of the whole monograph at once.</w:t>
      </w:r>
    </w:p>
    <w:p>
      <w:r>
        <w:br w:type="page"/>
      </w:r>
    </w:p>
    <w:p>
      <w:pPr>
        <w:pStyle w:val="Heading1"/>
        <w:spacing w:after="220" w:before="300"/>
      </w:pPr>
      <w:r>
        <w:rPr>
          <w:rFonts w:ascii="Times New Roman" w:cs="Times New Roman" w:eastAsia="Times New Roman" w:hAnsi="Times New Roman"/>
          <w:b/>
          <w:bCs/>
          <w:i w:val="false"/>
          <w:iCs w:val="false"/>
          <w:sz w:val="27"/>
          <w:szCs w:val="27"/>
        </w:rPr>
        <w:t xml:space="preserve">Table of Contents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706"/>
      </w:tblGrid>
      <w:tr>
        <w:trPr>
          <w:tblHeader/>
        </w:trPr>
        <w:tc>
          <w:tcPr>
            <w:tcW w:type="dxa" w:w="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No.</w:t>
            </w:r>
          </w:p>
        </w:tc>
        <w:tc>
          <w:tcPr>
            <w:tcW w:type="dxa" w:w="6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Title</w:t>
            </w:r>
          </w:p>
        </w:tc>
        <w:tc>
          <w:tcPr>
            <w:tcW w:type="dxa" w:w="27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Core topic</w:t>
            </w:r>
          </w:p>
        </w:tc>
      </w:tr>
      <w:tr>
        <w:tc>
          <w:tcPr>
            <w:tcW w:type="dxa" w:w="8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1</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The Organism as a Self-Sustaining System: Three Cellular States, ECM Remodeling, and the Oxygen Ratchet</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Third (ECM) dimension of the three-state architecture; causal role of oxidative metabolism in irreversibility of differentiation</w:t>
            </w:r>
          </w:p>
        </w:tc>
      </w:tr>
      <w:tr>
        <w:tc>
          <w:tcPr>
            <w:tcW w:type="dxa" w:w="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2</w:t>
            </w:r>
          </w:p>
        </w:tc>
        <w:tc>
          <w:tcPr>
            <w:tcW w:type="dxa" w:w="6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Dormancy as a Transit State: Reconsidering the Concept of the “Stem Cell”</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Paligenosis; direct/lateral lineage; two functional subtypes of Dormant; immune safety of the transition</w:t>
            </w:r>
          </w:p>
        </w:tc>
      </w:tr>
      <w:tr>
        <w:tc>
          <w:tcPr>
            <w:tcW w:type="dxa" w:w="8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3</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The Senescent Cell: Closing Branches of the Differentiation Tree, Genomic Desynchronization, and a Source of Oncofetal Reprogramming</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Function before mechanism; physiological vs. pathological branch closure; mitonuclear desynchronization; T-cell immunosenescence</w:t>
            </w:r>
          </w:p>
        </w:tc>
      </w:tr>
      <w:tr>
        <w:tc>
          <w:tcPr>
            <w:tcW w:type="dxa" w:w="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4</w:t>
            </w:r>
          </w:p>
        </w:tc>
        <w:tc>
          <w:tcPr>
            <w:tcW w:type="dxa" w:w="6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A Model of the Balance of Three Cellular States: General and Local Imbalance, Markov and Non-Markov Processes, and Energetic Input</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Semi-Markov formalization; local vs. systemic imbalance; energy as an axis orthogonal to BGR/OXPHOS</w:t>
            </w:r>
          </w:p>
        </w:tc>
      </w:tr>
      <w:tr>
        <w:tc>
          <w:tcPr>
            <w:tcW w:type="dxa" w:w="8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5</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The Three Locks of Dormancy: From Independent Mechanisms to a Network of Shared Nodes</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Disconfirmation of three architecture variants; the shared-node network (p27, NAD⁺/NADH, acetyl-CoA); the applied, case-by-case principle</w:t>
            </w:r>
          </w:p>
        </w:tc>
      </w:tr>
      <w:tr>
        <w:tc>
          <w:tcPr>
            <w:tcW w:type="dxa" w:w="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6</w:t>
            </w:r>
          </w:p>
        </w:tc>
        <w:tc>
          <w:tcPr>
            <w:tcW w:type="dxa" w:w="6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Antigenic and Debris Littering: A Third Physical Mechanism of Immune Evasion, and the Dose-Dependent Switch from Ignorance to Exhaustion</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Debris/EVs as a third evasion mechanism; the ignorance–exhaustion axis; revival of the L&amp;C Principle (Framework 1.2)</w:t>
            </w:r>
          </w:p>
        </w:tc>
      </w:tr>
      <w:tr>
        <w:tc>
          <w:tcPr>
            <w:tcW w:type="dxa" w:w="8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7</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Why Surgery Often Fails and Combined Chemo-Immunotherapy Does Not Eliminate All Clones: Debris Littering, the Wound-Healing Trigger, and Release of the Energy Window</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Wound-healing-driven dormancy escape; loss of concomitant tumor resistance; two-axis heterogeneity of residual disease</w:t>
            </w:r>
          </w:p>
        </w:tc>
      </w:tr>
      <w:tr>
        <w:tc>
          <w:tcPr>
            <w:tcW w:type="dxa" w:w="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8</w:t>
            </w:r>
          </w:p>
        </w:tc>
        <w:tc>
          <w:tcPr>
            <w:tcW w:type="dxa" w:w="6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Factors Influencing Clonal Dormancy, and Prospects for Managing the Process</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Full factor catalog across five levels; the network view applied to therapy; controlled, anchored nonspecific activation (ISAC)</w:t>
            </w:r>
          </w:p>
        </w:tc>
      </w:tr>
      <w:tr>
        <w:tc>
          <w:tcPr>
            <w:tcW w:type="dxa" w:w="8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9</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Comparing Growth and Stability-Maintenance Programs in Normal and Oncogenic Clones</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Five feedback loops of the normal clone; the closed differentiation outflow; the non-resolving regeneration pendulum; cross-scale reserve-capture asymmetry</w:t>
            </w:r>
          </w:p>
        </w:tc>
      </w:tr>
      <w:tr>
        <w:tc>
          <w:tcPr>
            <w:tcW w:type="dxa" w:w="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bCs/>
                <w:i w:val="false"/>
                <w:iCs w:val="false"/>
                <w:sz w:val="20"/>
                <w:szCs w:val="20"/>
              </w:rPr>
              <w:t xml:space="preserve">10</w:t>
            </w:r>
          </w:p>
        </w:tc>
        <w:tc>
          <w:tcPr>
            <w:tcW w:type="dxa" w:w="6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val="false"/>
                <w:iCs w:val="false"/>
                <w:sz w:val="20"/>
                <w:szCs w:val="20"/>
              </w:rPr>
              <w:t xml:space="preserve">Final Synthesis: Six Potentially Novel Framework Points and Three Cross-Cutting Checks</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center"/>
          </w:tcPr>
          <w:p>
            <w:pPr>
              <w:spacing w:line="250"/>
            </w:pPr>
            <w:r>
              <w:rPr>
                <w:rFonts w:ascii="Times New Roman" w:cs="Times New Roman" w:eastAsia="Times New Roman" w:hAnsi="Times New Roman"/>
                <w:b w:val="false"/>
                <w:bCs w:val="false"/>
                <w:i/>
                <w:iCs/>
                <w:sz w:val="20"/>
                <w:szCs w:val="20"/>
              </w:rPr>
              <w:t xml:space="preserve">Separating genuine contribution from scaffolding; three experiments capable of testing the whole monograph's core at once</w:t>
            </w:r>
          </w:p>
        </w:tc>
      </w:tr>
    </w:tbl>
    <w:p>
      <w:r>
        <w:br w:type="page"/>
      </w:r>
    </w:p>
    <w:p>
      <w:pPr>
        <w:pStyle w:val="Heading1"/>
        <w:spacing w:after="220" w:before="300"/>
      </w:pPr>
      <w:r>
        <w:rPr>
          <w:rFonts w:ascii="Times New Roman" w:cs="Times New Roman" w:eastAsia="Times New Roman" w:hAnsi="Times New Roman"/>
          <w:b/>
          <w:bCs/>
          <w:i w:val="false"/>
          <w:iCs w:val="false"/>
          <w:sz w:val="27"/>
          <w:szCs w:val="27"/>
        </w:rPr>
        <w:t xml:space="preserve">Glossary</w:t>
      </w:r>
    </w:p>
    <w:p>
      <w:pPr>
        <w:spacing w:after="300"/>
      </w:pPr>
      <w:r>
        <w:rPr>
          <w:rFonts w:ascii="Times New Roman" w:cs="Times New Roman" w:eastAsia="Times New Roman" w:hAnsi="Times New Roman"/>
          <w:b w:val="false"/>
          <w:bCs w:val="false"/>
          <w:i/>
          <w:iCs/>
          <w:sz w:val="24"/>
          <w:szCs w:val="24"/>
        </w:rPr>
        <w:t xml:space="preserve">Terms are listed alphabetically. Chapter references indicate where a term is introduced or given its central definition in this volume; many terms carry forward and are used throughout later chapters without further citation.</w:t>
      </w:r>
    </w:p>
    <w:p>
      <w:pPr>
        <w:spacing w:after="200" w:line="288"/>
        <w:jc w:val="both"/>
      </w:pPr>
      <w:r>
        <w:rPr>
          <w:rFonts w:ascii="Times New Roman" w:cs="Times New Roman" w:eastAsia="Times New Roman" w:hAnsi="Times New Roman"/>
          <w:b/>
          <w:bCs/>
          <w:i w:val="false"/>
          <w:iCs w:val="false"/>
          <w:sz w:val="24"/>
          <w:szCs w:val="24"/>
        </w:rPr>
        <w:t xml:space="preserve">Acetyl-CoA competition </w:t>
      </w:r>
      <w:r>
        <w:rPr>
          <w:rFonts w:ascii="Times New Roman" w:cs="Times New Roman" w:eastAsia="Times New Roman" w:hAnsi="Times New Roman"/>
          <w:b w:val="false"/>
          <w:bCs w:val="false"/>
          <w:i/>
          <w:iCs/>
          <w:sz w:val="24"/>
          <w:szCs w:val="24"/>
        </w:rPr>
        <w:t xml:space="preserve">(Ch. 1). </w:t>
      </w:r>
      <w:r>
        <w:rPr>
          <w:rFonts w:ascii="Times New Roman" w:cs="Times New Roman" w:eastAsia="Times New Roman" w:hAnsi="Times New Roman"/>
          <w:b w:val="false"/>
          <w:bCs w:val="false"/>
          <w:i w:val="false"/>
          <w:iCs w:val="false"/>
          <w:sz w:val="24"/>
          <w:szCs w:val="24"/>
        </w:rPr>
        <w:t xml:space="preserve">The metabolic mechanism proposed as the causal basis of the oxygen ratchet: acetyl-CoA is required both for cytoplasmic histone acetylation (maintaining open chromatin) and for the mitochondrial tricarboxylic acid cycle; the shift to OXPHOS diverts acetyl-CoA toward the latter, competitively starving the former.</w:t>
      </w:r>
    </w:p>
    <w:p>
      <w:pPr>
        <w:spacing w:after="200" w:line="288"/>
        <w:jc w:val="both"/>
      </w:pPr>
      <w:r>
        <w:rPr>
          <w:rFonts w:ascii="Times New Roman" w:cs="Times New Roman" w:eastAsia="Times New Roman" w:hAnsi="Times New Roman"/>
          <w:b/>
          <w:bCs/>
          <w:i w:val="false"/>
          <w:iCs w:val="false"/>
          <w:sz w:val="24"/>
          <w:szCs w:val="24"/>
        </w:rPr>
        <w:t xml:space="preserve">Asymmetric feedback severing </w:t>
      </w:r>
      <w:r>
        <w:rPr>
          <w:rFonts w:ascii="Times New Roman" w:cs="Times New Roman" w:eastAsia="Times New Roman" w:hAnsi="Times New Roman"/>
          <w:b w:val="false"/>
          <w:bCs w:val="false"/>
          <w:i/>
          <w:iCs/>
          <w:sz w:val="24"/>
          <w:szCs w:val="24"/>
        </w:rPr>
        <w:t xml:space="preserve">(Ch. 9). </w:t>
      </w:r>
      <w:r>
        <w:rPr>
          <w:rFonts w:ascii="Times New Roman" w:cs="Times New Roman" w:eastAsia="Times New Roman" w:hAnsi="Times New Roman"/>
          <w:b w:val="false"/>
          <w:bCs w:val="false"/>
          <w:i w:val="false"/>
          <w:iCs w:val="false"/>
          <w:sz w:val="24"/>
          <w:szCs w:val="24"/>
        </w:rPr>
        <w:t xml:space="preserve">A recurring pattern in which a dominant clone secretes a signal that suppresses competitors while remaining itself resistant to that same signal — documented independently at the niche scale (WNT inhibitors/BMP in cell competition) and the organism scale (angiostatin in concomitant tumor resistance).</w:t>
      </w:r>
    </w:p>
    <w:p>
      <w:pPr>
        <w:spacing w:after="200" w:line="288"/>
        <w:jc w:val="both"/>
      </w:pPr>
      <w:r>
        <w:rPr>
          <w:rFonts w:ascii="Times New Roman" w:cs="Times New Roman" w:eastAsia="Times New Roman" w:hAnsi="Times New Roman"/>
          <w:b/>
          <w:bCs/>
          <w:i w:val="false"/>
          <w:iCs w:val="false"/>
          <w:sz w:val="24"/>
          <w:szCs w:val="24"/>
        </w:rPr>
        <w:t xml:space="preserve">BGR (Basal Glycolytic Regime) </w:t>
      </w:r>
      <w:r>
        <w:rPr>
          <w:rFonts w:ascii="Times New Roman" w:cs="Times New Roman" w:eastAsia="Times New Roman" w:hAnsi="Times New Roman"/>
          <w:b w:val="false"/>
          <w:bCs w:val="false"/>
          <w:i/>
          <w:iCs/>
          <w:sz w:val="24"/>
          <w:szCs w:val="24"/>
        </w:rPr>
        <w:t xml:space="preserve">(1.0–1.3; Ch. 1, 4, 5). </w:t>
      </w:r>
      <w:r>
        <w:rPr>
          <w:rFonts w:ascii="Times New Roman" w:cs="Times New Roman" w:eastAsia="Times New Roman" w:hAnsi="Times New Roman"/>
          <w:b w:val="false"/>
          <w:bCs w:val="false"/>
          <w:i w:val="false"/>
          <w:iCs w:val="false"/>
          <w:sz w:val="24"/>
          <w:szCs w:val="24"/>
        </w:rPr>
        <w:t xml:space="preserve">The glycolysis-dominant metabolic program that protects the genome of Dormant cells from oxidative damage by minimizing ROS production; contrasted throughout this volume with OXPHOS.</w:t>
      </w:r>
    </w:p>
    <w:p>
      <w:pPr>
        <w:spacing w:after="200" w:line="288"/>
        <w:jc w:val="both"/>
      </w:pPr>
      <w:r>
        <w:rPr>
          <w:rFonts w:ascii="Times New Roman" w:cs="Times New Roman" w:eastAsia="Times New Roman" w:hAnsi="Times New Roman"/>
          <w:b/>
          <w:bCs/>
          <w:i w:val="false"/>
          <w:iCs w:val="false"/>
          <w:sz w:val="24"/>
          <w:szCs w:val="24"/>
        </w:rPr>
        <w:t xml:space="preserve">Cell competition </w:t>
      </w:r>
      <w:r>
        <w:rPr>
          <w:rFonts w:ascii="Times New Roman" w:cs="Times New Roman" w:eastAsia="Times New Roman" w:hAnsi="Times New Roman"/>
          <w:b w:val="false"/>
          <w:bCs w:val="false"/>
          <w:i/>
          <w:iCs/>
          <w:sz w:val="24"/>
          <w:szCs w:val="24"/>
        </w:rPr>
        <w:t xml:space="preserve">(Ch. 9). </w:t>
      </w:r>
      <w:r>
        <w:rPr>
          <w:rFonts w:ascii="Times New Roman" w:cs="Times New Roman" w:eastAsia="Times New Roman" w:hAnsi="Times New Roman"/>
          <w:b w:val="false"/>
          <w:bCs w:val="false"/>
          <w:i w:val="false"/>
          <w:iCs w:val="false"/>
          <w:sz w:val="24"/>
          <w:szCs w:val="24"/>
        </w:rPr>
        <w:t xml:space="preserve">The non-neutral mode of niche competition in which a mutant clone actively manipulates its environment (e.g., secreting BMP ligands, reprogramming stroma to release WNT inhibitors) to disadvantage neighboring cells, as distinct from neutral drift.</w:t>
      </w:r>
    </w:p>
    <w:p>
      <w:pPr>
        <w:spacing w:after="200" w:line="288"/>
        <w:jc w:val="both"/>
      </w:pPr>
      <w:r>
        <w:rPr>
          <w:rFonts w:ascii="Times New Roman" w:cs="Times New Roman" w:eastAsia="Times New Roman" w:hAnsi="Times New Roman"/>
          <w:b/>
          <w:bCs/>
          <w:i w:val="false"/>
          <w:iCs w:val="false"/>
          <w:sz w:val="24"/>
          <w:szCs w:val="24"/>
        </w:rPr>
        <w:t xml:space="preserve">Concomitant tumor resistance </w:t>
      </w:r>
      <w:r>
        <w:rPr>
          <w:rFonts w:ascii="Times New Roman" w:cs="Times New Roman" w:eastAsia="Times New Roman" w:hAnsi="Times New Roman"/>
          <w:b w:val="false"/>
          <w:bCs w:val="false"/>
          <w:i/>
          <w:iCs/>
          <w:sz w:val="24"/>
          <w:szCs w:val="24"/>
        </w:rPr>
        <w:t xml:space="preserve">(Ch. 7). </w:t>
      </w:r>
      <w:r>
        <w:rPr>
          <w:rFonts w:ascii="Times New Roman" w:cs="Times New Roman" w:eastAsia="Times New Roman" w:hAnsi="Times New Roman"/>
          <w:b w:val="false"/>
          <w:bCs w:val="false"/>
          <w:i w:val="false"/>
          <w:iCs w:val="false"/>
          <w:sz w:val="24"/>
          <w:szCs w:val="24"/>
        </w:rPr>
        <w:t xml:space="preserve">The established phenomenon whereby a dominant primary tumor suppresses the growth of distant micrometastases via circulating anti-angiogenic factors (angiostatin, endostatin, thrombospondin-1); removal of the primary tumor releases this suppression.</w:t>
      </w:r>
    </w:p>
    <w:p>
      <w:pPr>
        <w:spacing w:after="200" w:line="288"/>
        <w:jc w:val="both"/>
      </w:pPr>
      <w:r>
        <w:rPr>
          <w:rFonts w:ascii="Times New Roman" w:cs="Times New Roman" w:eastAsia="Times New Roman" w:hAnsi="Times New Roman"/>
          <w:b/>
          <w:bCs/>
          <w:i w:val="false"/>
          <w:iCs w:val="false"/>
          <w:sz w:val="24"/>
          <w:szCs w:val="24"/>
        </w:rPr>
        <w:t xml:space="preserve">DAMP (damage-associated molecular pattern) </w:t>
      </w:r>
      <w:r>
        <w:rPr>
          <w:rFonts w:ascii="Times New Roman" w:cs="Times New Roman" w:eastAsia="Times New Roman" w:hAnsi="Times New Roman"/>
          <w:b w:val="false"/>
          <w:bCs w:val="false"/>
          <w:i/>
          <w:iCs/>
          <w:sz w:val="24"/>
          <w:szCs w:val="24"/>
        </w:rPr>
        <w:t xml:space="preserve">(Ch. 7, 9). </w:t>
      </w:r>
      <w:r>
        <w:rPr>
          <w:rFonts w:ascii="Times New Roman" w:cs="Times New Roman" w:eastAsia="Times New Roman" w:hAnsi="Times New Roman"/>
          <w:b w:val="false"/>
          <w:bCs w:val="false"/>
          <w:i w:val="false"/>
          <w:iCs w:val="false"/>
          <w:sz w:val="24"/>
          <w:szCs w:val="24"/>
        </w:rPr>
        <w:t xml:space="preserve">Molecules released by necrotic (but not apoptotic) cell death — HMGB1, extracellular ATP, heat shock proteins — that trigger inflammatory and wound-healing responses; identified in this volume as a shared trigger linking surgical trauma, senescent-cell necrosis, and non-resolving regenerative signaling.</w:t>
      </w:r>
    </w:p>
    <w:p>
      <w:pPr>
        <w:spacing w:after="200" w:line="288"/>
        <w:jc w:val="both"/>
      </w:pPr>
      <w:r>
        <w:rPr>
          <w:rFonts w:ascii="Times New Roman" w:cs="Times New Roman" w:eastAsia="Times New Roman" w:hAnsi="Times New Roman"/>
          <w:b/>
          <w:bCs/>
          <w:i w:val="false"/>
          <w:iCs w:val="false"/>
          <w:sz w:val="24"/>
          <w:szCs w:val="24"/>
        </w:rPr>
        <w:t xml:space="preserve">Debris littering </w:t>
      </w:r>
      <w:r>
        <w:rPr>
          <w:rFonts w:ascii="Times New Roman" w:cs="Times New Roman" w:eastAsia="Times New Roman" w:hAnsi="Times New Roman"/>
          <w:b w:val="false"/>
          <w:bCs w:val="false"/>
          <w:i/>
          <w:iCs/>
          <w:sz w:val="24"/>
          <w:szCs w:val="24"/>
        </w:rPr>
        <w:t xml:space="preserve">(Ch. 6, 7). </w:t>
      </w:r>
      <w:r>
        <w:rPr>
          <w:rFonts w:ascii="Times New Roman" w:cs="Times New Roman" w:eastAsia="Times New Roman" w:hAnsi="Times New Roman"/>
          <w:b w:val="false"/>
          <w:bCs w:val="false"/>
          <w:i w:val="false"/>
          <w:iCs w:val="false"/>
          <w:sz w:val="24"/>
          <w:szCs w:val="24"/>
        </w:rPr>
        <w:t xml:space="preserve">The accumulation of tumor-derived extracellular vesicles and cellular debris in the peritumoral matrix and, at sufficient tumor burden, the draining lymphatic system; proposed as a third physical mechanism of immune evasion, distinct from receptor masking and matrix stiffness.</w:t>
      </w:r>
    </w:p>
    <w:p>
      <w:pPr>
        <w:spacing w:after="200" w:line="288"/>
        <w:jc w:val="both"/>
      </w:pPr>
      <w:r>
        <w:rPr>
          <w:rFonts w:ascii="Times New Roman" w:cs="Times New Roman" w:eastAsia="Times New Roman" w:hAnsi="Times New Roman"/>
          <w:b/>
          <w:bCs/>
          <w:i w:val="false"/>
          <w:iCs w:val="false"/>
          <w:sz w:val="24"/>
          <w:szCs w:val="24"/>
        </w:rPr>
        <w:t xml:space="preserve">Differentiation tree </w:t>
      </w:r>
      <w:r>
        <w:rPr>
          <w:rFonts w:ascii="Times New Roman" w:cs="Times New Roman" w:eastAsia="Times New Roman" w:hAnsi="Times New Roman"/>
          <w:b w:val="false"/>
          <w:bCs w:val="false"/>
          <w:i/>
          <w:iCs/>
          <w:sz w:val="24"/>
          <w:szCs w:val="24"/>
        </w:rPr>
        <w:t xml:space="preserve">(Ch. 3). </w:t>
      </w:r>
      <w:r>
        <w:rPr>
          <w:rFonts w:ascii="Times New Roman" w:cs="Times New Roman" w:eastAsia="Times New Roman" w:hAnsi="Times New Roman"/>
          <w:b w:val="false"/>
          <w:bCs w:val="false"/>
          <w:i w:val="false"/>
          <w:iCs w:val="false"/>
          <w:sz w:val="24"/>
          <w:szCs w:val="24"/>
        </w:rPr>
        <w:t xml:space="preserve">The proposed replacement for a linear differentiation hierarchy: a cell at any level may move upward, downward, or laterally, with dead ends defined by blockage of the path to a stable node rather than by proliferative status.</w:t>
      </w:r>
    </w:p>
    <w:p>
      <w:pPr>
        <w:spacing w:after="200" w:line="288"/>
        <w:jc w:val="both"/>
      </w:pPr>
      <w:r>
        <w:rPr>
          <w:rFonts w:ascii="Times New Roman" w:cs="Times New Roman" w:eastAsia="Times New Roman" w:hAnsi="Times New Roman"/>
          <w:b/>
          <w:bCs/>
          <w:i w:val="false"/>
          <w:iCs w:val="false"/>
          <w:sz w:val="24"/>
          <w:szCs w:val="24"/>
        </w:rPr>
        <w:t xml:space="preserve">Direct lineage / Lateral lineage </w:t>
      </w:r>
      <w:r>
        <w:rPr>
          <w:rFonts w:ascii="Times New Roman" w:cs="Times New Roman" w:eastAsia="Times New Roman" w:hAnsi="Times New Roman"/>
          <w:b w:val="false"/>
          <w:bCs w:val="false"/>
          <w:i/>
          <w:iCs/>
          <w:sz w:val="24"/>
          <w:szCs w:val="24"/>
        </w:rPr>
        <w:t xml:space="preserve">(Ch. 2). </w:t>
      </w:r>
      <w:r>
        <w:rPr>
          <w:rFonts w:ascii="Times New Roman" w:cs="Times New Roman" w:eastAsia="Times New Roman" w:hAnsi="Times New Roman"/>
          <w:b w:val="false"/>
          <w:bCs w:val="false"/>
          <w:i w:val="false"/>
          <w:iCs w:val="false"/>
          <w:sz w:val="24"/>
          <w:szCs w:val="24"/>
        </w:rPr>
        <w:t xml:space="preserve">Two directions of exit from the Dormant transit hub: direct lineage returns a cell to its original type (e.g., gastric chief cell via SPEM); lateral lineage exits into a neighboring type within the same developmental field (e.g., hepatocyte ↔ cholangiocyte).</w:t>
      </w:r>
    </w:p>
    <w:p>
      <w:pPr>
        <w:spacing w:after="200" w:line="288"/>
        <w:jc w:val="both"/>
      </w:pPr>
      <w:r>
        <w:rPr>
          <w:rFonts w:ascii="Times New Roman" w:cs="Times New Roman" w:eastAsia="Times New Roman" w:hAnsi="Times New Roman"/>
          <w:b/>
          <w:bCs/>
          <w:i w:val="false"/>
          <w:iCs w:val="false"/>
          <w:sz w:val="24"/>
          <w:szCs w:val="24"/>
        </w:rPr>
        <w:t xml:space="preserve">Energy Window </w:t>
      </w:r>
      <w:r>
        <w:rPr>
          <w:rFonts w:ascii="Times New Roman" w:cs="Times New Roman" w:eastAsia="Times New Roman" w:hAnsi="Times New Roman"/>
          <w:b w:val="false"/>
          <w:bCs w:val="false"/>
          <w:i/>
          <w:iCs/>
          <w:sz w:val="24"/>
          <w:szCs w:val="24"/>
        </w:rPr>
        <w:t xml:space="preserve">(1.0; Ch. 4, 7). </w:t>
      </w:r>
      <w:r>
        <w:rPr>
          <w:rFonts w:ascii="Times New Roman" w:cs="Times New Roman" w:eastAsia="Times New Roman" w:hAnsi="Times New Roman"/>
          <w:b w:val="false"/>
          <w:bCs w:val="false"/>
          <w:i w:val="false"/>
          <w:iCs w:val="false"/>
          <w:sz w:val="24"/>
          <w:szCs w:val="24"/>
        </w:rPr>
        <w:t xml:space="preserve">The bounded local or systemic allocation of energetic/growth resources available to a cell or clone; introduced in Framework 1.0 and shown in this volume to be monopolized by a dominant tumor and released upon its removal.</w:t>
      </w:r>
    </w:p>
    <w:p>
      <w:pPr>
        <w:spacing w:after="200" w:line="288"/>
        <w:jc w:val="both"/>
      </w:pPr>
      <w:r>
        <w:rPr>
          <w:rFonts w:ascii="Times New Roman" w:cs="Times New Roman" w:eastAsia="Times New Roman" w:hAnsi="Times New Roman"/>
          <w:b/>
          <w:bCs/>
          <w:i w:val="false"/>
          <w:iCs w:val="false"/>
          <w:sz w:val="24"/>
          <w:szCs w:val="24"/>
        </w:rPr>
        <w:t xml:space="preserve">Geroconversion </w:t>
      </w:r>
      <w:r>
        <w:rPr>
          <w:rFonts w:ascii="Times New Roman" w:cs="Times New Roman" w:eastAsia="Times New Roman" w:hAnsi="Times New Roman"/>
          <w:b w:val="false"/>
          <w:bCs w:val="false"/>
          <w:i/>
          <w:iCs/>
          <w:sz w:val="24"/>
          <w:szCs w:val="24"/>
        </w:rPr>
        <w:t xml:space="preserve">(Ch. 3, 4). </w:t>
      </w:r>
      <w:r>
        <w:rPr>
          <w:rFonts w:ascii="Times New Roman" w:cs="Times New Roman" w:eastAsia="Times New Roman" w:hAnsi="Times New Roman"/>
          <w:b w:val="false"/>
          <w:bCs w:val="false"/>
          <w:i w:val="false"/>
          <w:iCs w:val="false"/>
          <w:sz w:val="24"/>
          <w:szCs w:val="24"/>
        </w:rPr>
        <w:t xml:space="preserve">The conversion of a temporary cell-cycle arrest into permanent senescence when growth signaling (mTOR/MEK-MAPK) continues beneath the arrest rather than being suppressed alongside it.</w:t>
      </w:r>
    </w:p>
    <w:p>
      <w:pPr>
        <w:spacing w:after="200" w:line="288"/>
        <w:jc w:val="both"/>
      </w:pPr>
      <w:r>
        <w:rPr>
          <w:rFonts w:ascii="Times New Roman" w:cs="Times New Roman" w:eastAsia="Times New Roman" w:hAnsi="Times New Roman"/>
          <w:b/>
          <w:bCs/>
          <w:i w:val="false"/>
          <w:iCs w:val="false"/>
          <w:sz w:val="24"/>
          <w:szCs w:val="24"/>
        </w:rPr>
        <w:t xml:space="preserve">Ignorance–exhaustion axis </w:t>
      </w:r>
      <w:r>
        <w:rPr>
          <w:rFonts w:ascii="Times New Roman" w:cs="Times New Roman" w:eastAsia="Times New Roman" w:hAnsi="Times New Roman"/>
          <w:b w:val="false"/>
          <w:bCs w:val="false"/>
          <w:i/>
          <w:iCs/>
          <w:sz w:val="24"/>
          <w:szCs w:val="24"/>
        </w:rPr>
        <w:t xml:space="preserve">(Ch. 2, 6). </w:t>
      </w:r>
      <w:r>
        <w:rPr>
          <w:rFonts w:ascii="Times New Roman" w:cs="Times New Roman" w:eastAsia="Times New Roman" w:hAnsi="Times New Roman"/>
          <w:b w:val="false"/>
          <w:bCs w:val="false"/>
          <w:i w:val="false"/>
          <w:iCs w:val="false"/>
          <w:sz w:val="24"/>
          <w:szCs w:val="24"/>
        </w:rPr>
        <w:t xml:space="preserve">The two-humped relationship between antigen dose and T-cell failure mode: insufficient dose produces immunological ignorance (no engagement); sustained excessive dose produces exhaustion (engagement followed by epigenetically locked-in dysfunction).</w:t>
      </w:r>
    </w:p>
    <w:p>
      <w:pPr>
        <w:spacing w:after="200" w:line="288"/>
        <w:jc w:val="both"/>
      </w:pPr>
      <w:r>
        <w:rPr>
          <w:rFonts w:ascii="Times New Roman" w:cs="Times New Roman" w:eastAsia="Times New Roman" w:hAnsi="Times New Roman"/>
          <w:b/>
          <w:bCs/>
          <w:i w:val="false"/>
          <w:iCs w:val="false"/>
          <w:sz w:val="24"/>
          <w:szCs w:val="24"/>
        </w:rPr>
        <w:t xml:space="preserve">Immunological ignorance </w:t>
      </w:r>
      <w:r>
        <w:rPr>
          <w:rFonts w:ascii="Times New Roman" w:cs="Times New Roman" w:eastAsia="Times New Roman" w:hAnsi="Times New Roman"/>
          <w:b w:val="false"/>
          <w:bCs w:val="false"/>
          <w:i/>
          <w:iCs/>
          <w:sz w:val="24"/>
          <w:szCs w:val="24"/>
        </w:rPr>
        <w:t xml:space="preserve">(Ch. 2, 6). </w:t>
      </w:r>
      <w:r>
        <w:rPr>
          <w:rFonts w:ascii="Times New Roman" w:cs="Times New Roman" w:eastAsia="Times New Roman" w:hAnsi="Times New Roman"/>
          <w:b w:val="false"/>
          <w:bCs w:val="false"/>
          <w:i w:val="false"/>
          <w:iCs w:val="false"/>
          <w:sz w:val="24"/>
          <w:szCs w:val="24"/>
        </w:rPr>
        <w:t xml:space="preserve">A quantitative, threshold-based immune evasion mechanism in which a small number of antigen-bearing cells fails to reach the draining lymph nodes in sufficient quantity to trigger either tolerance or rejection.</w:t>
      </w:r>
    </w:p>
    <w:p>
      <w:pPr>
        <w:spacing w:after="200" w:line="288"/>
        <w:jc w:val="both"/>
      </w:pPr>
      <w:r>
        <w:rPr>
          <w:rFonts w:ascii="Times New Roman" w:cs="Times New Roman" w:eastAsia="Times New Roman" w:hAnsi="Times New Roman"/>
          <w:b/>
          <w:bCs/>
          <w:i w:val="false"/>
          <w:iCs w:val="false"/>
          <w:sz w:val="24"/>
          <w:szCs w:val="24"/>
        </w:rPr>
        <w:t xml:space="preserve">ISAC (immune-stimulating antibody conjugate) </w:t>
      </w:r>
      <w:r>
        <w:rPr>
          <w:rFonts w:ascii="Times New Roman" w:cs="Times New Roman" w:eastAsia="Times New Roman" w:hAnsi="Times New Roman"/>
          <w:b w:val="false"/>
          <w:bCs w:val="false"/>
          <w:i/>
          <w:iCs/>
          <w:sz w:val="24"/>
          <w:szCs w:val="24"/>
        </w:rPr>
        <w:t xml:space="preserve">(Ch. 8). </w:t>
      </w:r>
      <w:r>
        <w:rPr>
          <w:rFonts w:ascii="Times New Roman" w:cs="Times New Roman" w:eastAsia="Times New Roman" w:hAnsi="Times New Roman"/>
          <w:b w:val="false"/>
          <w:bCs w:val="false"/>
          <w:i w:val="false"/>
          <w:iCs w:val="false"/>
          <w:sz w:val="24"/>
          <w:szCs w:val="24"/>
        </w:rPr>
        <w:t xml:space="preserve">A molecule combining a nonspecific innate immune agonist (e.g., a TLR agonist) with a tumor-targeting monoclonal antibody, spatially anchoring an otherwise diffuse activating signal to the tumor site.</w:t>
      </w:r>
    </w:p>
    <w:p>
      <w:pPr>
        <w:spacing w:after="200" w:line="288"/>
        <w:jc w:val="both"/>
      </w:pPr>
      <w:r>
        <w:rPr>
          <w:rFonts w:ascii="Times New Roman" w:cs="Times New Roman" w:eastAsia="Times New Roman" w:hAnsi="Times New Roman"/>
          <w:b/>
          <w:bCs/>
          <w:i w:val="false"/>
          <w:iCs w:val="false"/>
          <w:sz w:val="24"/>
          <w:szCs w:val="24"/>
        </w:rPr>
        <w:t xml:space="preserve">L&amp;C Principle </w:t>
      </w:r>
      <w:r>
        <w:rPr>
          <w:rFonts w:ascii="Times New Roman" w:cs="Times New Roman" w:eastAsia="Times New Roman" w:hAnsi="Times New Roman"/>
          <w:b w:val="false"/>
          <w:bCs w:val="false"/>
          <w:i/>
          <w:iCs/>
          <w:sz w:val="24"/>
          <w:szCs w:val="24"/>
        </w:rPr>
        <w:t xml:space="preserve">(1.2; Ch. 6). </w:t>
      </w:r>
      <w:r>
        <w:rPr>
          <w:rFonts w:ascii="Times New Roman" w:cs="Times New Roman" w:eastAsia="Times New Roman" w:hAnsi="Times New Roman"/>
          <w:b w:val="false"/>
          <w:bCs w:val="false"/>
          <w:i w:val="false"/>
          <w:iCs w:val="false"/>
          <w:sz w:val="24"/>
          <w:szCs w:val="24"/>
        </w:rPr>
        <w:t xml:space="preserve">An early, informally stated principle from Framework 1.2 concerning accumulation and scattering of debris by a clone; given specific mechanistic and immunological content in this volume via debris littering.</w:t>
      </w:r>
    </w:p>
    <w:p>
      <w:pPr>
        <w:spacing w:after="200" w:line="288"/>
        <w:jc w:val="both"/>
      </w:pPr>
      <w:r>
        <w:rPr>
          <w:rFonts w:ascii="Times New Roman" w:cs="Times New Roman" w:eastAsia="Times New Roman" w:hAnsi="Times New Roman"/>
          <w:b/>
          <w:bCs/>
          <w:i w:val="false"/>
          <w:iCs w:val="false"/>
          <w:sz w:val="24"/>
          <w:szCs w:val="24"/>
        </w:rPr>
        <w:t xml:space="preserve">Mitonuclear desynchronization </w:t>
      </w:r>
      <w:r>
        <w:rPr>
          <w:rFonts w:ascii="Times New Roman" w:cs="Times New Roman" w:eastAsia="Times New Roman" w:hAnsi="Times New Roman"/>
          <w:b w:val="false"/>
          <w:bCs w:val="false"/>
          <w:i/>
          <w:iCs/>
          <w:sz w:val="24"/>
          <w:szCs w:val="24"/>
        </w:rPr>
        <w:t xml:space="preserve">(Ch. 3, 4, 9). </w:t>
      </w:r>
      <w:r>
        <w:rPr>
          <w:rFonts w:ascii="Times New Roman" w:cs="Times New Roman" w:eastAsia="Times New Roman" w:hAnsi="Times New Roman"/>
          <w:b w:val="false"/>
          <w:bCs w:val="false"/>
          <w:i w:val="false"/>
          <w:iCs w:val="false"/>
          <w:sz w:val="24"/>
          <w:szCs w:val="24"/>
        </w:rPr>
        <w:t xml:space="preserve">A stoichiometric imbalance between nuclear- and mitochondrially-encoded electron transport chain subunits, proposed as a candidate mechanism locking a temporary arrest into permanent senescence.</w:t>
      </w:r>
    </w:p>
    <w:p>
      <w:pPr>
        <w:spacing w:after="200" w:line="288"/>
        <w:jc w:val="both"/>
      </w:pPr>
      <w:r>
        <w:rPr>
          <w:rFonts w:ascii="Times New Roman" w:cs="Times New Roman" w:eastAsia="Times New Roman" w:hAnsi="Times New Roman"/>
          <w:b/>
          <w:bCs/>
          <w:i w:val="false"/>
          <w:iCs w:val="false"/>
          <w:sz w:val="24"/>
          <w:szCs w:val="24"/>
        </w:rPr>
        <w:t xml:space="preserve">Node-level lever </w:t>
      </w:r>
      <w:r>
        <w:rPr>
          <w:rFonts w:ascii="Times New Roman" w:cs="Times New Roman" w:eastAsia="Times New Roman" w:hAnsi="Times New Roman"/>
          <w:b w:val="false"/>
          <w:bCs w:val="false"/>
          <w:i/>
          <w:iCs/>
          <w:sz w:val="24"/>
          <w:szCs w:val="24"/>
        </w:rPr>
        <w:t xml:space="preserve">(Ch. 8). </w:t>
      </w:r>
      <w:r>
        <w:rPr>
          <w:rFonts w:ascii="Times New Roman" w:cs="Times New Roman" w:eastAsia="Times New Roman" w:hAnsi="Times New Roman"/>
          <w:b w:val="false"/>
          <w:bCs w:val="false"/>
          <w:i w:val="false"/>
          <w:iCs w:val="false"/>
          <w:sz w:val="24"/>
          <w:szCs w:val="24"/>
        </w:rPr>
        <w:t xml:space="preserve">A therapeutic or physiological intervention point defined not by which "lock" it nominally belongs to, but by which shared node (e.g., p27, NAD⁺/NADH) it acts on — the organizing unit of the applied, case-by-case framework.</w:t>
      </w:r>
    </w:p>
    <w:p>
      <w:pPr>
        <w:spacing w:after="200" w:line="288"/>
        <w:jc w:val="both"/>
      </w:pPr>
      <w:r>
        <w:rPr>
          <w:rFonts w:ascii="Times New Roman" w:cs="Times New Roman" w:eastAsia="Times New Roman" w:hAnsi="Times New Roman"/>
          <w:b/>
          <w:bCs/>
          <w:i w:val="false"/>
          <w:iCs w:val="false"/>
          <w:sz w:val="24"/>
          <w:szCs w:val="24"/>
        </w:rPr>
        <w:t xml:space="preserve">Non-resolving regeneration pendulum </w:t>
      </w:r>
      <w:r>
        <w:rPr>
          <w:rFonts w:ascii="Times New Roman" w:cs="Times New Roman" w:eastAsia="Times New Roman" w:hAnsi="Times New Roman"/>
          <w:b w:val="false"/>
          <w:bCs w:val="false"/>
          <w:i/>
          <w:iCs/>
          <w:sz w:val="24"/>
          <w:szCs w:val="24"/>
        </w:rPr>
        <w:t xml:space="preserve">(Ch. 9). </w:t>
      </w:r>
      <w:r>
        <w:rPr>
          <w:rFonts w:ascii="Times New Roman" w:cs="Times New Roman" w:eastAsia="Times New Roman" w:hAnsi="Times New Roman"/>
          <w:b w:val="false"/>
          <w:bCs w:val="false"/>
          <w:i w:val="false"/>
          <w:iCs w:val="false"/>
          <w:sz w:val="24"/>
          <w:szCs w:val="24"/>
        </w:rPr>
        <w:t xml:space="preserve">The proposed chronic activation of the regenerative/wound-healing response in oncogenic clones, sustained by continuous cell death (undifferentiated cells via Phoenix Rising; senescent cells via necrosis) rather than resolving as in normal tissue — the molecular counterpart to Dvorak's "wounds that do not heal."</w:t>
      </w:r>
    </w:p>
    <w:p>
      <w:pPr>
        <w:spacing w:after="200" w:line="288"/>
        <w:jc w:val="both"/>
      </w:pPr>
      <w:r>
        <w:rPr>
          <w:rFonts w:ascii="Times New Roman" w:cs="Times New Roman" w:eastAsia="Times New Roman" w:hAnsi="Times New Roman"/>
          <w:b/>
          <w:bCs/>
          <w:i w:val="false"/>
          <w:iCs w:val="false"/>
          <w:sz w:val="24"/>
          <w:szCs w:val="24"/>
        </w:rPr>
        <w:t xml:space="preserve">Oncofetal reprogramming </w:t>
      </w:r>
      <w:r>
        <w:rPr>
          <w:rFonts w:ascii="Times New Roman" w:cs="Times New Roman" w:eastAsia="Times New Roman" w:hAnsi="Times New Roman"/>
          <w:b w:val="false"/>
          <w:bCs w:val="false"/>
          <w:i/>
          <w:iCs/>
          <w:sz w:val="24"/>
          <w:szCs w:val="24"/>
        </w:rPr>
        <w:t xml:space="preserve">(Ch. 3). </w:t>
      </w:r>
      <w:r>
        <w:rPr>
          <w:rFonts w:ascii="Times New Roman" w:cs="Times New Roman" w:eastAsia="Times New Roman" w:hAnsi="Times New Roman"/>
          <w:b w:val="false"/>
          <w:bCs w:val="false"/>
          <w:i w:val="false"/>
          <w:iCs w:val="false"/>
          <w:sz w:val="24"/>
          <w:szCs w:val="24"/>
        </w:rPr>
        <w:t xml:space="preserve">Reactivation of gene programs normally expressed only during embryogenesis and thereafter permanently silenced (e.g., LIN28B, Wnt/β-catenin, Notch, Hedgehog); distinguished from, but related to, cancer stem cell identity.</w:t>
      </w:r>
    </w:p>
    <w:p>
      <w:pPr>
        <w:spacing w:after="200" w:line="288"/>
        <w:jc w:val="both"/>
      </w:pPr>
      <w:r>
        <w:rPr>
          <w:rFonts w:ascii="Times New Roman" w:cs="Times New Roman" w:eastAsia="Times New Roman" w:hAnsi="Times New Roman"/>
          <w:b/>
          <w:bCs/>
          <w:i w:val="false"/>
          <w:iCs w:val="false"/>
          <w:sz w:val="24"/>
          <w:szCs w:val="24"/>
        </w:rPr>
        <w:t xml:space="preserve">Oxygen ratchet </w:t>
      </w:r>
      <w:r>
        <w:rPr>
          <w:rFonts w:ascii="Times New Roman" w:cs="Times New Roman" w:eastAsia="Times New Roman" w:hAnsi="Times New Roman"/>
          <w:b w:val="false"/>
          <w:bCs w:val="false"/>
          <w:i/>
          <w:iCs/>
          <w:sz w:val="24"/>
          <w:szCs w:val="24"/>
        </w:rPr>
        <w:t xml:space="preserve">(Ch. 1, 2, 4). </w:t>
      </w:r>
      <w:r>
        <w:rPr>
          <w:rFonts w:ascii="Times New Roman" w:cs="Times New Roman" w:eastAsia="Times New Roman" w:hAnsi="Times New Roman"/>
          <w:b w:val="false"/>
          <w:bCs w:val="false"/>
          <w:i w:val="false"/>
          <w:iCs w:val="false"/>
          <w:sz w:val="24"/>
          <w:szCs w:val="24"/>
        </w:rPr>
        <w:t xml:space="preserve">The proposed causal mechanism by which the shift to OXPHOS upon differentiation locks the epigenetic state via acetyl-CoA competition, making differentiation normally irreversible except through the energetically costly workaround of paligenosis.</w:t>
      </w:r>
    </w:p>
    <w:p>
      <w:pPr>
        <w:spacing w:after="200" w:line="288"/>
        <w:jc w:val="both"/>
      </w:pPr>
      <w:r>
        <w:rPr>
          <w:rFonts w:ascii="Times New Roman" w:cs="Times New Roman" w:eastAsia="Times New Roman" w:hAnsi="Times New Roman"/>
          <w:b/>
          <w:bCs/>
          <w:i w:val="false"/>
          <w:iCs w:val="false"/>
          <w:sz w:val="24"/>
          <w:szCs w:val="24"/>
        </w:rPr>
        <w:t xml:space="preserve">Paligenosis </w:t>
      </w:r>
      <w:r>
        <w:rPr>
          <w:rFonts w:ascii="Times New Roman" w:cs="Times New Roman" w:eastAsia="Times New Roman" w:hAnsi="Times New Roman"/>
          <w:b w:val="false"/>
          <w:bCs w:val="false"/>
          <w:i/>
          <w:iCs/>
          <w:sz w:val="24"/>
          <w:szCs w:val="24"/>
        </w:rPr>
        <w:t xml:space="preserve">(Ch. 2). </w:t>
      </w:r>
      <w:r>
        <w:rPr>
          <w:rFonts w:ascii="Times New Roman" w:cs="Times New Roman" w:eastAsia="Times New Roman" w:hAnsi="Times New Roman"/>
          <w:b w:val="false"/>
          <w:bCs w:val="false"/>
          <w:i w:val="false"/>
          <w:iCs w:val="false"/>
          <w:sz w:val="24"/>
          <w:szCs w:val="24"/>
        </w:rPr>
        <w:t xml:space="preserve">A documented three-stage program (autophagy/autodegradation, progenitor gene induction, mTORC1-dependent cell-cycle re-entry) by which differentiated cells revert to a proliferative, progenitor-like state upon tissue-level injury.</w:t>
      </w:r>
    </w:p>
    <w:p>
      <w:pPr>
        <w:spacing w:after="200" w:line="288"/>
        <w:jc w:val="both"/>
      </w:pPr>
      <w:r>
        <w:rPr>
          <w:rFonts w:ascii="Times New Roman" w:cs="Times New Roman" w:eastAsia="Times New Roman" w:hAnsi="Times New Roman"/>
          <w:b/>
          <w:bCs/>
          <w:i w:val="false"/>
          <w:iCs w:val="false"/>
          <w:sz w:val="24"/>
          <w:szCs w:val="24"/>
        </w:rPr>
        <w:t xml:space="preserve">Phoenix Rising </w:t>
      </w:r>
      <w:r>
        <w:rPr>
          <w:rFonts w:ascii="Times New Roman" w:cs="Times New Roman" w:eastAsia="Times New Roman" w:hAnsi="Times New Roman"/>
          <w:b w:val="false"/>
          <w:bCs w:val="false"/>
          <w:i/>
          <w:iCs/>
          <w:sz w:val="24"/>
          <w:szCs w:val="24"/>
        </w:rPr>
        <w:t xml:space="preserve">(1.4; Ch. 7, 9). </w:t>
      </w:r>
      <w:r>
        <w:rPr>
          <w:rFonts w:ascii="Times New Roman" w:cs="Times New Roman" w:eastAsia="Times New Roman" w:hAnsi="Times New Roman"/>
          <w:b w:val="false"/>
          <w:bCs w:val="false"/>
          <w:i w:val="false"/>
          <w:iCs w:val="false"/>
          <w:sz w:val="24"/>
          <w:szCs w:val="24"/>
        </w:rPr>
        <w:t xml:space="preserve">The pathway by which dying cells stimulate proliferation of survivors via caspase-3→PGE2 signaling and post-irradiation angiogenesis via VEGF-A; extended in this volume to surgical wounding at a distance and to the death of undifferentiated cells within an oncogenic clone.</w:t>
      </w:r>
    </w:p>
    <w:p>
      <w:pPr>
        <w:spacing w:after="200" w:line="288"/>
        <w:jc w:val="both"/>
      </w:pPr>
      <w:r>
        <w:rPr>
          <w:rFonts w:ascii="Times New Roman" w:cs="Times New Roman" w:eastAsia="Times New Roman" w:hAnsi="Times New Roman"/>
          <w:b/>
          <w:bCs/>
          <w:i w:val="false"/>
          <w:iCs w:val="false"/>
          <w:sz w:val="24"/>
          <w:szCs w:val="24"/>
        </w:rPr>
        <w:t xml:space="preserve">Physiological closure / Pathological dead end </w:t>
      </w:r>
      <w:r>
        <w:rPr>
          <w:rFonts w:ascii="Times New Roman" w:cs="Times New Roman" w:eastAsia="Times New Roman" w:hAnsi="Times New Roman"/>
          <w:b w:val="false"/>
          <w:bCs w:val="false"/>
          <w:i/>
          <w:iCs/>
          <w:sz w:val="24"/>
          <w:szCs w:val="24"/>
        </w:rPr>
        <w:t xml:space="preserve">(Ch. 3). </w:t>
      </w:r>
      <w:r>
        <w:rPr>
          <w:rFonts w:ascii="Times New Roman" w:cs="Times New Roman" w:eastAsia="Times New Roman" w:hAnsi="Times New Roman"/>
          <w:b w:val="false"/>
          <w:bCs w:val="false"/>
          <w:i w:val="false"/>
          <w:iCs w:val="false"/>
          <w:sz w:val="24"/>
          <w:szCs w:val="24"/>
        </w:rPr>
        <w:t xml:space="preserve">Two structurally distinct types of blocked branch in the differentiation tree: physiological closure follows successful completion of a temporary (typically lateral) function; a pathological dead end blocks a path before any function is completed.</w:t>
      </w:r>
    </w:p>
    <w:p>
      <w:pPr>
        <w:spacing w:after="200" w:line="288"/>
        <w:jc w:val="both"/>
      </w:pPr>
      <w:r>
        <w:rPr>
          <w:rFonts w:ascii="Times New Roman" w:cs="Times New Roman" w:eastAsia="Times New Roman" w:hAnsi="Times New Roman"/>
          <w:b/>
          <w:bCs/>
          <w:i w:val="false"/>
          <w:iCs w:val="false"/>
          <w:sz w:val="24"/>
          <w:szCs w:val="24"/>
        </w:rPr>
        <w:t xml:space="preserve">Potential-reserve / Readiness-reserve </w:t>
      </w:r>
      <w:r>
        <w:rPr>
          <w:rFonts w:ascii="Times New Roman" w:cs="Times New Roman" w:eastAsia="Times New Roman" w:hAnsi="Times New Roman"/>
          <w:b w:val="false"/>
          <w:bCs w:val="false"/>
          <w:i/>
          <w:iCs/>
          <w:sz w:val="24"/>
          <w:szCs w:val="24"/>
        </w:rPr>
        <w:t xml:space="preserve">(Ch. 2). </w:t>
      </w:r>
      <w:r>
        <w:rPr>
          <w:rFonts w:ascii="Times New Roman" w:cs="Times New Roman" w:eastAsia="Times New Roman" w:hAnsi="Times New Roman"/>
          <w:b w:val="false"/>
          <w:bCs w:val="false"/>
          <w:i w:val="false"/>
          <w:iCs w:val="false"/>
          <w:sz w:val="24"/>
          <w:szCs w:val="24"/>
        </w:rPr>
        <w:t xml:space="preserve">Two functionally distinct subtypes of Dormant: potential-reserve protects multipotency for diverse future differentiation (tissue stem cells, glycolysis/BGR); readiness-reserve protects capacity for rapid, fixed-fate reactivation (memory T cells, OXPHOS/spare respiratory capacity).</w:t>
      </w:r>
    </w:p>
    <w:p>
      <w:pPr>
        <w:spacing w:after="200" w:line="288"/>
        <w:jc w:val="both"/>
      </w:pPr>
      <w:r>
        <w:rPr>
          <w:rFonts w:ascii="Times New Roman" w:cs="Times New Roman" w:eastAsia="Times New Roman" w:hAnsi="Times New Roman"/>
          <w:b/>
          <w:bCs/>
          <w:i w:val="false"/>
          <w:iCs w:val="false"/>
          <w:sz w:val="24"/>
          <w:szCs w:val="24"/>
        </w:rPr>
        <w:t xml:space="preserve">Semi-Markov process </w:t>
      </w:r>
      <w:r>
        <w:rPr>
          <w:rFonts w:ascii="Times New Roman" w:cs="Times New Roman" w:eastAsia="Times New Roman" w:hAnsi="Times New Roman"/>
          <w:b w:val="false"/>
          <w:bCs w:val="false"/>
          <w:i/>
          <w:iCs/>
          <w:sz w:val="24"/>
          <w:szCs w:val="24"/>
        </w:rPr>
        <w:t xml:space="preserve">(Ch. 4). </w:t>
      </w:r>
      <w:r>
        <w:rPr>
          <w:rFonts w:ascii="Times New Roman" w:cs="Times New Roman" w:eastAsia="Times New Roman" w:hAnsi="Times New Roman"/>
          <w:b w:val="false"/>
          <w:bCs w:val="false"/>
          <w:i w:val="false"/>
          <w:iCs w:val="false"/>
          <w:sz w:val="24"/>
          <w:szCs w:val="24"/>
        </w:rPr>
        <w:t xml:space="preserve">A stochastic process in which the intensity of transition out of a state depends on how long the system has already resided in that state, in contrast to a memoryless Markov process; proposed as the correct model for transitions among the three cellular states.</w:t>
      </w:r>
    </w:p>
    <w:p>
      <w:pPr>
        <w:spacing w:after="200" w:line="288"/>
        <w:jc w:val="both"/>
      </w:pPr>
      <w:r>
        <w:rPr>
          <w:rFonts w:ascii="Times New Roman" w:cs="Times New Roman" w:eastAsia="Times New Roman" w:hAnsi="Times New Roman"/>
          <w:b/>
          <w:bCs/>
          <w:i w:val="false"/>
          <w:iCs w:val="false"/>
          <w:sz w:val="24"/>
          <w:szCs w:val="24"/>
        </w:rPr>
        <w:t xml:space="preserve">Shared-node network </w:t>
      </w:r>
      <w:r>
        <w:rPr>
          <w:rFonts w:ascii="Times New Roman" w:cs="Times New Roman" w:eastAsia="Times New Roman" w:hAnsi="Times New Roman"/>
          <w:b w:val="false"/>
          <w:bCs w:val="false"/>
          <w:i/>
          <w:iCs/>
          <w:sz w:val="24"/>
          <w:szCs w:val="24"/>
        </w:rPr>
        <w:t xml:space="preserve">(Ch. 5). </w:t>
      </w:r>
      <w:r>
        <w:rPr>
          <w:rFonts w:ascii="Times New Roman" w:cs="Times New Roman" w:eastAsia="Times New Roman" w:hAnsi="Times New Roman"/>
          <w:b w:val="false"/>
          <w:bCs w:val="false"/>
          <w:i w:val="false"/>
          <w:iCs w:val="false"/>
          <w:sz w:val="24"/>
          <w:szCs w:val="24"/>
        </w:rPr>
        <w:t xml:space="preserve">The proposed replacement for the "three locks" model of dormancy: multiple independent inputs (epigenetic, immune, mechanical, glycan) converge on a small number of shared executive nodes (p27; the NAD⁺/NADH–acetyl-CoA linkage) rather than acting as separate, parallel barriers.</w:t>
      </w:r>
    </w:p>
    <w:p>
      <w:pPr>
        <w:spacing w:after="200" w:line="288"/>
        <w:jc w:val="both"/>
      </w:pPr>
      <w:r>
        <w:rPr>
          <w:rFonts w:ascii="Times New Roman" w:cs="Times New Roman" w:eastAsia="Times New Roman" w:hAnsi="Times New Roman"/>
          <w:b/>
          <w:bCs/>
          <w:i w:val="false"/>
          <w:iCs w:val="false"/>
          <w:sz w:val="24"/>
          <w:szCs w:val="24"/>
        </w:rPr>
        <w:t xml:space="preserve">Spare respiratory capacity (SRC) </w:t>
      </w:r>
      <w:r>
        <w:rPr>
          <w:rFonts w:ascii="Times New Roman" w:cs="Times New Roman" w:eastAsia="Times New Roman" w:hAnsi="Times New Roman"/>
          <w:b w:val="false"/>
          <w:bCs w:val="false"/>
          <w:i/>
          <w:iCs/>
          <w:sz w:val="24"/>
          <w:szCs w:val="24"/>
        </w:rPr>
        <w:t xml:space="preserve">(Ch. 2). </w:t>
      </w:r>
      <w:r>
        <w:rPr>
          <w:rFonts w:ascii="Times New Roman" w:cs="Times New Roman" w:eastAsia="Times New Roman" w:hAnsi="Times New Roman"/>
          <w:b w:val="false"/>
          <w:bCs w:val="false"/>
          <w:i w:val="false"/>
          <w:iCs w:val="false"/>
          <w:sz w:val="24"/>
          <w:szCs w:val="24"/>
        </w:rPr>
        <w:t xml:space="preserve">The mitochondrial reserve capacity, built through mitochondrial fusion, that enables memory T cells to mount a rapid secondary response upon antigen re-encounter; the metabolic basis of the readiness-reserve subtype of Dormant.</w:t>
      </w:r>
    </w:p>
    <w:p>
      <w:pPr>
        <w:spacing w:after="200" w:line="288"/>
        <w:jc w:val="both"/>
      </w:pPr>
      <w:r>
        <w:rPr>
          <w:rFonts w:ascii="Times New Roman" w:cs="Times New Roman" w:eastAsia="Times New Roman" w:hAnsi="Times New Roman"/>
          <w:b/>
          <w:bCs/>
          <w:i w:val="false"/>
          <w:iCs w:val="false"/>
          <w:sz w:val="24"/>
          <w:szCs w:val="24"/>
        </w:rPr>
        <w:t xml:space="preserve">Three-state architecture </w:t>
      </w:r>
      <w:r>
        <w:rPr>
          <w:rFonts w:ascii="Times New Roman" w:cs="Times New Roman" w:eastAsia="Times New Roman" w:hAnsi="Times New Roman"/>
          <w:b w:val="false"/>
          <w:bCs w:val="false"/>
          <w:i/>
          <w:iCs/>
          <w:sz w:val="24"/>
          <w:szCs w:val="24"/>
        </w:rPr>
        <w:t xml:space="preserve">(1.0–1.4; Ch. 1). </w:t>
      </w:r>
      <w:r>
        <w:rPr>
          <w:rFonts w:ascii="Times New Roman" w:cs="Times New Roman" w:eastAsia="Times New Roman" w:hAnsi="Times New Roman"/>
          <w:b w:val="false"/>
          <w:bCs w:val="false"/>
          <w:i w:val="false"/>
          <w:iCs w:val="false"/>
          <w:sz w:val="24"/>
          <w:szCs w:val="24"/>
        </w:rPr>
        <w:t xml:space="preserve">The classification of cells as Active, Dormant, or Differentiated, established energetically and immunologically in earlier volumes and given a third, ECM-based dimension in this one.</w:t>
      </w:r>
    </w:p>
    <w:p>
      <w:r>
        <w:br w:type="page"/>
      </w:r>
    </w:p>
    <w:p>
      <w:pPr>
        <w:spacing w:after="400"/>
        <w:jc w:val="center"/>
      </w:pPr>
      <w:r>
        <w:rPr>
          <w:rFonts w:ascii="Times New Roman" w:cs="Times New Roman" w:eastAsia="Times New Roman" w:hAnsi="Times New Roman"/>
          <w:b/>
          <w:bCs/>
          <w:i w:val="false"/>
          <w:iCs w:val="false"/>
          <w:sz w:val="26"/>
          <w:szCs w:val="26"/>
        </w:rPr>
        <w:t xml:space="preserve">The Organism as a Self-Sustaining System: Three Cellular States, ECM Remodeling, and the Oxygen Ratchet</w:t>
      </w:r>
    </w:p>
    <w:p>
      <w:pPr>
        <w:pStyle w:val="Heading1"/>
        <w:spacing w:after="200" w:before="300"/>
      </w:pPr>
      <w:r>
        <w:rPr>
          <w:rFonts w:ascii="Times New Roman" w:cs="Times New Roman" w:eastAsia="Times New Roman" w:hAnsi="Times New Roman"/>
          <w:b/>
          <w:bCs/>
          <w:i w:val="false"/>
          <w:iCs w:val="false"/>
          <w:sz w:val="27"/>
          <w:szCs w:val="27"/>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three cellular states — Active, Dormant, Differentiated — have been defined in earlier volumes of the framework energetically (BGR, the IGF1R–mTOR–NR2F1 axis) and, starting with Framework 1.4, immunologically. This article adds a third, independent dimension: each state has a characteristic, distinguishable relationship to the extracellular matrix (ECM) — not as an incidental feature but as a further defining parameter of the architecture. A separate postulate is formulated regarding oxygen as the cause, rather than the consequence, of the unidirectionality of differentiation: the shift to OXPHOS reallocates a key metabolite (acetyl-CoA) away from chromatin opening and into the mitochondrial cycle, providing a molecular mechanism for why the staircase of differentiation is normally irreversible. Finally, balance among the three states is proposed as the basis of the organism's self-maintenance — loss of equilibrium in either direction corresponds to a specific pathology. A boundary condition is added: this self-maintaining balance describes the adult organism specifically; the well-documented case of programmed embryonic senescence is treated as a distinct, non-equivalent phenomenon. This three-dimensional picture is itself provisional: Chapter 5 of this volume shows that the energetic and matrix dimensions catalogued here converge, in one documented case, on a single molecular mechanism rather than remaining structurally independent, and that dormancy is more accurately modeled as a network of shared executive nodes than as a set of separate, parallel dimensions.</w:t>
      </w:r>
    </w:p>
    <w:p>
      <w:pPr>
        <w:pStyle w:val="Heading1"/>
        <w:spacing w:after="200" w:before="300"/>
      </w:pPr>
      <w:r>
        <w:rPr>
          <w:rFonts w:ascii="Times New Roman" w:cs="Times New Roman" w:eastAsia="Times New Roman" w:hAnsi="Times New Roman"/>
          <w:b/>
          <w:bCs/>
          <w:i w:val="false"/>
          <w:iCs w:val="false"/>
          <w:sz w:val="27"/>
          <w:szCs w:val="27"/>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organizing question of this article: what makes the three cellular states not three arbitrary categories but an architecture that sustains the integrity of the organism as a system? The answer proposed here is that their distinction shows up not in one but in at least three independent dimensions: energetic (already established in 1.0–1.3), immunological (Framework 1.4), and, as this article shows, in their relationship to the extracellular matrix.</w:t>
      </w:r>
    </w:p>
    <w:p>
      <w:pPr>
        <w:pStyle w:val="Heading1"/>
        <w:spacing w:after="200" w:before="300"/>
      </w:pPr>
      <w:r>
        <w:rPr>
          <w:rFonts w:ascii="Times New Roman" w:cs="Times New Roman" w:eastAsia="Times New Roman" w:hAnsi="Times New Roman"/>
          <w:b/>
          <w:bCs/>
          <w:i w:val="false"/>
          <w:iCs w:val="false"/>
          <w:sz w:val="27"/>
          <w:szCs w:val="27"/>
        </w:rPr>
        <w:t xml:space="preserve">2. Established: the three states and the energetic axis (recap)</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IGF1R–mTOR–NR2F1 axis and the Basal Glycolytic Regime are already established in earlier volumes as the energetic basis for the Active/Dormant/Differentiated distinction; the same three-state metabolic logic (a quiescent, glycolysis-biased program versus an OXPHOS-dependent differentiated program) is independently reviewed in the broader stem cell literature.</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val="false"/>
          <w:bCs w:val="false"/>
          <w:i w:val="false"/>
          <w:iCs w:val="false"/>
          <w:sz w:val="24"/>
          <w:szCs w:val="24"/>
        </w:rPr>
        <w:t xml:space="preserve">This article does not revise that basis but builds two new dimensions on top of it.</w:t>
      </w:r>
    </w:p>
    <w:p>
      <w:pPr>
        <w:pStyle w:val="Heading1"/>
        <w:spacing w:after="200" w:before="300"/>
      </w:pPr>
      <w:r>
        <w:rPr>
          <w:rFonts w:ascii="Times New Roman" w:cs="Times New Roman" w:eastAsia="Times New Roman" w:hAnsi="Times New Roman"/>
          <w:b/>
          <w:bCs/>
          <w:i w:val="false"/>
          <w:iCs w:val="false"/>
          <w:sz w:val="27"/>
          <w:szCs w:val="27"/>
        </w:rPr>
        <w:t xml:space="preserve">3. Framework hypothesis: three states as three distinct relationships to the ECM</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three cell types are documented to differ in their relationship to the extracellular matrix:</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Dormant cells reside in specialized niches where ECM composition (basement membrane, laminin, specific niche factors) actively maintains quiescence — matrix composition here is not passive background but part of the mechanism holding the cell in dormancy.</w:t>
      </w:r>
      <w:r>
        <w:rPr>
          <w:rFonts w:ascii="Times New Roman" w:cs="Times New Roman" w:eastAsia="Times New Roman" w:hAnsi="Times New Roman"/>
          <w:b w:val="false"/>
          <w:bCs w:val="false"/>
          <w:i w:val="false"/>
          <w:iCs w:val="false"/>
          <w:sz w:val="24"/>
          <w:szCs w:val="24"/>
          <w:vertAlign w:val="superscript"/>
        </w:rPr>
        <w:t xml:space="preserve">[2]</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Active (proliferating) cells locally degrade ECM via MMP secretion to physically clear space for migration and division — established both in tissue remodeling and in tumor invasion, where MMP-mediated degradation of basement membrane and interstitial matrix is a defining step of the invasive/migratory phenotype.</w:t>
      </w:r>
      <w:r>
        <w:rPr>
          <w:rFonts w:ascii="Times New Roman" w:cs="Times New Roman" w:eastAsia="Times New Roman" w:hAnsi="Times New Roman"/>
          <w:b w:val="false"/>
          <w:bCs w:val="false"/>
          <w:i w:val="false"/>
          <w:iCs w:val="false"/>
          <w:sz w:val="24"/>
          <w:szCs w:val="24"/>
          <w:vertAlign w:val="superscript"/>
        </w:rPr>
        <w:t xml:space="preserve">[3,4]</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Differentiated cells are themselves producers of the characteristic ECM of their tissue (fibroblasts → collagen, osteoblasts → the type I collagen scaffold of bone, chondrocytes → cartilage matrix) — a differentiated cell does not merely exist within the matrix but literally builds it; this specialization of matrix output by differentiated cell type is basic, well-established connective-tissue biology.</w:t>
      </w:r>
      <w:r>
        <w:rPr>
          <w:rFonts w:ascii="Times New Roman" w:cs="Times New Roman" w:eastAsia="Times New Roman" w:hAnsi="Times New Roman"/>
          <w:b w:val="false"/>
          <w:bCs w:val="false"/>
          <w:i w:val="false"/>
          <w:iCs w:val="false"/>
          <w:sz w:val="24"/>
          <w:szCs w:val="24"/>
          <w:vertAlign w:val="superscript"/>
        </w:rPr>
        <w:t xml:space="preserve">[5]</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relationship to ECM is not a side effect of the three states but a third, independent defining dimension of the Active/Dormant/Differentiated architecture, alongside the energetic and immune ones. A cell's state can be diagnosed not only by its metabolic profile and immune status, but also by whether it maintains, degrades, or produces matrix.</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a cell's relationship to ECM (production/degradation/residence) is shown not to vary independently of its energetic and immune status — that is, if all three dimensions reduce to one common regulator — the hypothesis of three independent dimensions is false, and ECM relationship should be treated as derivative rather than an independent parameter.</w:t>
      </w:r>
    </w:p>
    <w:p>
      <w:pPr>
        <w:pStyle w:val="Heading1"/>
        <w:spacing w:after="200" w:before="300"/>
      </w:pPr>
      <w:r>
        <w:rPr>
          <w:rFonts w:ascii="Times New Roman" w:cs="Times New Roman" w:eastAsia="Times New Roman" w:hAnsi="Times New Roman"/>
          <w:b/>
          <w:bCs/>
          <w:i w:val="false"/>
          <w:iCs w:val="false"/>
          <w:sz w:val="27"/>
          <w:szCs w:val="27"/>
        </w:rPr>
        <w:t xml:space="preserve">Summary table: three states × three dimensions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900"/>
        <w:gridCol w:w="2906"/>
      </w:tblGrid>
      <w:tr>
        <w:trPr>
          <w:tblHeader/>
        </w:trPr>
        <w:tc>
          <w:tcPr>
            <w:tcW w:type="dxa" w:w="16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State</w:t>
            </w:r>
          </w:p>
        </w:tc>
        <w:tc>
          <w:tcPr>
            <w:tcW w:type="dxa" w:w="2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Energetic (1.0–1.3)</w:t>
            </w:r>
          </w:p>
        </w:tc>
        <w:tc>
          <w:tcPr>
            <w:tcW w:type="dxa" w:w="2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Immune (1.4)</w:t>
            </w:r>
          </w:p>
        </w:tc>
        <w:tc>
          <w:tcPr>
            <w:tcW w:type="dxa" w:w="29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ECM relationship (this article)</w:t>
            </w:r>
          </w:p>
        </w:tc>
      </w:tr>
      <w:tr>
        <w:tc>
          <w:tcPr>
            <w:tcW w:type="dxa" w:w="1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Dormant</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BGR; IGF1R–mTOR–NR2F1 arrest</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Immune lock: T/NK, phagocytic, metabolic invisibility</w:t>
            </w:r>
          </w:p>
        </w:tc>
        <w:tc>
          <w:tcPr>
            <w:tcW w:type="dxa" w:w="29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Resides in niches where ECM composition (basement membrane, laminin) actively maintains quiescence</w:t>
            </w:r>
          </w:p>
        </w:tc>
      </w:tr>
      <w:tr>
        <w:tc>
          <w:tcPr>
            <w:tcW w:type="dxa" w:w="1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Active</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Proliferative energetics; mTORC1 engaged</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Subject to elimination/equilibrium surveillance</w:t>
            </w:r>
          </w:p>
        </w:tc>
        <w:tc>
          <w:tcPr>
            <w:tcW w:type="dxa" w:w="29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Locally degrades ECM via MMPs to enable migration and division</w:t>
            </w:r>
          </w:p>
        </w:tc>
      </w:tr>
      <w:tr>
        <w:tc>
          <w:tcPr>
            <w:tcW w:type="dxa" w:w="1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Differentiated</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OXPHOS-dependent, specialized function</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Escapes immune privilege of the reserve</w:t>
            </w:r>
          </w:p>
        </w:tc>
        <w:tc>
          <w:tcPr>
            <w:tcW w:type="dxa" w:w="29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Produces the characteristic ECM of its tissue (collagen, bone matrix, cartilage matrix)</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7"/>
          <w:szCs w:val="27"/>
        </w:rPr>
        <w:t xml:space="preserve">4. Framework hypothesis: balance among the three states as the basis of self-maintenance</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self-maintenance of the organism is not a property of any single one of the three states but a property of their balance. A shift in proportion in either direction corresponds to a specific, recognizable pathology:</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excess Active without dormant control — uncontrolled proliferation (cancer);</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excess unused Dormant — atrophy of the reserve, clonal dominance without functional output (by analogy with CHIP);</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deficient Differentiated — loss of specialized tissue function.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reframes pathology not as a deviation from the norm of one cell type but as a disruption of the proportion among all three — a diagnostic principle that could in future be operationalized quantitatively.</w:t>
      </w:r>
    </w:p>
    <w:p>
      <w:pPr>
        <w:pStyle w:val="Heading1"/>
        <w:spacing w:after="200" w:before="300"/>
      </w:pPr>
      <w:r>
        <w:rPr>
          <w:rFonts w:ascii="Times New Roman" w:cs="Times New Roman" w:eastAsia="Times New Roman" w:hAnsi="Times New Roman"/>
          <w:b/>
          <w:bCs/>
          <w:i w:val="false"/>
          <w:iCs w:val="false"/>
          <w:sz w:val="27"/>
          <w:szCs w:val="27"/>
        </w:rPr>
        <w:t xml:space="preserve">4.1. Boundary condition: this applies to the adult organism, not to programmed embryonic senescence</w:t>
      </w:r>
    </w:p>
    <w:p>
      <w:pPr>
        <w:spacing w:after="160" w:line="276"/>
        <w:jc w:val="both"/>
      </w:pPr>
      <w:r>
        <w:rPr>
          <w:rFonts w:ascii="Times New Roman" w:cs="Times New Roman" w:eastAsia="Times New Roman" w:hAnsi="Times New Roman"/>
          <w:b/>
          <w:bCs/>
          <w:i w:val="false"/>
          <w:iCs w:val="false"/>
          <w:sz w:val="24"/>
          <w:szCs w:val="24"/>
        </w:rPr>
        <w:t xml:space="preserve">Framework observation (scope clarification): </w:t>
      </w:r>
      <w:r>
        <w:rPr>
          <w:rFonts w:ascii="Times New Roman" w:cs="Times New Roman" w:eastAsia="Times New Roman" w:hAnsi="Times New Roman"/>
          <w:b w:val="false"/>
          <w:bCs w:val="false"/>
          <w:i w:val="false"/>
          <w:iCs w:val="false"/>
          <w:sz w:val="24"/>
          <w:szCs w:val="24"/>
        </w:rPr>
        <w:t xml:space="preserve">the claim that balance among the three states is the basis of self-maintenance applies to the adult organism, and does not include senescent cells as a productive contributor to that balance: a senescent cell (in light of the mitonuclear desynchronization hypothesis developed for the forthcoming article on senescent cells) is likely not a stable state supporting the system, but a stalled, unproductive transit, not equivalent to Active, Dormant, or Differentiated.</w:t>
      </w:r>
    </w:p>
    <w:p>
      <w:pPr>
        <w:spacing w:after="160" w:line="276"/>
        <w:jc w:val="both"/>
      </w:pPr>
      <w:r>
        <w:rPr>
          <w:rFonts w:ascii="Times New Roman" w:cs="Times New Roman" w:eastAsia="Times New Roman" w:hAnsi="Times New Roman"/>
          <w:b/>
          <w:bCs/>
          <w:i/>
          <w:iCs/>
          <w:sz w:val="24"/>
          <w:szCs w:val="24"/>
          <w:vertAlign w:val="superscript"/>
        </w:rPr>
        <w:t xml:space="preserve">A documented exception that this claim does not cover: programmed embryonic senescence is an independently established, evolutionarily conserved tissue-remodeling mechanism (mesonephros, the endolymphatic sac of the inner ear, neural tube closure, limb patterning), in which senescent cells transiently halt proliferation specifically as part of a morphogenetic program — not as a failure — and are subsequently cleared efficiently by macrophages, freeing the way for remodeling. This is structurally distinct from adult senescence: here, cell-cycle arrest is not a byproduct of genomic desynchronization but a programmed, self-limiting, clearance-completed developmental function.</w:t>
      </w:r>
    </w:p>
    <w:p>
      <w:pPr>
        <w:spacing w:after="160" w:line="276"/>
        <w:jc w:val="both"/>
      </w:pPr>
      <w:r>
        <w:rPr>
          <w:rFonts w:ascii="Times New Roman" w:cs="Times New Roman" w:eastAsia="Times New Roman" w:hAnsi="Times New Roman"/>
          <w:b/>
          <w:bCs/>
          <w:i w:val="false"/>
          <w:iCs w:val="false"/>
          <w:sz w:val="24"/>
          <w:szCs w:val="24"/>
        </w:rPr>
        <w:t xml:space="preserve">Distinguishing criterion: </w:t>
      </w:r>
      <w:r>
        <w:rPr>
          <w:rFonts w:ascii="Times New Roman" w:cs="Times New Roman" w:eastAsia="Times New Roman" w:hAnsi="Times New Roman"/>
          <w:b w:val="false"/>
          <w:bCs w:val="false"/>
          <w:i w:val="false"/>
          <w:iCs w:val="false"/>
          <w:sz w:val="24"/>
          <w:szCs w:val="24"/>
        </w:rPr>
        <w:t xml:space="preserve">if adult (pathological) and embryonic (programmed) senescence turn out to be molecularly indistinguishable in their triggering mechanism and in the efficiency of subsequent clearance, the distinction between “unproductive stalling” (adult organism) and “a functional, self-limited developmental stage” (embryogenesis) is false, and both cases would need to be explained by a single mechanism. The evidence so far (independent discovery by two groups, conservation across mouse/chick/human, efficient macrophage-mediated clearance specifically in the embryonic context) favors keeping the two cases distinct.</w:t>
      </w:r>
    </w:p>
    <w:p>
      <w:pPr>
        <w:pStyle w:val="Heading1"/>
        <w:spacing w:after="200" w:before="300"/>
      </w:pPr>
      <w:r>
        <w:rPr>
          <w:rFonts w:ascii="Times New Roman" w:cs="Times New Roman" w:eastAsia="Times New Roman" w:hAnsi="Times New Roman"/>
          <w:b/>
          <w:bCs/>
          <w:i w:val="false"/>
          <w:iCs w:val="false"/>
          <w:sz w:val="27"/>
          <w:szCs w:val="27"/>
        </w:rPr>
        <w:t xml:space="preserve">5. Framework hypothesis: oxygen as the cause of unidirectional differentiation</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cell's transition from glycolysis to OXPHOS upon differentiation has a direct epigenetic consequence: acetyl-CoA, produced via glycolysis in the pluripotent state, is used cytoplasmically/nuclearly for histone acetylation, maintaining open chromatin; upon the shift to OXPHOS, acetyl-CoA is redirected into the mitochondrial tricarboxylic acid cycle, reducing the substrate available to histone acetyltransferases and driving the documented transition from euchromatin to heterochromatin. Notably, this relationship has already been shown to be at least partly causal rather than merely correlative: experimentally maintaining glycolytic flux, or supplementing acetate (a precursor of acetyl-CoA), blocked early histone deacetylation and delayed differentiation of embryonic stem cells in a dose-dependent manner — meaning the chromatin lock can be experimentally loosened by restoring cytoplasmic acetyl-CoA availability.</w:t>
      </w:r>
      <w:r>
        <w:rPr>
          <w:rFonts w:ascii="Times New Roman" w:cs="Times New Roman" w:eastAsia="Times New Roman" w:hAnsi="Times New Roman"/>
          <w:b w:val="false"/>
          <w:bCs w:val="false"/>
          <w:i w:val="false"/>
          <w:iCs w:val="false"/>
          <w:sz w:val="24"/>
          <w:szCs w:val="24"/>
          <w:vertAlign w:val="superscript"/>
        </w:rPr>
        <w:t xml:space="preserve">[8]</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this provides a molecular, causal — not merely correlative — mechanism for why the staircase of differentiation is normally unidirectional: it is not that “differentiation causes the shift to oxygen,” but that the shift to OXPHOS itself physically locks the epigenetic state, competitively depriving the nucleus of the substrate needed to maintain open, pluripotent chromatin. Oxidative metabolism here is not a marker of the differentiated state but the executive mechanism that makes it irreversible.</w:t>
      </w:r>
    </w:p>
    <w:p>
      <w:pPr>
        <w:spacing w:after="160" w:line="276"/>
        <w:jc w:val="both"/>
      </w:pPr>
      <w:r>
        <w:rPr>
          <w:rFonts w:ascii="Times New Roman" w:cs="Times New Roman" w:eastAsia="Times New Roman" w:hAnsi="Times New Roman"/>
          <w:b/>
          <w:bCs/>
          <w:i w:val="false"/>
          <w:iCs w:val="false"/>
          <w:sz w:val="24"/>
          <w:szCs w:val="24"/>
        </w:rPr>
        <w:t xml:space="preserve">Framework observation — link to Article 2: </w:t>
      </w:r>
      <w:r>
        <w:rPr>
          <w:rFonts w:ascii="Times New Roman" w:cs="Times New Roman" w:eastAsia="Times New Roman" w:hAnsi="Times New Roman"/>
          <w:b w:val="false"/>
          <w:bCs w:val="false"/>
          <w:i w:val="false"/>
          <w:iCs w:val="false"/>
          <w:sz w:val="24"/>
          <w:szCs w:val="24"/>
        </w:rPr>
        <w:t xml:space="preserve">this connects directly to the already-described mechanism of paligenosis: the first stage of paligenosis (autophagy/autodegradation of mature architecture) may be precisely the process that reverses this metabolite lock — recycling internal cellular components into metabolites that restore acetyl-CoA availability and, correspondingly, the capacity of chromatin to reopen. If correct, paligenosis is not a mechanism separate from the “oxygen ratchet” but its specific, energetically costly, and therefore rare and tissue-protected workaround.</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blocking the redistribution of acetyl-CoA (for example, pharmacologically maintaining its cytoplasmic availability during OXPHOS induction) does not prevent chromatin compaction and does not facilitate a cell's subsequent return to a progenitor-like state, the causal (rather than merely correlative) character of the link between oxidative metabolism and the irreversibility of differentiation is false.</w:t>
      </w:r>
    </w:p>
    <w:p>
      <w:pPr>
        <w:pStyle w:val="Heading1"/>
        <w:spacing w:after="200" w:before="300"/>
      </w:pPr>
      <w:r>
        <w:rPr>
          <w:rFonts w:ascii="Times New Roman" w:cs="Times New Roman" w:eastAsia="Times New Roman" w:hAnsi="Times New Roman"/>
          <w:b/>
          <w:bCs/>
          <w:i w:val="false"/>
          <w:iCs w:val="false"/>
          <w:sz w:val="27"/>
          <w:szCs w:val="27"/>
        </w:rPr>
        <w:t xml:space="preserve">6.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three cellular states are defined by at least three independent dimensions: energetic (1.0–1.3), immune (1.4), and, as shown here, relationship to the extracellular matrix. Balance among the states — rather than the dominance of any one — is proposed as the basis of the organism's self-maintenance, with specific, recognizable pathologies at each pole of imbalance; this claim is explicitly scoped to the adult organism, with programmed embryonic senescence treated as a documented, structurally distinct exception rather than a counterexample. Finally, oxidative metabolism is given a causal, mechanistic role in the irreversibility of differentiation through competition for acetyl-CoA between cytoplasmic histone acetylation and the mitochondrial cycle — a claim already partly supported experimentally (acetate rescue of pluripotency markers) — which gives a direct, testable link to Article 2: paligenosis as a rare, tissue-protected way of reversing precisely this metabolite lock, rather than a phenomenon independent of it. This chapter’s three-dimensional picture of cellular state should be read as a necessary starting point rather than the deepest available description: Chapter 5 of this volume shows that the energetic and matrix dimensions catalogued here are not, in at least one documented case, structurally independent at all—they converge on shared molecular nodes—and that dormancy is better modeled as a network than as a set of parallel locks. The three-state architecture survives this revision; its three defining dimensions, as presented in this chapter, do not remain fully separate.</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hypothesis correspond to the claim-marking system adopted for the whole framework starting with Framework 1.4.</w:t>
      </w:r>
    </w:p>
    <w:p>
      <w:pPr>
        <w:pStyle w:val="Heading1"/>
        <w:spacing w:after="200" w:before="300"/>
      </w:pPr>
      <w:r>
        <w:rPr>
          <w:rFonts w:ascii="Times New Roman" w:cs="Times New Roman" w:eastAsia="Times New Roman" w:hAnsi="Times New Roman"/>
          <w:b/>
          <w:bCs/>
          <w:i w:val="false"/>
          <w:iCs w:val="false"/>
          <w:sz w:val="27"/>
          <w:szCs w:val="27"/>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Shyh-Chang N, Ng HH. The metabolic programming of stem cells. Genes Dev. 2017;31(4):336–345.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Effects of surgery on cancer metastasis: biological mechanisms and perioperative implications. Front Oncol. 2026. (Niche laminin/basement membrane maintenance of quiescence; cross-referenced in Article 7, §3.)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Egeblad M, Werb Z. New functions for the matrix metalloproteinases in cancer progression. Nat Rev Cancer. 2002;2(3):161–174.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Brown GT, Murray GI. Current mechanistic insights into the roles of matrix metalloproteinases in tumour invasion and metastasis. J Pathol. 2015;237(3):273–281.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The fibroblast, osteoblast, and chondrocyte as tissue-specific producers of collagen-based extracellular matrix — established connective-tissue biology; general reviews (e.g., Visse R, Nagase H. Matrix metalloproteinases and tissue inhibitors of metalloproteinases: structure, function, and biochemistry. Circ Res. 2003;92(8):827–839, for matrix composition and turnover context).</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Muñoz-Espín D, Cañamero M, Maraver A, Gómez-López G, Contreras J, Murillo-Cuesta S, Rodríguez-Baeza A, Varela-Nieto I, Ruberte J, Collado M, Serrano M. Programmed cell senescence during mammalian embryonic development. Cell. 2013;155(5):1104–1118.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Storer M, Mas A, Robert-Moreno A, Pecoraro M, Ortells MC, Di Giacomo V, Yosef R, Pilpel N, Krizhanovsky V, Sharpe J, Keyes WM. Senescence is a developmental mechanism that contributes to embryonic growth and patterning. Cell. 2013;155(5):1119–1130.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Moussaieff A, Rouleau M, Kitsberg D, Cohen M, Levy G, Barasch D, Nemirovski A, Shen-Orr S, Laevsky I, Amit M, Bomze D, Elena-Herrmann B, Scherf T, Nissim-Rafinia M, Kempa S, Itskovitz-Eldor J, Meshorer E, Aberdam D, Nahmias Y. Glycolysis-mediated changes in acetyl-CoA and histone acetylation control the early differentiation of embryonic stem cells. Cell Metab. 2015;21(3):392–402.</w:t>
      </w:r>
    </w:p>
    <w:p>
      <w:r>
        <w:br w:type="page"/>
      </w:r>
    </w:p>
    <w:p>
      <w:pPr>
        <w:spacing w:after="400"/>
        <w:jc w:val="center"/>
      </w:pPr>
      <w:r>
        <w:rPr>
          <w:rFonts w:ascii="Times New Roman" w:cs="Times New Roman" w:eastAsia="Times New Roman" w:hAnsi="Times New Roman"/>
          <w:b/>
          <w:bCs/>
          <w:i w:val="false"/>
          <w:iCs w:val="false"/>
          <w:sz w:val="26"/>
          <w:szCs w:val="26"/>
        </w:rPr>
        <w:t xml:space="preserve">Dormancy as a Transit State: Reconsidering the Concept of the “Stem Cell”</w:t>
      </w:r>
    </w:p>
    <w:p>
      <w:pPr>
        <w:pStyle w:val="Heading1"/>
        <w:spacing w:after="200" w:before="300"/>
      </w:pPr>
      <w:r>
        <w:rPr>
          <w:rFonts w:ascii="Times New Roman" w:cs="Times New Roman" w:eastAsia="Times New Roman" w:hAnsi="Times New Roman"/>
          <w:b/>
          <w:bCs/>
          <w:i w:val="false"/>
          <w:iCs w:val="false"/>
          <w:sz w:val="27"/>
          <w:szCs w:val="27"/>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classical understanding of the stem cell presupposes a fixed population with its own lineage of origin. This article proposes an alternative frame: the “stem cell” may not be a cell type but a transient state (Dormant, in the framework's architecture) that any sufficiently plastic differentiated cell can enter — not because of damage to itself, but because of damage to the tissue in which it resides, and not in isolation, but only in connection with neighboring cells. Exit from this state can lead either back to the original type (direct lineage) or to a neighboring type within the same developmental field (lateral lineage). Dormant itself is shown not to be a single category: at least two functionally distinct subtypes are distinguished by what they protect — multipotency (defended by low-ROS glycolysis) versus rapid, fixed-fate reactivation (defended by mitochondrial reserve capacity). The safety of the transition into the tissue-level subtype is provided by two independent physical mechanisms — a quantitative one (the scale of the transition stays below the threshold of immunological detection) and a structural one (dense extracellular matrix mechanically excludes immune cells from the transition zone, while inflammation dynamically opens this barrier).</w:t>
      </w:r>
    </w:p>
    <w:p>
      <w:pPr>
        <w:pStyle w:val="Heading1"/>
        <w:spacing w:after="200" w:before="300"/>
      </w:pPr>
      <w:r>
        <w:rPr>
          <w:rFonts w:ascii="Times New Roman" w:cs="Times New Roman" w:eastAsia="Times New Roman" w:hAnsi="Times New Roman"/>
          <w:b/>
          <w:bCs/>
          <w:i w:val="false"/>
          <w:iCs w:val="false"/>
          <w:sz w:val="27"/>
          <w:szCs w:val="27"/>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question posed by this article is not “what does a stem cell do” but “what is a stem cell.” The entrenched model of a fixed stem population is not the only physiological reality: differentiated cells in many tissues are able to revert to a proliferative, progenitor-like state upon injury. If Dormant, within the Active/Dormant/Differentiated architecture, is a state rather than a cell type, the central question becomes who can enter it, under what conditions, and with what protection — and, as Section 4.1 shows, whether “Dormant” is even a single state to begin with.</w:t>
      </w:r>
    </w:p>
    <w:p>
      <w:pPr>
        <w:pStyle w:val="Heading1"/>
        <w:spacing w:after="200" w:before="300"/>
      </w:pPr>
      <w:r>
        <w:rPr>
          <w:rFonts w:ascii="Times New Roman" w:cs="Times New Roman" w:eastAsia="Times New Roman" w:hAnsi="Times New Roman"/>
          <w:b/>
          <w:bCs/>
          <w:i w:val="false"/>
          <w:iCs w:val="false"/>
          <w:sz w:val="27"/>
          <w:szCs w:val="27"/>
        </w:rPr>
        <w:t xml:space="preserve">2. Established: paligenosis as a documented mechanism</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Differentiated cells in diverse organs (stomach, pancreas, kidney, liver, the Drosophila gut) can revert to a proliferative, progenitor-like state through a shared three-stage program: (1) autophagy/autodegradation of mature cellular architecture, (2) induction of progenitor genes (e.g., SOX9), (3) mTORC1-dependent re-entry into the cell cycle. Blocking mTORC1 permits stages 1–2 but halts the cell before S-phase — meaning the sequence, not just the end result, has been experimentally confirmed. Not every differentiated cell is capable of this: mature gastric parietal cells, for instance, never undergo paligenosis.</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third stage of paligenosis is a direct intersection with the IGF1R–mTOR–NR2F1 axis already central to the framework. Paligenosis can be read as an independently discovered instance of this same node, operating in the direction of “exit from the differentiated state” rather than only “entry into dormancy.”</w:t>
      </w:r>
    </w:p>
    <w:p>
      <w:pPr>
        <w:pStyle w:val="Heading1"/>
        <w:spacing w:after="200" w:before="300"/>
      </w:pPr>
      <w:r>
        <w:rPr>
          <w:rFonts w:ascii="Times New Roman" w:cs="Times New Roman" w:eastAsia="Times New Roman" w:hAnsi="Times New Roman"/>
          <w:b/>
          <w:bCs/>
          <w:i w:val="false"/>
          <w:iCs w:val="false"/>
          <w:sz w:val="27"/>
          <w:szCs w:val="27"/>
        </w:rPr>
        <w:t xml:space="preserve">3. Established: hepatocyte↔cholangiocyte plasticity as a case of lateral lineage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When severe liver injury impairs hepatocyte proliferation, cholangiocytes dedifferentiate and give rise to functional hepatocytes (up to ~25% of the hepatocyte population in experimental models); the reverse process — hepatocyte to cholangiocyte — is also documented, including recent data from patient-derived organoids. Both cell types are descendants of common bipotential hepatoblasts.</w:t>
      </w:r>
      <w:r>
        <w:rPr>
          <w:rFonts w:ascii="Times New Roman" w:cs="Times New Roman" w:eastAsia="Times New Roman" w:hAnsi="Times New Roman"/>
          <w:b w:val="false"/>
          <w:bCs w:val="false"/>
          <w:i w:val="false"/>
          <w:iCs w:val="false"/>
          <w:sz w:val="24"/>
          <w:szCs w:val="24"/>
          <w:vertAlign w:val="superscript"/>
        </w:rPr>
        <w:t xml:space="preserve">[2]</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it is worth fixing a terminological distinction here — direct lineage (return to the same type) versus lateral lineage (exit into a neighboring type within the same developmental field). Both cases pass through a shared progenitor-like intermediate, i.e., the same Dormant hub, differing only in the direction of exit.</w:t>
      </w:r>
    </w:p>
    <w:p>
      <w:pPr>
        <w:pStyle w:val="Heading1"/>
        <w:spacing w:after="200" w:before="300"/>
      </w:pPr>
      <w:r>
        <w:rPr>
          <w:rFonts w:ascii="Times New Roman" w:cs="Times New Roman" w:eastAsia="Times New Roman" w:hAnsi="Times New Roman"/>
          <w:b/>
          <w:bCs/>
          <w:i w:val="false"/>
          <w:iCs w:val="false"/>
          <w:sz w:val="27"/>
          <w:szCs w:val="27"/>
        </w:rPr>
        <w:t xml:space="preserve">Summary table: direct vs. lateral lineage</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6"/>
      </w:tblGrid>
      <w:tr>
        <w:trPr>
          <w:tblHeader/>
        </w:trPr>
        <w:tc>
          <w:tcPr>
            <w:tcW w:type="dxa" w:w="1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7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Direct lineage</w:t>
            </w:r>
          </w:p>
        </w:tc>
        <w:tc>
          <w:tcPr>
            <w:tcW w:type="dxa" w:w="37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Lateral lineage</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Definition</w:t>
            </w:r>
          </w:p>
        </w:tc>
        <w:tc>
          <w:tcPr>
            <w:tcW w:type="dxa" w:w="3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Return to the same mature cell type</w:t>
            </w:r>
          </w:p>
        </w:tc>
        <w:tc>
          <w:tcPr>
            <w:tcW w:type="dxa" w:w="3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Exit into a neighboring mature type within the same developmental field</w:t>
            </w:r>
          </w:p>
        </w:tc>
      </w:tr>
      <w:tr>
        <w:tc>
          <w:tcPr>
            <w:tcW w:type="dxa" w:w="1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Example</w:t>
            </w:r>
          </w:p>
        </w:tc>
        <w:tc>
          <w:tcPr>
            <w:tcW w:type="dxa" w:w="3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Gastric chief cell → SPEM → chief cell (classical paligenosis)</w:t>
            </w:r>
          </w:p>
        </w:tc>
        <w:tc>
          <w:tcPr>
            <w:tcW w:type="dxa" w:w="3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Hepatocyte ↔ cholangiocyte (shared bipotential hepatoblast origin)</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Shared feature</w:t>
            </w:r>
          </w:p>
        </w:tc>
        <w:tc>
          <w:tcPr>
            <w:tcW w:type="dxa" w:w="3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Both pass through a common progenitor-like intermediate — the same Dormant hub, differing only in exit direction</w:t>
            </w:r>
          </w:p>
        </w:tc>
        <w:tc>
          <w:tcPr>
            <w:tcW w:type="dxa" w:w="3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7"/>
          <w:szCs w:val="27"/>
        </w:rPr>
        <w:t xml:space="preserve">4. Framework hypothesis: Dormant as a transit hub, not a cell type</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“stem cell” is not a fixed lineage but a designation for a cell currently occupying the Dormant state; “stemness” is an emergent property of the state, not a permanent attribute of the clone. In tissues lacking a dedicated constant stem population (liver, pancreas), paligenosis — rather than resident stem cells — is thought to carry the primary burden of regeneration.</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a molecularly distinct, constant population with independent origin is found to exist in paligenesis-dependent tissues, the hypothesis is false for those tissues, and the two regenerative mechanisms must be treated as separate rather than reduced to one Dormant hub.</w:t>
      </w:r>
    </w:p>
    <w:p>
      <w:pPr>
        <w:pStyle w:val="Heading2"/>
        <w:spacing w:after="130" w:before="220"/>
      </w:pPr>
      <w:r>
        <w:rPr>
          <w:rFonts w:ascii="Times New Roman" w:cs="Times New Roman" w:eastAsia="Times New Roman" w:hAnsi="Times New Roman"/>
          <w:b/>
          <w:bCs/>
          <w:i w:val="false"/>
          <w:iCs w:val="false"/>
          <w:sz w:val="24"/>
          <w:szCs w:val="24"/>
        </w:rPr>
        <w:t xml:space="preserve">4.1. Framework hypothesis: two functionally distinct subtypes of Dormant</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CD8+ memory T cells, unlike effector T cells, possess substantial mitochondrial spare respiratory capacity (SRC) — the extra capacity available to produce energy in response to sudden stress or workload — achieved through mitochondrial fusion into elongated networks with tight cristae, in contrast to the fragmented mitochondria of effector cells. This SRC underlies a documented bioenergetic advantage: upon re-encounter with antigen, memory T cells mount a faster and stronger secondary response than naive T cells mount on primary encounter.</w:t>
      </w:r>
      <w:r>
        <w:rPr>
          <w:rFonts w:ascii="Times New Roman" w:cs="Times New Roman" w:eastAsia="Times New Roman" w:hAnsi="Times New Roman"/>
          <w:b w:val="false"/>
          <w:bCs w:val="false"/>
          <w:i w:val="false"/>
          <w:iCs w:val="false"/>
          <w:sz w:val="24"/>
          <w:szCs w:val="24"/>
          <w:vertAlign w:val="superscript"/>
        </w:rPr>
        <w:t xml:space="preserve">[8,9]</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not a variant of the same protective logic already established for tissue Dormant cells (Article 1, Section 3; Section 2 above) — it is a different requirement entirely. A tissue stem/reserve cell protects multipotency: its risk is genomic damage that would corrupt the diversity of its future progeny, and the corresponding defense is low-ROS glycolysis (BGR). A memory T cell protects readiness: it has already committed to one fixed future fate (the same effector program, reactivated), and its risk is insufficient energetic capacity at the moment of re-encounter, not genomic diversity loss. The corresponding defense is the opposite metabolic strategy — OXPHOS/fatty acid oxidation with reserve capacity.</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“Dormant,” as used in this framework, is not a single category with one metabolic signature but at least two functionally distinct subtypes distinguished by what is being protected: potential-reserve (multipotency for diverse future differentiation, defended by low-ROS glycolysis) and readiness-reserve (capacity for rapid, fixed-fate reactivation, defended by mitochondrial spare respiratory capacity). The metabolic axis (BGR vs. OXPHOS) is not itself the defining feature of Dormant — it is a consequence of which of the two functions a given dormant population is serving.</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a population shown to require potential-reserve protection (multipotent, contributing diverse progeny) is found to rely on OXPHOS/SRC rather than glycolysis without loss of genomic protection, or conversely a fixed-fate readiness population is found to rely on glycolysis without loss of reactivation speed, the two-subtype distinction collapses, and the metabolic axis must be treated as independent of function rather than diagnostic of it.</w:t>
      </w:r>
    </w:p>
    <w:p>
      <w:pPr>
        <w:pStyle w:val="Heading1"/>
        <w:spacing w:after="200" w:before="300"/>
      </w:pPr>
      <w:r>
        <w:rPr>
          <w:rFonts w:ascii="Times New Roman" w:cs="Times New Roman" w:eastAsia="Times New Roman" w:hAnsi="Times New Roman"/>
          <w:b/>
          <w:bCs/>
          <w:i w:val="false"/>
          <w:iCs w:val="false"/>
          <w:sz w:val="27"/>
          <w:szCs w:val="27"/>
        </w:rPr>
        <w:t xml:space="preserve">Summary table: two subtypes of Dormant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6"/>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Potential-reserve</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Readiness-reserve</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What is protected</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Multipotency — capacity for diverse future differentiation</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Rapid, fixed-fate reactivation</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Example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Tissue stem/reserve cells (Article 1, §3; Section 2 above)</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CD8+ memory T cells</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Main risk avoided</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Genomic damage corrupting future progeny diversity</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Insufficient energetic capacity at moment of recall</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Metabolic defense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Low-ROS glycolysis (BGR)</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OXPHOS/FAO with mitochondrial spare respiratory capacity (SRC), fused mitochondria</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Evidentiary status</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Well established across this framework</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Established core finding, but SRC–function link itself disputed (Phan et al. 2016) and partly confounded by “virtual memory” T cells</w:t>
            </w:r>
          </w:p>
        </w:tc>
      </w:tr>
    </w:tbl>
    <w:p>
      <w:pPr>
        <w:spacing w:after="200"/>
      </w:pPr>
      <w:r>
        <w:rPr>
          <w:rFonts w:ascii="Times New Roman" w:cs="Times New Roman" w:eastAsia="Times New Roman" w:hAnsi="Times New Roman"/>
          <w:b w:val="false"/>
          <w:bCs w:val="false"/>
          <w:i w:val="false"/>
          <w:iCs w:val="false"/>
          <w:sz w:val="24"/>
          <w:szCs w:val="24"/>
        </w:rPr>
        <w:t xml:space="preserve"/>
      </w:r>
    </w:p>
    <w:p>
      <w:pPr>
        <w:spacing w:after="160" w:line="276"/>
        <w:jc w:val="both"/>
      </w:pPr>
      <w:r>
        <w:rPr>
          <w:rFonts w:ascii="Times New Roman" w:cs="Times New Roman" w:eastAsia="Times New Roman" w:hAnsi="Times New Roman"/>
          <w:b/>
          <w:bCs/>
          <w:i w:val="false"/>
          <w:iCs w:val="false"/>
          <w:sz w:val="24"/>
          <w:szCs w:val="24"/>
        </w:rPr>
        <w:t xml:space="preserve">Honest caveat: </w:t>
      </w:r>
      <w:r>
        <w:rPr>
          <w:rFonts w:ascii="Times New Roman" w:cs="Times New Roman" w:eastAsia="Times New Roman" w:hAnsi="Times New Roman"/>
          <w:b w:val="false"/>
          <w:bCs w:val="false"/>
          <w:i w:val="false"/>
          <w:iCs w:val="false"/>
          <w:sz w:val="24"/>
          <w:szCs w:val="24"/>
        </w:rPr>
        <w:t xml:space="preserve">the SRC–memory link itself is not without dispute. Phan et al. (2016) reported that increased SRC and reliance on OXPHOS may not be essential for memory CD8+ T cell development, in tension with van der Windt et al. A further complication: elevated SRC has since been shown to be a feature specifically of antigen-naive “virtual memory” T cells (driven by IL-15 and age), not of true antigen-experienced memory T cells, and is not itself predictive of enhanced functionality. The readiness-reserve subtype proposed here should therefore be treated as a plausible, but not yet fully settled, functional category — the metabolic marker (SRC) may track a related but distinct variable (IL-15 sensitivity, age) rather than functional memory readiness per se.</w:t>
      </w:r>
      <w:r>
        <w:rPr>
          <w:rFonts w:ascii="Times New Roman" w:cs="Times New Roman" w:eastAsia="Times New Roman" w:hAnsi="Times New Roman"/>
          <w:b w:val="false"/>
          <w:bCs w:val="false"/>
          <w:i w:val="false"/>
          <w:iCs w:val="false"/>
          <w:sz w:val="24"/>
          <w:szCs w:val="24"/>
          <w:vertAlign w:val="superscript"/>
        </w:rPr>
        <w:t xml:space="preserve">[10]</w:t>
      </w:r>
    </w:p>
    <w:p>
      <w:pPr>
        <w:pStyle w:val="Heading1"/>
        <w:spacing w:after="200" w:before="300"/>
      </w:pPr>
      <w:r>
        <w:rPr>
          <w:rFonts w:ascii="Times New Roman" w:cs="Times New Roman" w:eastAsia="Times New Roman" w:hAnsi="Times New Roman"/>
          <w:b/>
          <w:bCs/>
          <w:i w:val="false"/>
          <w:iCs w:val="false"/>
          <w:sz w:val="27"/>
          <w:szCs w:val="27"/>
        </w:rPr>
        <w:t xml:space="preserve">5. Framework hypothesis: a tissue-level, not a cellular, trigger</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entry into the Dormant hub is triggered not by damage to the cell itself, but by a signal from the injured tissue as a whole — a fundamentally intercellular process, requiring a tissue/niche context rather than an autonomous decision by an isolated cell.</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consistent with (rather than contradicting) the original paligenosis literature, in which the process is triggered by tissue-level injury (chemical metaplasia, integrin-dependent impairment of hepatocyte proliferation) rather than by autonomous damage to a single cell — but this condition remains a background assumption there rather than an explicitly tested principle.</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an isolated cell in culture, without contact with injured tissue or neighboring cells, initiates the full three-stage paligenosis program solely in response to its own internal damage, the hypothesis is false.</w:t>
      </w:r>
    </w:p>
    <w:p>
      <w:pPr>
        <w:pStyle w:val="Heading1"/>
        <w:spacing w:after="200" w:before="300"/>
      </w:pPr>
      <w:r>
        <w:rPr>
          <w:rFonts w:ascii="Times New Roman" w:cs="Times New Roman" w:eastAsia="Times New Roman" w:hAnsi="Times New Roman"/>
          <w:b/>
          <w:bCs/>
          <w:i w:val="false"/>
          <w:iCs w:val="false"/>
          <w:sz w:val="27"/>
          <w:szCs w:val="27"/>
        </w:rPr>
        <w:t xml:space="preserve">6. Immune safety of the transition: two independent physical mechanisms</w:t>
      </w:r>
    </w:p>
    <w:p>
      <w:pPr>
        <w:pStyle w:val="Heading2"/>
        <w:spacing w:after="130" w:before="220"/>
      </w:pPr>
      <w:r>
        <w:rPr>
          <w:rFonts w:ascii="Times New Roman" w:cs="Times New Roman" w:eastAsia="Times New Roman" w:hAnsi="Times New Roman"/>
          <w:b/>
          <w:bCs/>
          <w:i w:val="false"/>
          <w:iCs w:val="false"/>
          <w:sz w:val="24"/>
          <w:szCs w:val="24"/>
        </w:rPr>
        <w:t xml:space="preserve">6.1. First mechanism — quantitative: immunological ignorance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small number of antigen-bearing cells that fails to reach the draining lymph nodes induces neither tolerance nor rejection — it is immunologically ignored (“sneaking through”).</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val="false"/>
          <w:bCs w:val="false"/>
          <w:i w:val="false"/>
          <w:iCs w:val="false"/>
          <w:sz w:val="24"/>
          <w:szCs w:val="24"/>
        </w:rPr>
        <w:t xml:space="preserve">Kurts et al. independently showed that CD8+ T-cell ignorance versus tolerance toward islet antigens depends on antigen dose: at low concentrations, the T-cell compartment remains ignorant; only above a threshold concentration does cross-presentation occur, leading to deletional tolerance. This is a dose-dependent threshold effect, not qualitative self/non-self discrimination.</w:t>
      </w:r>
      <w:r>
        <w:rPr>
          <w:rFonts w:ascii="Times New Roman" w:cs="Times New Roman" w:eastAsia="Times New Roman" w:hAnsi="Times New Roman"/>
          <w:b w:val="false"/>
          <w:bCs w:val="false"/>
          <w:i w:val="false"/>
          <w:iCs w:val="false"/>
          <w:sz w:val="24"/>
          <w:szCs w:val="24"/>
          <w:vertAlign w:val="superscript"/>
        </w:rPr>
        <w:t xml:space="preserve">[4]</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the same logic already fixed in the framework as the “geometric defense of rarity” for disseminated tumor cells — low probability of encountering a T cell due to spatial dispersion. Here the same principle is transferred to temporal and quantitative dispersion: the number of cells simultaneously in transit is small, and this is precisely why the reverse staircase of differentiation remains safe.</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reverse staircase of differentiation is immunologically safe as long as the mass of simultaneously transitioning cells remains below the threshold of immunological ignorance; synchronous, large-scale paligenosis should exceed this threshold and trigger a full immune response.</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the scale of the transition does not affect the immune response — that is, large-scale synchronous paligenosis goes as unnoticed as isolated cases — the hypothesis is false.</w:t>
      </w:r>
    </w:p>
    <w:p>
      <w:pPr>
        <w:spacing w:after="160" w:line="276"/>
        <w:jc w:val="both"/>
      </w:pPr>
      <w:r>
        <w:rPr>
          <w:rFonts w:ascii="Times New Roman" w:cs="Times New Roman" w:eastAsia="Times New Roman" w:hAnsi="Times New Roman"/>
          <w:b/>
          <w:bCs/>
          <w:i w:val="false"/>
          <w:iCs w:val="false"/>
          <w:sz w:val="24"/>
          <w:szCs w:val="24"/>
        </w:rPr>
        <w:t xml:space="preserve">Open corollary: </w:t>
      </w:r>
      <w:r>
        <w:rPr>
          <w:rFonts w:ascii="Times New Roman" w:cs="Times New Roman" w:eastAsia="Times New Roman" w:hAnsi="Times New Roman"/>
          <w:b w:val="false"/>
          <w:bCs w:val="false"/>
          <w:i w:val="false"/>
          <w:iCs w:val="false"/>
          <w:sz w:val="24"/>
          <w:szCs w:val="24"/>
        </w:rPr>
        <w:t xml:space="preserve">the already-documented requirement that paligenosis “must resolve within a few days” (otherwise the risk of dysplasia rises) may have not only an oncogenic but also an immunological explanation — the duration of the transit state may be constrained also by the risk of exceeding the ignorance threshold.</w:t>
      </w:r>
    </w:p>
    <w:p>
      <w:pPr>
        <w:pStyle w:val="Heading2"/>
        <w:spacing w:after="130" w:before="220"/>
      </w:pPr>
      <w:r>
        <w:rPr>
          <w:rFonts w:ascii="Times New Roman" w:cs="Times New Roman" w:eastAsia="Times New Roman" w:hAnsi="Times New Roman"/>
          <w:b/>
          <w:bCs/>
          <w:i w:val="false"/>
          <w:iCs w:val="false"/>
          <w:sz w:val="24"/>
          <w:szCs w:val="24"/>
        </w:rPr>
        <w:t xml:space="preserve">6.2. Second mechanism — structural: ECM density as a dynamic barrier</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dense, collagen-crosslinked extracellular matrix mechanically excludes T cells, NK cells, and macrophages from tissue — a documented physical barrier qualitatively distinct from receptor-based masking: protection here lies not in the target's unrecognizability but in the physical inaccessibility of the territory itself. Interfering with collagen crosslinking (inhibiting lysyl oxidase) reduces tumor stiffness and measurably improves T-cell migration and anti-PD-1 efficacy.</w:t>
      </w:r>
      <w:r>
        <w:rPr>
          <w:rFonts w:ascii="Times New Roman" w:cs="Times New Roman" w:eastAsia="Times New Roman" w:hAnsi="Times New Roman"/>
          <w:b w:val="false"/>
          <w:bCs w:val="false"/>
          <w:i w:val="false"/>
          <w:iCs w:val="false"/>
          <w:sz w:val="24"/>
          <w:szCs w:val="24"/>
          <w:vertAlign w:val="superscript"/>
        </w:rPr>
        <w:t xml:space="preserve">[5]</w:t>
      </w:r>
    </w:p>
    <w:p>
      <w:pPr>
        <w:spacing w:after="160" w:line="276"/>
        <w:jc w:val="both"/>
      </w:pPr>
      <w:r>
        <w:rPr>
          <w:rFonts w:ascii="Times New Roman" w:cs="Times New Roman" w:eastAsia="Times New Roman" w:hAnsi="Times New Roman"/>
          <w:b w:val="false"/>
          <w:bCs w:val="false"/>
          <w:i w:val="false"/>
          <w:iCs w:val="false"/>
          <w:sz w:val="24"/>
          <w:szCs w:val="24"/>
        </w:rPr>
        <w:t xml:space="preserve">Inflammation remodels this barrier: pro-inflammatory cytokines and matrix metalloproteinases (MMPs), released specifically in the course of inflammation, degrade the dense matrix and open access.</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this is a micro-scale, dynamic version of the barrier sequestration already described in Article 1, Section 3 (blood–testis barrier, etc.) — except that here the barrier is not a fixed anatomical structure but a local one, modulated by inflammation. This yields a second physical variable, independent of clearance efficiency (Article 1, Section 6), determining whether an antigen remains silent: not only “was the debris cleared in time” but also “was the territory ever physically reachable by an immune cell.”</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paligenosis is safe specifically within dense ECM in the absence of inflammation; under inflammation, loosening of the matrix renders previously inaccessible progenitor-like/“embryonic” cells accessible to the immune system — which would explain the simultaneous appearance of such cells in tissue and of antibodies against them in blood.</w:t>
      </w:r>
    </w:p>
    <w:p>
      <w:pPr>
        <w:spacing w:after="160" w:line="276"/>
        <w:jc w:val="both"/>
      </w:pPr>
      <w:r>
        <w:rPr>
          <w:rFonts w:ascii="Times New Roman" w:cs="Times New Roman" w:eastAsia="Times New Roman" w:hAnsi="Times New Roman"/>
          <w:b/>
          <w:bCs/>
          <w:i w:val="false"/>
          <w:iCs w:val="false"/>
          <w:sz w:val="24"/>
          <w:szCs w:val="24"/>
        </w:rPr>
        <w:t xml:space="preserve">[Established (corroborating observation)] </w:t>
      </w:r>
      <w:r>
        <w:rPr>
          <w:rFonts w:ascii="Times New Roman" w:cs="Times New Roman" w:eastAsia="Times New Roman" w:hAnsi="Times New Roman"/>
          <w:b w:val="false"/>
          <w:bCs w:val="false"/>
          <w:i w:val="false"/>
          <w:iCs w:val="false"/>
          <w:sz w:val="24"/>
          <w:szCs w:val="24"/>
        </w:rPr>
        <w:t xml:space="preserve">glucocorticoids are established inhibitors of MMP synthesis via nuclear receptor mechanisms (including induction of TIMPs, which complex with and inactivate MMPs); in Crohn's disease, the MMP/TIMP expression profile in tissue changes after immunosuppressive treatment (including corticosteroids), and this change correlates with histological improvement.</w:t>
      </w:r>
      <w:r>
        <w:rPr>
          <w:rFonts w:ascii="Times New Roman" w:cs="Times New Roman" w:eastAsia="Times New Roman" w:hAnsi="Times New Roman"/>
          <w:b w:val="false"/>
          <w:bCs w:val="false"/>
          <w:i w:val="false"/>
          <w:iCs w:val="false"/>
          <w:sz w:val="24"/>
          <w:szCs w:val="24"/>
          <w:vertAlign w:val="superscript"/>
        </w:rPr>
        <w:t xml:space="preserve">[6,7]</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this gives corticosteroids a second mechanism of action in autoimmune processes, alongside classical immunosuppression: by suppressing MMPs, they may restore ECM density, mechanically closing the barrier again — not only quieting immune cells directly, but also denying them physical access to the tissue.</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corticosteroid efficacy does not correlate with restoration of collagen density/crosslinking in tissue independent of any reduction in autoantibody titer or infiltrating lymphocyte counts, the barrier-restoring mechanism is false, and the effect should be attributed entirely to direct immunosuppression.</w:t>
      </w:r>
    </w:p>
    <w:p>
      <w:pPr>
        <w:pStyle w:val="Heading1"/>
        <w:spacing w:after="200" w:before="300"/>
      </w:pPr>
      <w:r>
        <w:rPr>
          <w:rFonts w:ascii="Times New Roman" w:cs="Times New Roman" w:eastAsia="Times New Roman" w:hAnsi="Times New Roman"/>
          <w:b/>
          <w:bCs/>
          <w:i w:val="false"/>
          <w:iCs w:val="false"/>
          <w:sz w:val="27"/>
          <w:szCs w:val="27"/>
        </w:rPr>
        <w:t xml:space="preserve">Summary table: two mechanisms of immune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6"/>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Quantitative (§6.1)</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Structural (§6.2)</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Established basis</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Immunological ignorance — antigen dose/scale threshold (Ochsenbein 1999; Kurts 1999)</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Dense ECM as mechanical barrier to immune cell migration (Nicolas-Boluda 2021)</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What varies</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Number of cells transitioning simultaneously</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Matrix density/crosslinking, modulated by inflammation via MMPs</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Framework link</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Same logic as the geometric “Fermi paradox” defense for disseminated tumor cells (spatial → temporal/quantitative dispersion)</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Micro-scale, dynamic version of anatomical barrier sequestration (Article 1, §3)</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Independent prediction</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Duration limit on paligenosis may reflect an ignorance-threshold risk, not only mutation accumulation</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Corticosteroid efficacy may partly reflect MMP suppression / ECM restoration, not only direct immunosuppression</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7"/>
          <w:szCs w:val="27"/>
        </w:rPr>
        <w:t xml:space="preserve">7.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Paligenosis gives the Active/Dormant/Differentiated architecture a physiological grounding for treating Dormant as a transit state rather than a cell type, and directly engages the mTORC1 node already central to the framework. The direct/lateral lineage distinction resolves the question of exit direction. Section 4.1 shows that Dormant itself is not one category: tissue reserve cells and memory T cells occupy structurally different subtypes of dormancy, distinguished by what is being protected (multipotency versus fixed-fate readiness) and defended by opposite metabolic strategies — a distinction offered with an explicit caveat about the contested state of the underlying immunological literature. The clarification of the tissue-level, intercellular nature of the paligenosis trigger sharpens a condition that the literature otherwise leaves as background assumption. The safety of the tissue-level transition is explained not by one but by two independent physical mechanisms — quantitative (scale below the threshold of immunological ignorance) and structural (mechanical inaccessibility of dense ECM, dynamically modulated by inflammation) — the second of which yields an unexpected, independently testable prediction about the partial mechanism of action of corticosteroids.</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interpretation / Framework hypothesis correspond to the claim-marking system adopted for the whole framework starting with Framework 1.4.</w:t>
      </w:r>
    </w:p>
    <w:p>
      <w:pPr>
        <w:pStyle w:val="Heading1"/>
        <w:spacing w:after="200" w:before="300"/>
      </w:pPr>
      <w:r>
        <w:rPr>
          <w:rFonts w:ascii="Times New Roman" w:cs="Times New Roman" w:eastAsia="Times New Roman" w:hAnsi="Times New Roman"/>
          <w:b/>
          <w:bCs/>
          <w:i w:val="false"/>
          <w:iCs w:val="false"/>
          <w:sz w:val="27"/>
          <w:szCs w:val="27"/>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Willet SG, Lewis MA, Miao ZF, Liu D, Radyk MD, Cunningham RL, Burclaff J, Sibbel G, Lo HYG, Blanc V, Davidson NO, Wang ZN, Mills JC. Regenerative proliferation of differentiated cells by mTORC1-dependent paligenosis. EMBO J. 2018;37(7):e98311. doi:10.15252/embj.201798311.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Raven A, Lu WY, Man TY, Ferreira-Gonzalez S, O'Duibhir E, Dwyer BJ, Thomson JP, Meehan RR, Bogorad R, Koteliansky V, Kotelevtsev Y, Ffrench-Constant C, Boulter L, Forbes SJ. Cholangiocytes act as facultative liver stem cells during impaired hepatocyte regeneration. Nature. 2017;547(7663):350–354. doi:10.1038/nature23015.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Ochsenbein AF, Sierro S, Odermatt B, Pericin M, Karrer U, Hermans J, Hemmi S, Hengartner H, Zinkernagel RM. Immune surveillance against a solid tumor fails because of immunological ignorance. Proc Natl Acad Sci USA. 1999;96(5):2233–2238. doi:10.1073/pnas.96.5.2233.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Kurts C, Sutherland RM, Davey G, Li M, Lew AM, Blanas E, Carbone FR, Miller JFAP, Heath WR. CD8 T cell ignorance or tolerance to islet antigens depends on antigen dose. Proc Natl Acad Sci USA. 1999;96(22):12703–12707. doi:10.1073/pnas.96.22.12703.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Nicolas-Boluda A, Vaquero J, Vimeux L, Guilbert T, Barrin S, Kantari-Mimoun C, Ponzo M, Renault G, Deptula P, Pogoda K, Bucki R, Cascone I, Courty J, Fouassier L, Gazeau F, Donnadieu E. Tumor stiffening reversion through collagen crosslinking inhibition improves T cell migration and anti-PD-1 treatment. eLife. 2021;10:e58688. doi:10.7554/eLife.58688.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Schroen DJ, Brinckerhoff CE. Nuclear hormone receptors inhibit matrix metalloproteinase (MMP) gene expression through diverse mechanisms. Gene Expr. 1996;6(4):197–207.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Mäkitalo L, Sipponen T, Kärkkäinen P, Kolho KL, Saarialho-Kere U. Changes in matrix metalloproteinase (MMP) and tissue inhibitors of metalloproteinases (TIMP) expression profile in Crohn's disease after immunosuppressive treatment correlate with histological score and calprotectin values. Int J Colorectal Dis. 2009;24(10):1157–1167. doi:10.1007/s00384-009-0756-5.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van der Windt GJW, Everts B, Chang CH, Curtis JD, Freitas TC, Amiel E, Pearce EJ, Pearce EL. Mitochondrial respiratory capacity is a critical regulator of CD8+ T cell memory development. Immunity. 2012;36(1):68–78. doi:10.1016/j.immuni.2011.12.007.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van der Windt GJW, O'Sullivan D, Everts B, Huang SC, Buck MD, Curtis JD, Chang CH, Smith AM, Ai T, Faubert B, Jones RG, Pearce EJ, Pearce EL. CD8 memory T cells have a bioenergetic advantage that underlies their rapid recall ability. Proc Natl Acad Sci USA. 2013;110(35):14336–14341.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Phan AT, Doedens AL, Palazon A, Tyrakis PA, Cheung KP, Johnson RS, Goldrath AW. Constitutive glycolytic metabolism supports CD8+ T cell effector memory differentiation during viral infection. Immunity. 2016;45(5):1024–1037. doi:10.1016/j.immuni.2016.10.017. See also: Metabolic characteristics of CD8+ T cell subsets in young and aged individuals are not predictive of functionality. Nat Commun. 2020 (virtual memory T cell SRC confound).</w:t>
      </w:r>
    </w:p>
    <w:p>
      <w:r>
        <w:br w:type="page"/>
      </w:r>
    </w:p>
    <w:p>
      <w:pPr>
        <w:spacing w:after="400"/>
        <w:jc w:val="center"/>
      </w:pPr>
      <w:r>
        <w:rPr>
          <w:rFonts w:ascii="Times New Roman" w:cs="Times New Roman" w:eastAsia="Times New Roman" w:hAnsi="Times New Roman"/>
          <w:b/>
          <w:bCs/>
          <w:i w:val="false"/>
          <w:iCs w:val="false"/>
          <w:sz w:val="24"/>
          <w:szCs w:val="24"/>
        </w:rPr>
        <w:t xml:space="preserve">The Senescent Cell: Closing Branches of the Differentiation Tree, Genomic Desynchronization, and a Source of Oncofetal Reprogramming</w:t>
      </w:r>
    </w:p>
    <w:p>
      <w:pPr>
        <w:pStyle w:val="Heading1"/>
        <w:spacing w:after="200" w:before="300"/>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This article treats the senescent cell not as a terminal breakdown but as a node of the differentiation tree where the path to a stable state is blocked. Before addressing mechanism, the article establishes function: senescence exists primarily as a damage-containment and tumor-suppressive mechanism, converting a potentially dangerous proliferating or damaged cell into a quarantined, immune-recruiting signal beacon rather than killing it outright, with a second, temporally regulated role in wound healing. The differentiation tree replaces linear hierarchy: a cell at any level can move upward, downward, or laterally (the lateral lineage already introduced in Article 2 via the hepatocyte↔cholangiocyte case), and the fate of a lateral branch after its temporary function is complete is proposed here as the physiological prototype of senescence. Senescence is positioned as a third, functionally distinct category alongside the two Dormant subtypes established in Article 2 — unlike either, it forecloses rather than preserves a future. The article also examines how a senescent cell protects itself from death (apoptosis blockade, immune masking, including a T-cell-specific example), what happens when that defense is forced open, and how this differs from the tissue-level trigger established for paligenosis. Desynchronization between the nuclear and mitochondrial genomes is proposed as one candidate mechanism explaining why a temporary arrest sometimes fails to resolve and becomes permanent. Finally, a stably blocked branch is considered as a possible source of reverse branching — oncofetal reprogramming.</w:t>
      </w:r>
    </w:p>
    <w:p>
      <w:pPr>
        <w:pStyle w:val="Heading1"/>
        <w:spacing w:after="200" w:before="300"/>
      </w:pPr>
      <w:r>
        <w:rPr>
          <w:rFonts w:ascii="Times New Roman" w:cs="Times New Roman" w:eastAsia="Times New Roman" w:hAnsi="Times New Roman"/>
          <w:b/>
          <w:bCs/>
          <w:i w:val="false"/>
          <w:iCs w:val="false"/>
          <w:sz w:val="26"/>
          <w:szCs w:val="26"/>
        </w:rPr>
        <w:t xml:space="preserve">0. Established: why senescence exists — function before mechanism</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cellular senescence functions primarily as a tumor-suppressive mechanism, restraining the proliferation of cells at risk of malignant transformation. Rather than being eliminated outright, a damaged or oncogenically stressed cell is converted into a stable, non-dividing but metabolically active state; its senescence-associated secretory phenotype (SASP) then recruits NK cells, macrophages, and T cells to clear it, generating both innate and adaptive anti-tumor immune responses.</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second, independently documented function is tissue repair: senescent fibroblasts contribute to wound healing, with the SASP temporally regulated by Notch signaling — an initial fibrogenic phase (promoting matrix deposition) followed by a fibrolytic phase (promoting its resolution). The same set of secreted factors that support tumor suppression is repurposed, on a different timescale, for tissue remodeling.</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gives senescence a function that neither Active, Dormant, nor Differentiated possesses in this architecture: a cell abandons its own future (unlike Dormant, which preserves one) in order to become a temporary, paracrine signaling hub whose purpose is to recruit its own clearance. If clearance occurs promptly, the outcome is protective; if not, the same persistent, metabolically active, immune-evasive state becomes the pathological chronic senescence addressed in the rest of this article.</w:t>
      </w:r>
    </w:p>
    <w:p>
      <w:pPr>
        <w:pStyle w:val="Heading1"/>
        <w:spacing w:after="200" w:before="300"/>
      </w:pPr>
      <w:r>
        <w:rPr>
          <w:rFonts w:ascii="Times New Roman" w:cs="Times New Roman" w:eastAsia="Times New Roman" w:hAnsi="Times New Roman"/>
          <w:b/>
          <w:bCs/>
          <w:i w:val="false"/>
          <w:iCs w:val="false"/>
          <w:sz w:val="26"/>
          <w:szCs w:val="26"/>
        </w:rPr>
        <w:t xml:space="preserve">1. A developmental tree in place of linear hierarchy</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the architecture of cell fate is more accurately described not as a unidirectional pyramid but as a branching tree, in which a cell at any given level of differentiation may move in three directions: upward (further differentiation), downward (dedifferentiation), or laterally (transdifferentiation within the same level). Upon upward movement, a branch point may occur, and one of the resulting paths may prove to be a dead end.</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dead-end status is defined not by the cell's proliferative status but by blockage of the path itself to a stable node of the tree. A cell that continues to divide actively but cannot complete its trajectory to a stable terminal state is a dead end, even while proliferating. This yields two independent parameters: proliferative status (dividing / non-dividing / senescent) and branch status (open / blocked).</w:t>
      </w:r>
    </w:p>
    <w:p>
      <w:pPr>
        <w:spacing w:after="160" w:line="276"/>
        <w:jc w:val="both"/>
      </w:pPr>
      <w:r>
        <w:rPr>
          <w:rFonts w:ascii="Times New Roman" w:cs="Times New Roman" w:eastAsia="Times New Roman" w:hAnsi="Times New Roman"/>
          <w:b/>
          <w:bCs/>
          <w:i w:val="false"/>
          <w:iCs w:val="false"/>
          <w:sz w:val="24"/>
          <w:szCs w:val="24"/>
        </w:rPr>
        <w:t xml:space="preserve">[Established, illustrative example] </w:t>
      </w:r>
      <w:r>
        <w:rPr>
          <w:rFonts w:ascii="Times New Roman" w:cs="Times New Roman" w:eastAsia="Times New Roman" w:hAnsi="Times New Roman"/>
          <w:b w:val="false"/>
          <w:bCs w:val="false"/>
          <w:i w:val="false"/>
          <w:iCs w:val="false"/>
          <w:sz w:val="24"/>
          <w:szCs w:val="24"/>
        </w:rPr>
        <w:t xml:space="preserve">leukemic blasts in acute myeloid leukemia divide actively but do not complete the path to a mature myeloid cell — a pure dead end by this definition, regardless of proliferative status. Mathematical modeling has shown that a complete differentiation block is not required — a small quantitative skew in the differentiation rate suffices. The true causal population is the leukemic stem cell (LSC), positioned higher in the hierarchy and difficult to detect; the accumulated blasts are a visible, readily measurable marker, not the cause itself.</w:t>
      </w:r>
      <w:r>
        <w:rPr>
          <w:rFonts w:ascii="Times New Roman" w:cs="Times New Roman" w:eastAsia="Times New Roman" w:hAnsi="Times New Roman"/>
          <w:b w:val="false"/>
          <w:bCs w:val="false"/>
          <w:i w:val="false"/>
          <w:iCs w:val="false"/>
          <w:sz w:val="24"/>
          <w:szCs w:val="24"/>
          <w:vertAlign w:val="superscript"/>
        </w:rPr>
        <w:t xml:space="preserve">[4,5]</w:t>
      </w:r>
    </w:p>
    <w:p>
      <w:pPr>
        <w:pStyle w:val="Heading1"/>
        <w:spacing w:after="200" w:before="300"/>
      </w:pPr>
      <w:r>
        <w:rPr>
          <w:rFonts w:ascii="Times New Roman" w:cs="Times New Roman" w:eastAsia="Times New Roman" w:hAnsi="Times New Roman"/>
          <w:b/>
          <w:bCs/>
          <w:i w:val="false"/>
          <w:iCs w:val="false"/>
          <w:sz w:val="26"/>
          <w:szCs w:val="26"/>
        </w:rPr>
        <w:t xml:space="preserve">2. Framework hypothesis: senescence as physiological closure of a lateral branch after use</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beyond the pathological dead end (blocked without ever completing a function, as above), a second, physiological type of closed branch should be distinguished: a cell that has traveled a lateral path (Article 2 — e.g., a cholangiocyte that temporarily became a hepatocyte during liver regeneration), once the need for that temporary function has passed, may not simply return via the Dormant hub — it may instead be permanently closed through senescence, preventing inappropriate reuse of the same lateral path.</w:t>
      </w:r>
    </w:p>
    <w:p>
      <w:pPr>
        <w:spacing w:after="160" w:line="276"/>
        <w:jc w:val="both"/>
      </w:pPr>
      <w:r>
        <w:rPr>
          <w:rFonts w:ascii="Times New Roman" w:cs="Times New Roman" w:eastAsia="Times New Roman" w:hAnsi="Times New Roman"/>
          <w:b w:val="false"/>
          <w:bCs w:val="false"/>
          <w:i w:val="false"/>
          <w:iCs w:val="false"/>
          <w:sz w:val="24"/>
          <w:szCs w:val="24"/>
        </w:rPr>
        <w:t xml:space="preserve">This distinguishes two fundamentally different “dead ends” in the tree: a pathological dead end, where the path is blocked before completing any function (the leukemic blast); and a physiological dead end, where the path has successfully served a temporary lateral function and is deliberately closed afterward (the proposed role of senescence here).</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cells that have undergone a lateral differentiation transition and subsequently become senescent are molecularly indistinguishable from senescent cells with no prior lateral transition, the distinction between “physiological closure of a spent branch” and “random/pathological senescent arrest” is false, and senescence should be treated as a single, origin-independent state.</w:t>
      </w:r>
    </w:p>
    <w:p>
      <w:pPr>
        <w:pStyle w:val="Heading1"/>
        <w:spacing w:after="200" w:before="300"/>
      </w:pPr>
      <w:r>
        <w:rPr>
          <w:rFonts w:ascii="Times New Roman" w:cs="Times New Roman" w:eastAsia="Times New Roman" w:hAnsi="Times New Roman"/>
          <w:b/>
          <w:bCs/>
          <w:i w:val="false"/>
          <w:iCs w:val="false"/>
          <w:sz w:val="26"/>
          <w:szCs w:val="26"/>
        </w:rPr>
        <w:t xml:space="preserve">2.1. Framework interpretation: senescence as a third category alongside the two Dormant subtypes</w:t>
      </w:r>
    </w:p>
    <w:p>
      <w:pPr>
        <w:spacing w:after="160" w:line="276"/>
        <w:jc w:val="both"/>
      </w:pPr>
      <w:r>
        <w:rPr>
          <w:rFonts w:ascii="Times New Roman" w:cs="Times New Roman" w:eastAsia="Times New Roman" w:hAnsi="Times New Roman"/>
          <w:b w:val="false"/>
          <w:bCs w:val="false"/>
          <w:i w:val="false"/>
          <w:iCs w:val="false"/>
          <w:sz w:val="24"/>
          <w:szCs w:val="24"/>
        </w:rPr>
        <w:t xml:space="preserve">Article 2 (Section 4.1) distinguished two functionally distinct subtypes of Dormant: potential-reserve (tissue stem/reserve cells, protecting multipotency via low-ROS glycolysis) and readiness-reserve (memory T cells, protecting rapid fixed-fate reactivation via mitochondrial spare respiratory capacity). Senescence does not fit either.</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both Dormant subtypes preserve a future for the cell — either open (multipotent) or fixed (reactivatable). Senescence forecloses the cell's future deliberately: the cell is not being kept in reserve for anything; it is being held in place, metabolically active, specifically so that it can be found and removed, or so that it can perform a bounded, time-limited signaling function (Section 0) before removal. This makes senescence a third, functionally distinct category in this architecture — not a variant of Dormant, but its structural opposite in terms of what is being done with the cell's remaining time.</w:t>
      </w:r>
    </w:p>
    <w:p>
      <w:pPr>
        <w:pStyle w:val="Heading1"/>
        <w:spacing w:after="200" w:before="300"/>
      </w:pPr>
      <w:r>
        <w:rPr>
          <w:rFonts w:ascii="Times New Roman" w:cs="Times New Roman" w:eastAsia="Times New Roman" w:hAnsi="Times New Roman"/>
          <w:b/>
          <w:bCs/>
          <w:i w:val="false"/>
          <w:iCs w:val="false"/>
          <w:sz w:val="26"/>
          <w:szCs w:val="26"/>
        </w:rPr>
        <w:t xml:space="preserve">Summary table: potential-reserve, readiness-reserve, and senescent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06"/>
      </w:tblGrid>
      <w:tr>
        <w:trPr>
          <w:tblHeader/>
        </w:trPr>
        <w:tc>
          <w:tcPr>
            <w:tcW w:type="dxa" w:w="2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Potential-reserve Dormant</w:t>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Readiness-reserve Dormant</w:t>
            </w:r>
          </w:p>
        </w:tc>
        <w:tc>
          <w:tcPr>
            <w:tcW w:type="dxa" w:w="25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Senescent</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Example</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Tissue stem/reserve cells</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CD8+ memory T cells</w:t>
            </w:r>
          </w:p>
        </w:tc>
        <w:tc>
          <w:tcPr>
            <w:tcW w:type="dxa" w:w="2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Damaged/oncogene-stressed cells; terminally exhausted T cells</w:t>
            </w:r>
          </w:p>
        </w:tc>
      </w:tr>
      <w:tr>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Future preserved?</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Yes — multipotency for diverse progeny</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Yes — fixed-fate rapid reactivation</w:t>
            </w:r>
          </w:p>
        </w:tc>
        <w:tc>
          <w:tcPr>
            <w:tcW w:type="dxa" w:w="25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No — future deliberately foreclosed</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Metabolic signature</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Low-ROS glycolysis (BGR)</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OXPHOS/FAO, spare respiratory capacity</w:t>
            </w:r>
          </w:p>
        </w:tc>
        <w:tc>
          <w:tcPr>
            <w:tcW w:type="dxa" w:w="2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High but disordered total expenditure (“agony”), not a clean fuel choice</w:t>
            </w:r>
          </w:p>
        </w:tc>
      </w:tr>
      <w:tr>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Immune shield</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MHC-I/UPR↓, CD200/STING, etc.</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Not addressed in this framework yet</w:t>
            </w:r>
          </w:p>
        </w:tc>
        <w:tc>
          <w:tcPr>
            <w:tcW w:type="dxa" w:w="25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PD-L1 upregulation</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Function</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Reserve for future tissue need</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Reserve for future antigen re-encounter</w:t>
            </w:r>
          </w:p>
        </w:tc>
        <w:tc>
          <w:tcPr>
            <w:tcW w:type="dxa" w:w="2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Damage containment + immune-recruiting signal beacon</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3. Established: a single modular toolkit, deployed at different nodes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same basic toolkit — the CDK inhibitors p21, p27, p16 and the Rb/E2F axis — is repeatedly reused as an arrest switch across different contexts: quiescence is preferentially p27-mediated and arrests the cell in G1 before the restriction point; senescence is mediated by p16/p21 and can arrest the cell in either G1 or G2. This is not three different mechanisms but a single module deployed at different points along the trajectory.</w:t>
      </w:r>
    </w:p>
    <w:p>
      <w:pPr>
        <w:pStyle w:val="Heading1"/>
        <w:spacing w:after="200" w:before="300"/>
      </w:pPr>
      <w:r>
        <w:rPr>
          <w:rFonts w:ascii="Times New Roman" w:cs="Times New Roman" w:eastAsia="Times New Roman" w:hAnsi="Times New Roman"/>
          <w:b/>
          <w:bCs/>
          <w:i w:val="false"/>
          <w:iCs w:val="false"/>
          <w:sz w:val="26"/>
          <w:szCs w:val="26"/>
        </w:rPr>
        <w:t xml:space="preserve">3.1. Established: senescence has diverse, largely cell-autonomous triggers — a contrast with the tissue-level trigger of paligenosis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documented inducers of cellular senescence include DNA damage, oxidative and mitochondrial stress, telomere attrition, oncogene activation, cell–cell fusion, senescence-induced senescence (paracrine propagation), and developmental stimuli. Most of these — DNA damage, telomere attrition, oncogene activation — are cell-autonomous: a single cell can enter senescence in response to its own internal state, independent of any signal from surrounding tissue.</w:t>
      </w:r>
      <w:r>
        <w:rPr>
          <w:rFonts w:ascii="Times New Roman" w:cs="Times New Roman" w:eastAsia="Times New Roman" w:hAnsi="Times New Roman"/>
          <w:b w:val="false"/>
          <w:bCs w:val="false"/>
          <w:i w:val="false"/>
          <w:iCs w:val="false"/>
          <w:sz w:val="24"/>
          <w:szCs w:val="24"/>
          <w:vertAlign w:val="superscript"/>
        </w:rPr>
        <w:t xml:space="preserve">[6]</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stands in direct contrast to the tissue-level, intercellular trigger established for paligenosis in Article 2 (Section 5), where entry into the Dormant hub requires a signal from the injured tissue as a whole rather than autonomous cellular damage. If senescence (a form of branch closure) is predominantly cell-autonomous while paligenosis (entry into the Dormant hub) is predominantly tissue-level, this is a genuine structural asymmetry between the two mechanisms of branch closure discussed in this series, not merely a difference of degree. Paracrine “senescence-induced senescence” partially narrows this gap — a senescent cell can propagate its state to neighbors — but the initiating event remains typically cell-autonomous, unlike paligenosis.</w:t>
      </w:r>
    </w:p>
    <w:p>
      <w:pPr>
        <w:pStyle w:val="Heading1"/>
        <w:spacing w:after="200" w:before="300"/>
      </w:pPr>
      <w:r>
        <w:rPr>
          <w:rFonts w:ascii="Times New Roman" w:cs="Times New Roman" w:eastAsia="Times New Roman" w:hAnsi="Times New Roman"/>
          <w:b/>
          <w:bCs/>
          <w:i w:val="false"/>
          <w:iCs w:val="false"/>
          <w:sz w:val="26"/>
          <w:szCs w:val="26"/>
        </w:rPr>
        <w:t xml:space="preserve">4. Death of the senescent cell: blocked apoptosis, immune masking, necrosis when defenses are breached</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senescent cells are, by default, resistant to apoptosis — actively protected from both intrinsic and extrinsic pro-apoptotic signals via senescent-cell anti-apoptotic pathways (SCAPs), including MVP-mediated modulation of Bcl-2. This resistance is not universal: the same cardiac glycosides kill senescent A549 cells but not mesenchymal stem cells, which acquire genuine apoptosis resistance upon becoming senescent.</w:t>
      </w:r>
      <w:r>
        <w:rPr>
          <w:rFonts w:ascii="Times New Roman" w:cs="Times New Roman" w:eastAsia="Times New Roman" w:hAnsi="Times New Roman"/>
          <w:b w:val="false"/>
          <w:bCs w:val="false"/>
          <w:i w:val="false"/>
          <w:iCs w:val="false"/>
          <w:sz w:val="24"/>
          <w:szCs w:val="24"/>
          <w:vertAlign w:val="superscript"/>
        </w:rPr>
        <w:t xml:space="preserve">[7,8]</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senescent cells additionally mask themselves from immune surveillance by upregulating PD-L1 — a structural parallel to the CD200/STING masking of dormancy already described elsewhere in Framework 1.4.</w:t>
      </w:r>
      <w:r>
        <w:rPr>
          <w:rFonts w:ascii="Times New Roman" w:cs="Times New Roman" w:eastAsia="Times New Roman" w:hAnsi="Times New Roman"/>
          <w:b w:val="false"/>
          <w:bCs w:val="false"/>
          <w:i w:val="false"/>
          <w:iCs w:val="false"/>
          <w:sz w:val="24"/>
          <w:szCs w:val="24"/>
          <w:vertAlign w:val="superscript"/>
        </w:rPr>
        <w:t xml:space="preserve">[9]</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when this defense is forcibly breached (by a senolytic targeting the B2M antigen), cell death occurs via necrosis rather than apoptosis — direct confirmation that when the apoptotic program has been pre-emptively disabled, forced death is realized through a catastrophic rather than a controlled pathway.</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gives the senescent cell a defense architecture symmetric to the dormant cell's: both rely on immune masking as their primary shield (PD-L1 here, CD200/STING there), and in both cases breaching the mask does not restore normal, controlled death but shifts the cell into a destructive mode.</w:t>
      </w:r>
    </w:p>
    <w:p>
      <w:pPr>
        <w:pStyle w:val="Heading1"/>
        <w:spacing w:after="200" w:before="300"/>
      </w:pPr>
      <w:r>
        <w:rPr>
          <w:rFonts w:ascii="Times New Roman" w:cs="Times New Roman" w:eastAsia="Times New Roman" w:hAnsi="Times New Roman"/>
          <w:b/>
          <w:bCs/>
          <w:i w:val="false"/>
          <w:iCs w:val="false"/>
          <w:sz w:val="26"/>
          <w:szCs w:val="26"/>
        </w:rPr>
        <w:t xml:space="preserve">4.1. Established: T-cell senescence as a concrete, independently named example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“immunosenescence” in T cells is an independently established field with its own markers, largely overlapping with classical cellular senescence: terminally differentiated CD8+ effector memory CD45RA+ (TEMRA) cells and CD57+/KLRG1+ populations accumulate with age, show p16INK4a expression correlating with biological age, reduced proliferative capacity, and a SASP-like inflammatory secretory profile.</w:t>
      </w:r>
      <w:r>
        <w:rPr>
          <w:rFonts w:ascii="Times New Roman" w:cs="Times New Roman" w:eastAsia="Times New Roman" w:hAnsi="Times New Roman"/>
          <w:b w:val="false"/>
          <w:bCs w:val="false"/>
          <w:i w:val="false"/>
          <w:iCs w:val="false"/>
          <w:sz w:val="24"/>
          <w:szCs w:val="24"/>
          <w:vertAlign w:val="superscript"/>
        </w:rPr>
        <w:t xml:space="preserve">[10,11]</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gives the differentiation-tree model (Section 1) a concrete example outside epithelial tissue: terminally differentiated or chronically stimulated T cells represent another instance of branch closure via senescence, directly connecting this article's tree architecture to the immune system itself, independent of the tissue-regeneration examples (liver, stomach) used elsewhere in this series.</w:t>
      </w:r>
    </w:p>
    <w:p>
      <w:pPr>
        <w:pStyle w:val="Heading1"/>
        <w:spacing w:after="200" w:before="300"/>
      </w:pPr>
      <w:r>
        <w:rPr>
          <w:rFonts w:ascii="Times New Roman" w:cs="Times New Roman" w:eastAsia="Times New Roman" w:hAnsi="Times New Roman"/>
          <w:b/>
          <w:bCs/>
          <w:i w:val="false"/>
          <w:iCs w:val="false"/>
          <w:sz w:val="26"/>
          <w:szCs w:val="26"/>
        </w:rPr>
        <w:t xml:space="preserve">5. Framework hypothesis: nuclear–mitochondrial genome desynchronization as a cause of locking a temporary arrest in place</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alongside the already-established mechanism of geroconversion via mTOR desynchronization (arrest without simultaneous mTOR/MEK-MAPK suppression converts a temporary pause into a permanent one), a second, non-exclusive candidate mechanism is proposed: a temporary arrest becomes permanent when a temporal and functional desynchronization arises between the cell's nuclear and mitochondrial genomes — a stoichiometric mitonuclear imbalance in which electron transport chain subunits, encoded by two independent genomes, cease to be produced in coordination. This is established as a conserved mechanism (from C. elegans to mammals) that reduces respiratory efficiency and triggers the mitochondrial unfolded protein response (UPRmt).</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two candidate mechanisms — mTOR desynchronization and inter-genome desynchronization — are not mutually exclusive: they may be two independent routes to the same outcome (locking in the arrest), or one may trigger the other. An electron transport chain assembled from incoordinately produced subunits yields increased electron leakage and ROS — which matches the already-established picture of senescence as a state of high but inefficient total metabolic activity (“agony” in the sense of volume and disorder of resource expenditure, rather than a directional shift toward a specific fuel), rather than a clean shift toward either glycolysis or OXPHOS.</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restoring stoichiometric balance between nuclear- and mitochondrially-encoded electron transport chain subunits does not reduce the likelihood of a temporary arrest locking into permanent senescence (under controlled mTOR status), the hypothesis of genome desynchronization as an independent, contributing mechanism is false, and geroconversion should be explained by mTOR status alone.</w:t>
      </w:r>
    </w:p>
    <w:p>
      <w:pPr>
        <w:pStyle w:val="Heading1"/>
        <w:spacing w:after="200" w:before="300"/>
      </w:pPr>
      <w:r>
        <w:rPr>
          <w:rFonts w:ascii="Times New Roman" w:cs="Times New Roman" w:eastAsia="Times New Roman" w:hAnsi="Times New Roman"/>
          <w:b/>
          <w:bCs/>
          <w:i w:val="false"/>
          <w:iCs w:val="false"/>
          <w:sz w:val="26"/>
          <w:szCs w:val="26"/>
        </w:rPr>
        <w:t xml:space="preserve">6. The dead-end branch as a source of oncofetal reprogramming</w:t>
      </w:r>
    </w:p>
    <w:p>
      <w:pPr>
        <w:spacing w:after="160" w:line="276"/>
        <w:jc w:val="both"/>
      </w:pPr>
      <w:r>
        <w:rPr>
          <w:rFonts w:ascii="Times New Roman" w:cs="Times New Roman" w:eastAsia="Times New Roman" w:hAnsi="Times New Roman"/>
          <w:b/>
          <w:bCs/>
          <w:i w:val="false"/>
          <w:iCs w:val="false"/>
          <w:sz w:val="24"/>
          <w:szCs w:val="24"/>
        </w:rPr>
        <w:t xml:space="preserve">[Framework hypothesis, plausibly one of several mechanisms] </w:t>
      </w:r>
      <w:r>
        <w:rPr>
          <w:rFonts w:ascii="Times New Roman" w:cs="Times New Roman" w:eastAsia="Times New Roman" w:hAnsi="Times New Roman"/>
          <w:b w:val="false"/>
          <w:bCs w:val="false"/>
          <w:i w:val="false"/>
          <w:iCs w:val="false"/>
          <w:sz w:val="24"/>
          <w:szCs w:val="24"/>
        </w:rPr>
        <w:t xml:space="preserve">a dead-end branch of the tree is not an inert, static terminus but a potential source of a new, reverse branching event, generating progeny with a lower, embryonic level of differentiation than the originating cell.</w:t>
      </w:r>
    </w:p>
    <w:p>
      <w:pPr>
        <w:spacing w:after="160" w:line="276"/>
        <w:jc w:val="both"/>
      </w:pPr>
      <w:r>
        <w:rPr>
          <w:rFonts w:ascii="Times New Roman" w:cs="Times New Roman" w:eastAsia="Times New Roman" w:hAnsi="Times New Roman"/>
          <w:b w:val="false"/>
          <w:bCs w:val="false"/>
          <w:i w:val="false"/>
          <w:iCs w:val="false"/>
          <w:sz w:val="24"/>
          <w:szCs w:val="24"/>
        </w:rPr>
        <w:t xml:space="preserve">The most direct illustration is the polyploid giant cancer cell (PGCC), formed by failed mitosis/cytokinesis (a literal dead end of division). PGCC formation is accompanied by activation of senescence; subsequent budding of daughter cells is associated with escape from senescence and activation of embryonic stem cell markers (OCT4, NANOG, SOX2, SSEA1). Spheroids derived from individual PGCCs gave rise to a spectrum of neoplasms, from germ cell tumors to carcinomas of varying malignancy.</w:t>
      </w:r>
      <w:r>
        <w:rPr>
          <w:rFonts w:ascii="Times New Roman" w:cs="Times New Roman" w:eastAsia="Times New Roman" w:hAnsi="Times New Roman"/>
          <w:b w:val="false"/>
          <w:bCs w:val="false"/>
          <w:i w:val="false"/>
          <w:iCs w:val="false"/>
          <w:sz w:val="24"/>
          <w:szCs w:val="24"/>
          <w:vertAlign w:val="superscript"/>
        </w:rPr>
        <w:t xml:space="preserve">[13]</w:t>
      </w:r>
    </w:p>
    <w:p>
      <w:pPr>
        <w:spacing w:after="160" w:line="276"/>
        <w:jc w:val="both"/>
      </w:pPr>
      <w:r>
        <w:rPr>
          <w:rFonts w:ascii="Times New Roman" w:cs="Times New Roman" w:eastAsia="Times New Roman" w:hAnsi="Times New Roman"/>
          <w:b w:val="false"/>
          <w:bCs w:val="false"/>
          <w:i w:val="false"/>
          <w:iCs w:val="false"/>
          <w:sz w:val="24"/>
          <w:szCs w:val="24"/>
        </w:rPr>
        <w:t xml:space="preserve">A more general mechanism is oncofetal reprogramming: reactivation of gene programs normally expressed only during embryogenesis and thereafter permanently silenced (Wnt/β-catenin, Notch, Hedgehog, TGF-β). A specific molecular switch has been documented for the gene LIN28B: normally repressed by the transcription factor SOX6 during the fetal-to-adult erythropoietic transition; aberrant reactivation in adult tissue confers a fetal-like phenotype with active self-renewal. Separately, epithelial-mesenchymal transition (EMT) is formalized as a mechanism of partial dedifferentiation that, in normal development, overcomes developmental barriers, and, when aberrantly activated in tumors, confers stem-like attributes on the cell.</w:t>
      </w:r>
      <w:r>
        <w:rPr>
          <w:rFonts w:ascii="Times New Roman" w:cs="Times New Roman" w:eastAsia="Times New Roman" w:hAnsi="Times New Roman"/>
          <w:b w:val="false"/>
          <w:bCs w:val="false"/>
          <w:i w:val="false"/>
          <w:iCs w:val="false"/>
          <w:sz w:val="24"/>
          <w:szCs w:val="24"/>
          <w:vertAlign w:val="superscript"/>
        </w:rPr>
        <w:t xml:space="preserve">[14,15]</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an important distinction: cancer stem cells (functionally defined by the capacity for self-renewal and tumor initiation) and oncofetal reprogramming (a broader transcriptional-epigenetic phenomenon occurring both within and outside the CSC population) are related but not identical categories and should not be conflated.</w:t>
      </w:r>
    </w:p>
    <w:p>
      <w:pPr>
        <w:pStyle w:val="Heading1"/>
        <w:spacing w:after="200" w:before="300"/>
      </w:pPr>
      <w:r>
        <w:rPr>
          <w:rFonts w:ascii="Times New Roman" w:cs="Times New Roman" w:eastAsia="Times New Roman" w:hAnsi="Times New Roman"/>
          <w:b/>
          <w:bCs/>
          <w:i w:val="false"/>
          <w:iCs w:val="false"/>
          <w:sz w:val="26"/>
          <w:szCs w:val="26"/>
        </w:rPr>
        <w:t xml:space="preserve">6.1. Cross-reference: this article's scope excludes programmed embryonic senescence</w:t>
      </w:r>
    </w:p>
    <w:p>
      <w:pPr>
        <w:spacing w:after="160" w:line="276"/>
        <w:jc w:val="both"/>
      </w:pPr>
      <w:r>
        <w:rPr>
          <w:rFonts w:ascii="Times New Roman" w:cs="Times New Roman" w:eastAsia="Times New Roman" w:hAnsi="Times New Roman"/>
          <w:b w:val="false"/>
          <w:bCs w:val="false"/>
          <w:i w:val="false"/>
          <w:iCs w:val="false"/>
          <w:sz w:val="24"/>
          <w:szCs w:val="24"/>
        </w:rPr>
        <w:t xml:space="preserve">Article 1 (Section 4.1) established that the balance of the three cellular states as the basis of organismal self-maintenance applies specifically to the adult organism, with programmed embryonic senescence (mesonephros, the endolymphatic sac, neural tube closure, limb patterning) treated as a documented, structurally distinct exception — a self-limiting, clearance-completed developmental function rather than a branch-closure event of the kind discussed in this article. Everything in this article — physiological lateral-branch closure (Section 2), pathological dead ends, and genome desynchronization (Section 5) — concerns adult, post-developmental senescence; the embryonic case is not claimed to share the same triggers or mechanisms and is excluded from the scope of the hypotheses presented here.</w:t>
      </w:r>
    </w:p>
    <w:p>
      <w:pPr>
        <w:pStyle w:val="Heading1"/>
        <w:spacing w:after="200" w:before="300"/>
      </w:pPr>
      <w:r>
        <w:rPr>
          <w:rFonts w:ascii="Times New Roman" w:cs="Times New Roman" w:eastAsia="Times New Roman" w:hAnsi="Times New Roman"/>
          <w:b/>
          <w:bCs/>
          <w:i w:val="false"/>
          <w:iCs w:val="false"/>
          <w:sz w:val="26"/>
          <w:szCs w:val="26"/>
        </w:rPr>
        <w:t xml:space="preserve">Summary table: physiological closure vs. pathological dead end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6"/>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Physiological closure</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Pathological dead end</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Origin</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Follows successful completion of a temporary lateral-lineage detour (Article 2: e.g., cholangiocyte → hepatocyte)</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Blockage before any functional trajectory is completed (e.g., AML blast)</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Function served?</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Yes — closure occurs after the branch has done its job</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 — the branch never reaches a stable node</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Proliferative status</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Typically non-dividing (senescent arrest)</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May be actively dividing despite being a dead end</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Proposed role of senescence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The closing mechanism itself — prevents inappropriate reuse of a spent lateral path</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 downstream consequence of the block, not its cause</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Falsification criterion</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If molecularly indistinguishable from senescence with no prior lateral transition, the distinction collapses</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7.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Senescence exists, before any question of mechanism, as a damage-containment and tumor-suppressive function: a cell abandons its future in order to become a temporary, immune-recruiting signal beacon, with a second role in temporally regulated wound healing. This gives it a dual role in the architecture of the differentiation tree: as a physiological mechanism for closing a spent lateral branch (Section 2), and as a pathological dead end whose persistence may be explained by desynchronization between the cell's two genomic systems (Section 5), not by mTOR status alone. Positioned alongside the two Dormant subtypes from Article 2, senescence is a third, structurally opposite category — foreclosing rather than preserving a future. Its triggers are predominantly cell-autonomous, in contrast to the tissue-level trigger established for paligenosis, and its logic extends beyond epithelial tissue to the immune system itself via T-cell immunosenescence. Immune masking (PD-L1) and blocked apoptosis make the closed branch stable from the outside, but this very stability, if not resolved in time, creates the conditions for a rare but documented reverse event — oncofetal reprogramming (Section 6). The distinction between physiological and pathological branch closure (Section 2) is this article's own contribution and requires separate empirical testing, alongside the mitonuclear desynchronization hypothesis.</w:t>
      </w:r>
    </w:p>
    <w:p>
      <w:pPr>
        <w:pStyle w:val="Heading1"/>
        <w:spacing w:after="200" w:before="300"/>
      </w:pPr>
      <w:r>
        <w:rPr>
          <w:rFonts w:ascii="Times New Roman" w:cs="Times New Roman" w:eastAsia="Times New Roman" w:hAnsi="Times New Roman"/>
          <w:b/>
          <w:bCs/>
          <w:i w:val="false"/>
          <w:iCs w:val="false"/>
          <w:sz w:val="26"/>
          <w:szCs w:val="26"/>
        </w:rPr>
        <w:t xml:space="preserve">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link between a specific dead-end branch of the differentiation tree and subsequent oncofetal reprogramming has been directly demonstrated for only one model (PGCCs arising from failed cytokinesis) and remains largely speculative for most other types of dead-end states. This is plausibly one of several mechanisms generating low-differentiation, tumor-initiating progeny, rather than the sole or dominant pathway. The mitonuclear desynchronization hypothesis, proposed here as a complement to (not a replacement for) the established mTOR-based account of geroconversion, has not been tested quantitatively against it. The cell-autonomous-vs-tissue-level contrast drawn in Section 3.1 is a first-order generalization; senescence-induced senescence and developmental senescence triggers are exceptions that partially blur this distinction.</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interpretation / Framework hypothesis correspond to the claim-marking system adopted for the whole framework starting with Framework 1.4.</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Hinds P, Pietruska J. Senescence and tumor suppression. F1000Res. 2017;6:2121. doi:10.12688/f1000research.11671.1.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Gal H, Krizhanovsky V. The multifaceted inducers of cellular senescence. Aging (Albany NY). 2026;18. [Corrected on review: original draft cited this as "2024/2025"; the paper was in fact published 22 June 2026.]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Modelling the spatiotemporal dynamics of senescent cells in wound healing, chronic wounds, and fibrosis. PMC12052216.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Agarwal A, Bolosky WJ, Wilson DB, Eide CA, Olson SB, Fan G, Druker BJ. Differentiation of leukemic blasts is not completely blocked in acute myeloid leukemia. Proc Natl Acad Sci USA. 2019;116(49):24593–24599.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Leukemia stem cell differentiation in acute myeloid leukemia: molecular mechanisms and multi-omics insights. ScienceDirect. 2026.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Gal H, Krizhanovsky V. The multifaceted inducers of cellular senescence. Aging (Albany NY). 2026;18. [Same source as ref. 2; cited here for the catalog of senescence triggers.]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Apoptosis resistance of senescent cells is an intrinsic barrier for senolysis induced by cardiac glycosides. PMC8629786.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Why senescent cells are resistant to apoptosis: an insight for senolytic development. PMC8890612.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Suda M, Tchkonia T, Kirkland JL, Minamino T. Targeting senescent cells for the treatment of age-associated diseases. J Biochem. 2025;177(3):177–187. doi:10.1093/jb/mvae091.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Immune Senescence, Immunosenescence and Aging. Front Aging. 2022. doi:10.3389/fragi.2022.900028.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Salumets A, Tserel L, Rumm AP, Türk L, Kingo K, Saks K, Oras A, Uibo R, Tamm R, Peterson H, et al. Epigenetic quantification of immunosenescent CD8+ TEMRA cells in human blood. Aging Cell. 2022;21(4):e13607.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Houtkooper RH, Mouchiroud L, Ryu D, Moullan N, Katsyuba E, Knott G, Williams RW, Auwerx J. Mitonuclear protein imbalance as a conserved longevity mechanism. Nature. 2013;497(7450):451–457. doi:10.1038/nature12188.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13. Niu N, Mercado-Uribe I, Liu J. Dedifferentiation into blastomere-like cancer stem cells via formation of polyploid giant cancer cells. Oncogene. 2017;36(34):4887–4900. doi:10.1038/onc.2017.72.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14. Pastori V, Zambanini G, Citterio E, Weiss T, Nakamura Y, Cantù C, Ronchi AE. Transcriptional repression of the oncofetal LIN28B gene by the transcription factor SOX6. Sci Rep. 2024;14(1):10287.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15. Wang et al. Epithelial-mesenchymal transition and cancer stem cells: at the crossroads of differentiation and dedifferentiation. Dev Dyn. 2019;248:10–20.</w:t>
      </w:r>
    </w:p>
    <w:p>
      <w:r>
        <w:br w:type="page"/>
      </w:r>
    </w:p>
    <w:p>
      <w:pPr>
        <w:spacing w:after="400"/>
        <w:jc w:val="center"/>
      </w:pPr>
      <w:r>
        <w:rPr>
          <w:rFonts w:ascii="Times New Roman" w:cs="Times New Roman" w:eastAsia="Times New Roman" w:hAnsi="Times New Roman"/>
          <w:b/>
          <w:bCs/>
          <w:i w:val="false"/>
          <w:iCs w:val="false"/>
          <w:sz w:val="24"/>
          <w:szCs w:val="24"/>
        </w:rPr>
        <w:t xml:space="preserve">A Model of the Balance of Three Cellular States: General and Local Imbalance, Markov and Non-Markov Processes, and Energetic Input</w:t>
      </w:r>
    </w:p>
    <w:p>
      <w:pPr>
        <w:pStyle w:val="Heading1"/>
        <w:spacing w:after="200" w:before="300"/>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balance among Active, Dormant, and Differentiated, proposed in Article 1 as the basis of organismal self-maintenance, is formalized here as a stochastic process. A simple Markov (memoryless) model of transitions among the three states is shown to contradict already-published direct empirical data on cell differentiation, and a semi-Markov treatment — with sojourn times dependent on a cell's history — is not only more accurate but is directly predicted by mechanisms already adopted in earlier articles (the oxygen ratchet, mitonuclear desynchronization). A distinction between general (systemic) and local (niche/clonal) imbalance is introduced through a hierarchical structure. Finally, energetic/growth input (mTOR status) is introduced as an axis orthogonal to the BGR/OXPHOS axis, rather than a point on it: the specific pathological outcome of excess energy depends on which state, along both axes simultaneously, the growth signal finds the cell in.</w:t>
      </w:r>
    </w:p>
    <w:p>
      <w:pPr>
        <w:pStyle w:val="Heading1"/>
        <w:spacing w:after="200" w:before="300"/>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Article 1's claim that balance among the three states is the basis of self-maintenance requires formal, not merely qualitative, treatment. Three questions require separate resolution: (1) which class of stochastic process correctly describes transitions between states; (2) at what level of organization imbalance arises and is measured — the whole organism or a single niche/clone; (3) how external energetic/growth input relates to the already-established fuel-choice axis (BGR/OXPHOS).</w:t>
      </w:r>
    </w:p>
    <w:p>
      <w:pPr>
        <w:pStyle w:val="Heading1"/>
        <w:spacing w:after="200" w:before="300"/>
      </w:pPr>
      <w:r>
        <w:rPr>
          <w:rFonts w:ascii="Times New Roman" w:cs="Times New Roman" w:eastAsia="Times New Roman" w:hAnsi="Times New Roman"/>
          <w:b/>
          <w:bCs/>
          <w:i w:val="false"/>
          <w:iCs w:val="false"/>
          <w:sz w:val="26"/>
          <w:szCs w:val="26"/>
        </w:rPr>
        <w:t xml:space="preserve">2. Established: why a simple Markov model fails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Direct empirical study of mouse embryonic stem cell differentiation (single-cell profiling along the neuronal trajectory) showed that a hidden Markov model reveals a chain of unobserved molecular microstates through which each cell passes sequentially and stochastically. This chain of hidden states allows individual cells to record their position along the differentiation trajectory — encoding a simple form of cellular memory. The observed dynamics at the macrostate level are non-Markovian, even though the underlying microdynamics may be Markovian — meaning a memoryless model operating directly on macrostates (Active/Dormant/Differentiated) is systematically wrong.</w:t>
      </w:r>
      <w:r>
        <w:rPr>
          <w:rFonts w:ascii="Times New Roman" w:cs="Times New Roman" w:eastAsia="Times New Roman" w:hAnsi="Times New Roman"/>
          <w:b w:val="false"/>
          <w:bCs w:val="false"/>
          <w:i w:val="false"/>
          <w:iCs w:val="false"/>
          <w:sz w:val="24"/>
          <w:szCs w:val="24"/>
          <w:vertAlign w:val="superscript"/>
        </w:rPr>
        <w:t xml:space="preserve">[1]</w:t>
      </w:r>
    </w:p>
    <w:p>
      <w:pPr>
        <w:pStyle w:val="Heading1"/>
        <w:spacing w:after="200" w:before="300"/>
      </w:pPr>
      <w:r>
        <w:rPr>
          <w:rFonts w:ascii="Times New Roman" w:cs="Times New Roman" w:eastAsia="Times New Roman" w:hAnsi="Times New Roman"/>
          <w:b/>
          <w:bCs/>
          <w:i w:val="false"/>
          <w:iCs w:val="false"/>
          <w:sz w:val="26"/>
          <w:szCs w:val="26"/>
        </w:rPr>
        <w:t xml:space="preserve">3. Framework hypothesis: a semi-Markov process with history-dependent sojourn time</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transitions among the framework's three states should be modeled not as a Markov chain with exponential (memoryless) sojourn time, but as a semi-Markov process, in which the exit intensity from a state depends on how long the cell has already resided in it. This is a direct, testable consequence of mechanisms already adopted in this series:</w:t>
      </w:r>
    </w:p>
    <w:p>
      <w:pPr>
        <w:spacing w:after="160" w:line="276"/>
        <w:jc w:val="both"/>
      </w:pPr>
      <w:r>
        <w:rPr>
          <w:rFonts w:ascii="Times New Roman" w:cs="Times New Roman" w:eastAsia="Times New Roman" w:hAnsi="Times New Roman"/>
          <w:b w:val="false"/>
          <w:bCs w:val="false"/>
          <w:i w:val="false"/>
          <w:iCs w:val="false"/>
          <w:sz w:val="24"/>
          <w:szCs w:val="24"/>
        </w:rPr>
        <w:t xml:space="preserve">Oxygen ratchet (Article 1, Section 5): if the shift to OXPHOS competitively deprives the nucleus of acetyl-CoA, chromatin compaction should accumulate with time spent in the Differentiated state — meaning the exit probability (paligenosis) should decrease with the age of the state, not remain constant as a Markov model requires.</w:t>
      </w:r>
    </w:p>
    <w:p>
      <w:pPr>
        <w:spacing w:after="160" w:line="276"/>
        <w:jc w:val="both"/>
      </w:pPr>
      <w:r>
        <w:rPr>
          <w:rFonts w:ascii="Times New Roman" w:cs="Times New Roman" w:eastAsia="Times New Roman" w:hAnsi="Times New Roman"/>
          <w:b w:val="false"/>
          <w:bCs w:val="false"/>
          <w:i w:val="false"/>
          <w:iCs w:val="false"/>
          <w:sz w:val="24"/>
          <w:szCs w:val="24"/>
        </w:rPr>
        <w:t xml:space="preserve">Mitonuclear desynchronization (Article 3, Section 5): if locking an arrest into permanent senescence depends on accumulating stoichiometric genome imbalance, the intensity of the transition from arrest to irreversible senescence should increase with time spent in arrest — a classically increasing hazard, incompatible with a constant, Markov intensity.</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the empirically measured exit intensity from Differentiated (into paligenosis), or the intensity of locking an arrest into senescence, is found to be constant over time rather than dependent on duration of residence in the state, the semi-Markov treatment is false for these transitions.</w:t>
      </w:r>
    </w:p>
    <w:p>
      <w:pPr>
        <w:pStyle w:val="Heading1"/>
        <w:spacing w:after="200" w:before="300"/>
      </w:pPr>
      <w:r>
        <w:rPr>
          <w:rFonts w:ascii="Times New Roman" w:cs="Times New Roman" w:eastAsia="Times New Roman" w:hAnsi="Times New Roman"/>
          <w:b/>
          <w:bCs/>
          <w:i w:val="false"/>
          <w:iCs w:val="false"/>
          <w:sz w:val="26"/>
          <w:szCs w:val="26"/>
        </w:rPr>
        <w:t xml:space="preserve">Summary table: Markov vs. semi-Markov</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6"/>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Markov (memoryless)</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Semi-Markov (history-dependent)</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Sojourn time</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Exponential; exit intensity constant regardless of time already spent in state</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Non-exponential; exit intensity depends on time already spent in state</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Empirical status</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Rejected for macrostate transitions in stem cell differentiation (hidden Markov model reveals a chain of microstates producing memory)</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Supported by the same data; directly predicted by the oxygen ratchet and mitonuclear desynchronization mechanisms</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Oxygen ratchet prediction (Article 1, §5)</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Exit rate from Differentiated constant over time</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Exit rate from Differentiated decreases as chromatin compaction accumulates</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Mitonuclear desynchronization prediction (Article 3, §5)</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Rate of permanent lock-in constant over time</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Rate of permanent lock-in increases as genome desynchronization accumulates</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4. General and local imbalance: a hierarchical structure</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imbalance among the three states must be explicitly separated by scale: general (systemic) — aggregate A/D/F proportions shift simultaneously across many niches of the organism; and local — a single niche or clone departs from homeostatic proportion while the rest of the organism remains balanced.</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mathematical model linking the hierarchical and neutral-competition models of stem cell homeostasis (the “hierarchical neutral competition,” hNC, model) showed that combining hierarchy with neutral competition produces bursts of clonal expansion consistent with experimental primate hematopoietic data, while simultaneously satisfying the clone-size scaling law previously thought unique to the purely neutral-competition model. The authors proposed a criterion for distinguishing the models experimentally by specific statistical features of clone-size distribution.</w:t>
      </w:r>
      <w:r>
        <w:rPr>
          <w:rFonts w:ascii="Times New Roman" w:cs="Times New Roman" w:eastAsia="Times New Roman" w:hAnsi="Times New Roman"/>
          <w:b w:val="false"/>
          <w:bCs w:val="false"/>
          <w:i w:val="false"/>
          <w:iCs w:val="false"/>
          <w:sz w:val="24"/>
          <w:szCs w:val="24"/>
          <w:vertAlign w:val="superscript"/>
        </w:rPr>
        <w:t xml:space="preserve">[2]</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local imbalance should be modeled as a separate semi-Markov chain at the niche/clone level; general imbalance as a correlated departure across many such local chains, driven by a shared systemic covariate that modulates local transition intensities simultaneously across many niches.</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local and general imbalance prove statistically indistinguishable by the pattern of correlation between neighboring niches, the hierarchical two-scale distinction is false, and imbalance should be modeled as a single process not stratified by scale.</w:t>
      </w:r>
    </w:p>
    <w:p>
      <w:pPr>
        <w:pStyle w:val="Heading1"/>
        <w:spacing w:after="200" w:before="300"/>
      </w:pPr>
      <w:r>
        <w:rPr>
          <w:rFonts w:ascii="Times New Roman" w:cs="Times New Roman" w:eastAsia="Times New Roman" w:hAnsi="Times New Roman"/>
          <w:b/>
          <w:bCs/>
          <w:i w:val="false"/>
          <w:iCs w:val="false"/>
          <w:sz w:val="26"/>
          <w:szCs w:val="26"/>
        </w:rPr>
        <w:t xml:space="preserve">Summary table: local vs. general imbalance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6"/>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Local imbalance</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General (systemic) imbalance</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Scope</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 single niche or clone departs from homeostatic proportions</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Aggregate proportions shift simultaneously across many niches</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Example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Cancer (localized excess Active); focal fibrosis (localized excess Differentiated)</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Systemic reserve exhaustion with aging; immunosenescence</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Modeling approach</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Independent semi-Markov chain per niche/clone</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Correlated departure across many local chains, driven by a shared systemic covariate</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Established precedent</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Hierarchical neutral competition (hNC) model — clonal bursts and clone-size scaling law</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Falsification criterion</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If local and general imbalance are statistically indistinguishable by inter-niche correlation pattern, the two-scale distinction is false</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5. Established: energetic input strikes both poles of imbalance at once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caloric restriction reduces IGF-1/mTOR signaling and simultaneously extends lifespan and reduces cancer risk — both effects arising together, through the same node (IGF1R–mTOR) already central to this framework. Excess energy (hyperglycemia, hyperinsulinemia, obesity) acts in mirror image: simultaneously accelerating aging (via advanced glycation end products, chronic inflammation) and increasing cancer risk — again both together, through the same node.</w:t>
      </w:r>
      <w:r>
        <w:rPr>
          <w:rFonts w:ascii="Times New Roman" w:cs="Times New Roman" w:eastAsia="Times New Roman" w:hAnsi="Times New Roman"/>
          <w:b w:val="false"/>
          <w:bCs w:val="false"/>
          <w:i w:val="false"/>
          <w:iCs w:val="false"/>
          <w:sz w:val="24"/>
          <w:szCs w:val="24"/>
          <w:vertAlign w:val="superscript"/>
        </w:rPr>
        <w:t xml:space="preserve">[3,4]</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caloric restriction acting through suppression of mTORC1 specifically in Paneth cells — the niche cells, not the intestinal stem cells themselves — preserves and enhances intestinal stem cell function; forced mTORC1 activation in Paneth cells during caloric restriction abolishes this niche-mediated benefit. This means the energetic signal reaches the stem cell through niche mediation, confirming the third, ECM/niche dimension already introduced in Article 1.</w:t>
      </w:r>
      <w:r>
        <w:rPr>
          <w:rFonts w:ascii="Times New Roman" w:cs="Times New Roman" w:eastAsia="Times New Roman" w:hAnsi="Times New Roman"/>
          <w:b w:val="false"/>
          <w:bCs w:val="false"/>
          <w:i w:val="false"/>
          <w:iCs w:val="false"/>
          <w:sz w:val="24"/>
          <w:szCs w:val="24"/>
          <w:vertAlign w:val="superscript"/>
        </w:rPr>
        <w:t xml:space="preserve">[5]</w:t>
      </w:r>
    </w:p>
    <w:p>
      <w:pPr>
        <w:spacing w:after="160" w:line="276"/>
        <w:jc w:val="both"/>
      </w:pPr>
      <w:r>
        <w:rPr>
          <w:rFonts w:ascii="Times New Roman" w:cs="Times New Roman" w:eastAsia="Times New Roman" w:hAnsi="Times New Roman"/>
          <w:b/>
          <w:bCs/>
          <w:i w:val="false"/>
          <w:iCs w:val="false"/>
          <w:sz w:val="24"/>
          <w:szCs w:val="24"/>
        </w:rPr>
        <w:t xml:space="preserve">[Established (boundary condition)] </w:t>
      </w:r>
      <w:r>
        <w:rPr>
          <w:rFonts w:ascii="Times New Roman" w:cs="Times New Roman" w:eastAsia="Times New Roman" w:hAnsi="Times New Roman"/>
          <w:b w:val="false"/>
          <w:bCs w:val="false"/>
          <w:i w:val="false"/>
          <w:iCs w:val="false"/>
          <w:sz w:val="24"/>
          <w:szCs w:val="24"/>
        </w:rPr>
        <w:t xml:space="preserve">tumors with pre-existing PI3K pathway activation are resistant to dietary restriction — once a clone has escaped the energy sensor downstream in the cascade, manipulating energetic input no longer controls it.</w:t>
      </w:r>
      <w:r>
        <w:rPr>
          <w:rFonts w:ascii="Times New Roman" w:cs="Times New Roman" w:eastAsia="Times New Roman" w:hAnsi="Times New Roman"/>
          <w:b w:val="false"/>
          <w:bCs w:val="false"/>
          <w:i w:val="false"/>
          <w:iCs w:val="false"/>
          <w:sz w:val="24"/>
          <w:szCs w:val="24"/>
          <w:vertAlign w:val="superscript"/>
        </w:rPr>
        <w:t xml:space="preserve">[6]</w:t>
      </w:r>
    </w:p>
    <w:p>
      <w:pPr>
        <w:pStyle w:val="Heading1"/>
        <w:spacing w:after="200" w:before="300"/>
      </w:pPr>
      <w:r>
        <w:rPr>
          <w:rFonts w:ascii="Times New Roman" w:cs="Times New Roman" w:eastAsia="Times New Roman" w:hAnsi="Times New Roman"/>
          <w:b/>
          <w:bCs/>
          <w:i w:val="false"/>
          <w:iCs w:val="false"/>
          <w:sz w:val="26"/>
          <w:szCs w:val="26"/>
        </w:rPr>
        <w:t xml:space="preserve">6. Framework hypothesis: energetic input as an axis orthogonal to BGR/OXPHOS</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growth/energetic input (mTOR status) is an axis orthogonal to the already-established fuel-choice axis (BGR/OXPHOS), not a point on it. The specific pathological outcome is determined not by the amount of energy itself, but by which state, along both axes simultaneously, the excess growth signal finds the cell in:</w:t>
      </w:r>
    </w:p>
    <w:p>
      <w:pPr>
        <w:spacing w:after="160" w:line="276"/>
        <w:jc w:val="both"/>
      </w:pPr>
      <w:r>
        <w:rPr>
          <w:rFonts w:ascii="Times New Roman" w:cs="Times New Roman" w:eastAsia="Times New Roman" w:hAnsi="Times New Roman"/>
          <w:b w:val="false"/>
          <w:bCs w:val="false"/>
          <w:i w:val="false"/>
          <w:iCs w:val="false"/>
          <w:sz w:val="24"/>
          <w:szCs w:val="24"/>
        </w:rPr>
        <w:t xml:space="preserve">Active, open path to division: a proliferating cell prefers aerobic glycolysis even under abundant oxygen (the Warburg effect) — glycolytic intermediates are needed as biosynthetic building blocks for division. Excess energy here does not push the cell toward OXPHOS at all; it reinforces the already-glycolytic program, redirected toward biosynthesis rather than genome protection. The pathology is uncontrolled use of the glycolytic program for growth.</w:t>
      </w:r>
    </w:p>
    <w:p>
      <w:pPr>
        <w:spacing w:after="160" w:line="276"/>
        <w:jc w:val="both"/>
      </w:pPr>
      <w:r>
        <w:rPr>
          <w:rFonts w:ascii="Times New Roman" w:cs="Times New Roman" w:eastAsia="Times New Roman" w:hAnsi="Times New Roman"/>
          <w:b w:val="false"/>
          <w:bCs w:val="false"/>
          <w:i w:val="false"/>
          <w:iCs w:val="false"/>
          <w:sz w:val="24"/>
          <w:szCs w:val="24"/>
        </w:rPr>
        <w:t xml:space="preserve">En route to differentiation: excess energy/mTOR accelerates the shift to OXPHOS already described in Article 1, Section 5 — here energy pushes directly along the BGR→OXPHOS axis, accelerating the oxygen ratchet.</w:t>
      </w:r>
    </w:p>
    <w:p>
      <w:pPr>
        <w:spacing w:after="160" w:line="276"/>
        <w:jc w:val="both"/>
      </w:pPr>
      <w:r>
        <w:rPr>
          <w:rFonts w:ascii="Times New Roman" w:cs="Times New Roman" w:eastAsia="Times New Roman" w:hAnsi="Times New Roman"/>
          <w:b w:val="false"/>
          <w:bCs w:val="false"/>
          <w:i w:val="false"/>
          <w:iCs w:val="false"/>
          <w:sz w:val="24"/>
          <w:szCs w:val="24"/>
        </w:rPr>
        <w:t xml:space="preserve">Arrested by damage: the pathology here is not about fuel choice at all. Continued mTOR signaling beneath an already-blocked cycle is precisely geroconversion (Article 3, Section 3), independent of which way fuel preference has shifted; the direction of the metabolic shift in senescence is heterogeneous and depends on cell type — more accurately described as a state of maximal total energy expenditure with declining efficiency than as a directional fuel choice.</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excess growth signaling produces the same metabolic and pathological outcome regardless of a cell's starting position on the BGR/OXPHOS axis, the orthogonality hypothesis is false, and energetic input should be modeled as another point on that same axis rather than an independent parameter.</w:t>
      </w:r>
    </w:p>
    <w:p>
      <w:pPr>
        <w:pStyle w:val="Heading1"/>
        <w:spacing w:after="200" w:before="300"/>
      </w:pPr>
      <w:r>
        <w:rPr>
          <w:rFonts w:ascii="Times New Roman" w:cs="Times New Roman" w:eastAsia="Times New Roman" w:hAnsi="Times New Roman"/>
          <w:b/>
          <w:bCs/>
          <w:i w:val="false"/>
          <w:iCs w:val="false"/>
          <w:sz w:val="26"/>
          <w:szCs w:val="26"/>
        </w:rPr>
        <w:t xml:space="preserve">Summary table: three outcomes of energetic input by starting axis position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806"/>
      </w:tblGrid>
      <w:tr>
        <w:trPr>
          <w:tblHeader/>
        </w:trPr>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Cell's starting point</w:t>
            </w:r>
          </w:p>
        </w:tc>
        <w:tc>
          <w:tcPr>
            <w:tcW w:type="dxa" w:w="33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Effect of excess energy/mTOR</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Resulting pathology</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Active, open path to division</w:t>
            </w:r>
          </w:p>
        </w:tc>
        <w:tc>
          <w:tcPr>
            <w:tcW w:type="dxa" w:w="3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Reinforces the already-glycolytic program, redirected toward biosynthesis (Warburg effect: aerobic glycolysis even with abundant oxygen, since glycolytic intermediates serve as biosynthetic building blocks)</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Uncontrolled proliferation using the glycolytic program</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En route to differentiation</w:t>
            </w:r>
          </w:p>
        </w:tc>
        <w:tc>
          <w:tcPr>
            <w:tcW w:type="dxa" w:w="3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Accelerates the shift to OXPHOS described in Article 1, §5</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Accelerated, harder oxygen ratchet — faster, more rigid epigenetic lock-in</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Arrested by damage (not developmental program)</w:t>
            </w:r>
          </w:p>
        </w:tc>
        <w:tc>
          <w:tcPr>
            <w:tcW w:type="dxa" w:w="3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Continues growth signaling beneath an already-blocked cycle, independent of fuel choice</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Geroconversion (Article 3, §3) — permanent senescence regardless of glycolysis/OXPHOS direction</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7.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balance of three states receives a formal stochastic treatment here: a semi-Markov process with history-dependent sojourn time — a direct consequence of already-adopted mechanisms (the oxygen ratchet, mitonuclear desynchronization). Distinguishing general from local imbalance requires a hierarchical structure with an explicit statistical criterion separating the two scales. Energetic/growth input is not a shift along the already-established BGR/OXPHOS axis but an independent axis orthogonal to it: excess energy removes the discipline holding both poles of pathology in check simultaneously, and the specific outcome is determined by where the two axes intersect at the moment the cell receives the signal.</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interpretation / Framework hypothesis correspond to the claim-marking system adopted for the whole framework starting with Framework 1.4.</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Stumpf PS, Smith RCG, Lenz M, Schuppert A, Müller FJ, Babtie A, Chan TE, Stumpf MPH, Please CP, Howison SD, Arai F, MacArthur BD. Stem cell differentiation as a non-Markov stochastic process. Cell Syst. 2017;5(3):268–282.e7. doi:10.1016/j.cels.2017.08.009.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Nakamuta A, Yoshido K, Naoki H. Stem cell homeostasis regulated by hierarchy and neutral competition. Commun Biol. 2022;5:1225. doi:10.1038/s42003-022-04218-7.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Anisimov VN. Metformin for aging and cancer prevention. Aging (Albany NY). 2010;2(11):760–774. doi:10.18632/aging.100230.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Komatsu T, Park S, Hayashi H, Mori R, Yamaza H, Shimokawa I. Mechanisms of Calorie Restriction: A Review of Genes Required for the Life-Extending and Tumor-Inhibiting Effects of Calorie Restriction. Nutrients. 2019;11(12):3068. doi:10.3390/nu11123068.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Yilmaz ÖH, Katajisto P, Lamming DW, Gültekin Y, Bauer-Rowe KE, Sengupta S, Birsoy K, Dursun A, Yilmaz VO, Selig M, Nielsen GP, Mino-Kenudson M, Zukerberg LR, Bhan AK, Deshpande V, Sabatini DM. mTORC1 in the Paneth cell niche couples intestinal stem-cell function to calorie intake. Nature. 2012;486(7404):490–495. doi:10.1038/nature11163.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Kalaany NY, Sabatini DM. Tumours with PI3K activation are resistant to dietary restriction. Nature. 2009;458(7239):725–731. doi:10.1038/nature07782.</w:t>
      </w:r>
    </w:p>
    <w:p>
      <w:r>
        <w:br w:type="page"/>
      </w:r>
    </w:p>
    <w:p>
      <w:pPr>
        <w:spacing w:after="400"/>
        <w:jc w:val="center"/>
      </w:pPr>
      <w:r>
        <w:rPr>
          <w:rFonts w:ascii="Times New Roman" w:cs="Times New Roman" w:eastAsia="Times New Roman" w:hAnsi="Times New Roman"/>
          <w:b/>
          <w:bCs/>
          <w:i w:val="false"/>
          <w:iCs w:val="false"/>
          <w:sz w:val="26"/>
          <w:szCs w:val="26"/>
        </w:rPr>
        <w:t xml:space="preserve">The Three Locks of Dormancy: From Independent Mechanisms to a Network of Shared Nodes</w:t>
      </w:r>
    </w:p>
    <w:p>
      <w:pPr>
        <w:pStyle w:val="Heading1"/>
        <w:spacing w:after="200" w:before="300"/>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Dormancy is protected by at least three mechanisms — energetic (low metabolism, IGF1R–mTOR–NR2F1), immune (T/NK invisibility, phagocytic invisibility, metabolic suppression of the environment), and matrix-based (niche composition and density). This article tests three possible architectures for how they interact — independent locks, matrix as a condition for the existence of the other two, a compensatory model — against direct experimental data, and shows that none is confirmed in pure form. Instead, the literature points to a network with shared executive nodes: at least three independent inputs (epigenetic, immune, mechanical) converge on p27; the energetic and matrix mechanisms turn out, in one documented case, to be literally one enzymatic process (P4HA2) rather than two linked systems; and immune glycan masking competes for the same acetyl-CoA pool already central to the energetic lock.</w:t>
      </w:r>
    </w:p>
    <w:p>
      <w:pPr>
        <w:pStyle w:val="Heading1"/>
        <w:spacing w:after="200" w:before="300"/>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question posed at the outset: how do the three mechanisms protecting the dormant state relate to one another? Three architectures were discussed: (1) three independent locks, each obligatory on its own; (2) matrix as a condition enabling the existence of the other two; (3) a compensatory model, in which the strength of one lock can offset the weakness of another. Checking against the literature shows: the correct answer is none of the three, but a fourth, unanticipated variant.</w:t>
      </w:r>
    </w:p>
    <w:p>
      <w:pPr>
        <w:pStyle w:val="Heading1"/>
        <w:spacing w:after="200" w:before="300"/>
      </w:pPr>
      <w:r>
        <w:rPr>
          <w:rFonts w:ascii="Times New Roman" w:cs="Times New Roman" w:eastAsia="Times New Roman" w:hAnsi="Times New Roman"/>
          <w:b/>
          <w:bCs/>
          <w:i w:val="false"/>
          <w:iCs w:val="false"/>
          <w:sz w:val="26"/>
          <w:szCs w:val="26"/>
        </w:rPr>
        <w:t xml:space="preserve">2. Established: a broad description of the three locks</w:t>
      </w:r>
    </w:p>
    <w:p>
      <w:pPr>
        <w:pStyle w:val="Heading2"/>
        <w:spacing w:after="130" w:before="220"/>
      </w:pPr>
      <w:r>
        <w:rPr>
          <w:rFonts w:ascii="Times New Roman" w:cs="Times New Roman" w:eastAsia="Times New Roman" w:hAnsi="Times New Roman"/>
          <w:b/>
          <w:bCs/>
          <w:i w:val="false"/>
          <w:iCs w:val="false"/>
          <w:sz w:val="24"/>
          <w:szCs w:val="24"/>
        </w:rPr>
        <w:t xml:space="preserve">Lock 1 — energetic</w:t>
      </w:r>
    </w:p>
    <w:p>
      <w:pPr>
        <w:spacing w:after="160" w:line="276"/>
        <w:jc w:val="both"/>
      </w:pPr>
      <w:r>
        <w:rPr>
          <w:rFonts w:ascii="Times New Roman" w:cs="Times New Roman" w:eastAsia="Times New Roman" w:hAnsi="Times New Roman"/>
          <w:b w:val="false"/>
          <w:bCs w:val="false"/>
          <w:i w:val="false"/>
          <w:iCs w:val="false"/>
          <w:sz w:val="24"/>
          <w:szCs w:val="24"/>
        </w:rPr>
        <w:t xml:space="preserve">The IGF1R–mTOR–NR2F1 axis: mTOR is a continuous integrator, not a binary switch; NR2F1 is an epigenetic “state lock” via H3K27me3/H3K9me3, inducing p27/p16 for G0/G1 arrest. The fuel regime is BGR (glycolysis), which protects the genome via acetyl-CoA availability for chromatin opening; the shift to OXPHOS competitively deprives the nucleus of this substrate and locks the state irreversibly (the “oxygen ratchet”). The lock breaks down via geroconversion (arrest without mTOR suppression) or desynchronization of the nuclear and mitochondrial genomes.</w:t>
      </w:r>
    </w:p>
    <w:p>
      <w:pPr>
        <w:pStyle w:val="Heading2"/>
        <w:spacing w:after="130" w:before="220"/>
      </w:pPr>
      <w:r>
        <w:rPr>
          <w:rFonts w:ascii="Times New Roman" w:cs="Times New Roman" w:eastAsia="Times New Roman" w:hAnsi="Times New Roman"/>
          <w:b/>
          <w:bCs/>
          <w:i w:val="false"/>
          <w:iCs w:val="false"/>
          <w:sz w:val="24"/>
          <w:szCs w:val="24"/>
        </w:rPr>
        <w:t xml:space="preserve">Lock 2 — immune</w:t>
      </w:r>
    </w:p>
    <w:p>
      <w:pPr>
        <w:spacing w:after="160" w:line="276"/>
        <w:jc w:val="both"/>
      </w:pPr>
      <w:r>
        <w:rPr>
          <w:rFonts w:ascii="Times New Roman" w:cs="Times New Roman" w:eastAsia="Times New Roman" w:hAnsi="Times New Roman"/>
          <w:b w:val="false"/>
          <w:bCs w:val="false"/>
          <w:i w:val="false"/>
          <w:iCs w:val="false"/>
          <w:sz w:val="24"/>
          <w:szCs w:val="24"/>
        </w:rPr>
        <w:t xml:space="preserve">Multiple mechanisms: MHC-I/UPR downregulation, CD200–CD200R1, loss of ULBP, IFN-γ→IDO1-kynurenine→AhR→p27 (converging on the same p27 as the energetic lock), STING suppression, hypersialylation/Siglec-7/9, CD39/CD73/adenosine, geometric defense of rarity. A separate quantitative mechanism is immunological ignorance: a small number of antigen-bearing cells fails to reach the lymph nodes in sufficient quantity, so protection is threshold-based rather than qualitative.</w:t>
      </w:r>
    </w:p>
    <w:p>
      <w:pPr>
        <w:pStyle w:val="Heading2"/>
        <w:spacing w:after="130" w:before="220"/>
      </w:pPr>
      <w:r>
        <w:rPr>
          <w:rFonts w:ascii="Times New Roman" w:cs="Times New Roman" w:eastAsia="Times New Roman" w:hAnsi="Times New Roman"/>
          <w:b/>
          <w:bCs/>
          <w:i w:val="false"/>
          <w:iCs w:val="false"/>
          <w:sz w:val="24"/>
          <w:szCs w:val="24"/>
        </w:rPr>
        <w:t xml:space="preserve">Lock 3 — matrix</w:t>
      </w:r>
    </w:p>
    <w:p>
      <w:pPr>
        <w:spacing w:after="160" w:line="276"/>
        <w:jc w:val="both"/>
      </w:pPr>
      <w:r>
        <w:rPr>
          <w:rFonts w:ascii="Times New Roman" w:cs="Times New Roman" w:eastAsia="Times New Roman" w:hAnsi="Times New Roman"/>
          <w:b w:val="false"/>
          <w:bCs w:val="false"/>
          <w:i w:val="false"/>
          <w:iCs w:val="false"/>
          <w:sz w:val="24"/>
          <w:szCs w:val="24"/>
        </w:rPr>
        <w:t xml:space="preserve">A dual function: niche composition actively maintains low metabolism; collagen density/crosslinking mechanically excludes immune cells — a structural defense distinct from receptor-based masking. It is dynamic: inflammation loosens the barrier via MMPs; corticosteroids suppress MMPs, which may be a second mechanism of their action in autoimmune processes.</w:t>
      </w:r>
    </w:p>
    <w:p>
      <w:pPr>
        <w:pStyle w:val="Heading1"/>
        <w:spacing w:after="200" w:before="300"/>
      </w:pPr>
      <w:r>
        <w:rPr>
          <w:rFonts w:ascii="Times New Roman" w:cs="Times New Roman" w:eastAsia="Times New Roman" w:hAnsi="Times New Roman"/>
          <w:b/>
          <w:bCs/>
          <w:i w:val="false"/>
          <w:iCs w:val="false"/>
          <w:sz w:val="26"/>
          <w:szCs w:val="26"/>
        </w:rPr>
        <w:t xml:space="preserve">Summary table: the three locks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06"/>
      </w:tblGrid>
      <w:tr>
        <w:trPr>
          <w:tblHeader/>
        </w:trPr>
        <w:tc>
          <w:tcPr>
            <w:tcW w:type="dxa" w:w="1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Lock</w:t>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Key mechanism</w:t>
            </w:r>
          </w:p>
        </w:tc>
        <w:tc>
          <w:tcPr>
            <w:tcW w:type="dxa" w:w="37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Breakdown</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Energetic</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IGF1R–mTOR–NR2F1; BGR (glycolysis) protects the genome via acetyl-CoA; oxygen ratchet upon shift to OXPHOS</w:t>
            </w:r>
          </w:p>
        </w:tc>
        <w:tc>
          <w:tcPr>
            <w:tcW w:type="dxa" w:w="3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Geroconversion (arrest without mTOR suppression); mitonuclear desynchronization</w:t>
            </w:r>
          </w:p>
        </w:tc>
      </w:tr>
      <w:tr>
        <w:tc>
          <w:tcPr>
            <w:tcW w:type="dxa" w:w="1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Immune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MHC-I/UPR↓, CD200–CD200R1, loss of ULBP, IFN-γ→IDO1→AhR→p27, STING↓, Siglec-7/9, CD39/CD73/adenosine, geometric rarity</w:t>
            </w:r>
          </w:p>
        </w:tc>
        <w:tc>
          <w:tcPr>
            <w:tcW w:type="dxa" w:w="3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Neutralizing several independent mechanisms simultaneously is required of the clone</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Matrix</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Niche composition actively maintains low metabolism; collagen density/crosslinking mechanically excludes immune cells</w:t>
            </w:r>
          </w:p>
        </w:tc>
        <w:tc>
          <w:tcPr>
            <w:tcW w:type="dxa" w:w="3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Inflammation→MMP→loosening; corticosteroids suppress MMP (possible second mechanism of action)</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3. Established: direct data disconfirm all three proposed architectures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mechanical force from the ECM acts biphasically on breast cancer cells: moderate force (~45 Pa), via integrins β1/β3 and the cytoskeleton/AIRE axis, triggers a stem-like, tumorigenic profile; excessive force (~450 Pa) shifts the same cells into quiescence via the DDR2→STAT1→p27 pathway. The same pathway has been independently shown in hepatocellular carcinoma.</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prolyl hydroxylase P4HA2 simultaneously hydroxylates proline in collagen (maintaining the niche) and, through the same process, balances NAD⁺/NADH, limiting mitochondrial activity. Loss of P4HA2 simultaneously disrupts the niche, triggers autophagy, boosts mitochondrial energetics via ALDH4A1, and awakens the cell — all three consequences from a single source.</w:t>
      </w:r>
      <w:r>
        <w:rPr>
          <w:rFonts w:ascii="Times New Roman" w:cs="Times New Roman" w:eastAsia="Times New Roman" w:hAnsi="Times New Roman"/>
          <w:b w:val="false"/>
          <w:bCs w:val="false"/>
          <w:i w:val="false"/>
          <w:iCs w:val="false"/>
          <w:sz w:val="24"/>
          <w:szCs w:val="24"/>
          <w:vertAlign w:val="superscript"/>
        </w:rPr>
        <w:t xml:space="preserve">[2]</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in liver metastases of gastric cancer, it is specifically increased matrix stiffness (via TNNT1) that awakens dormant cells — the opposite direction from that found in breast cancer. The relationship “matrix density → outcome” has no fixed sign and depends on which pathway is engaged.</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finding 1 disconfirms Variant 1 (independence) — the locks clearly share common nodes. Finding 2 does not support Variant 2 in its hierarchical form — causation is simultaneous and bidirectional, not “matrix upstream.” Finding 3 disconfirms Variant 3 — stiffness does not act as a continuous modulator of a single sign.</w:t>
      </w:r>
    </w:p>
    <w:p>
      <w:pPr>
        <w:pStyle w:val="Heading1"/>
        <w:spacing w:after="200" w:before="300"/>
      </w:pPr>
      <w:r>
        <w:rPr>
          <w:rFonts w:ascii="Times New Roman" w:cs="Times New Roman" w:eastAsia="Times New Roman" w:hAnsi="Times New Roman"/>
          <w:b/>
          <w:bCs/>
          <w:i w:val="false"/>
          <w:iCs w:val="false"/>
          <w:sz w:val="26"/>
          <w:szCs w:val="26"/>
        </w:rPr>
        <w:t xml:space="preserve">Summary table: three architecture variants and their disconfirmation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06"/>
      </w:tblGrid>
      <w:tr>
        <w:trPr>
          <w:tblHeader/>
        </w:trPr>
        <w:tc>
          <w:tcPr>
            <w:tcW w:type="dxa" w:w="2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Architecture variant</w:t>
            </w:r>
          </w:p>
        </w:tc>
        <w:tc>
          <w:tcPr>
            <w:tcW w:type="dxa" w:w="36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Prediction</w:t>
            </w:r>
          </w:p>
        </w:tc>
        <w:tc>
          <w:tcPr>
            <w:tcW w:type="dxa" w:w="35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Disconfirming finding</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1. Three independent locks</w:t>
            </w:r>
          </w:p>
        </w:tc>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Breaking one lock does not mechanistically affect the other two</w:t>
            </w:r>
          </w:p>
        </w:tc>
        <w:tc>
          <w:tcPr>
            <w:tcW w:type="dxa" w:w="3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DDR2→STAT1→p27: the mechanical input converges on the same node as the energetic branch</w:t>
            </w:r>
          </w:p>
        </w:tc>
      </w:tr>
      <w:tr>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2. Matrix as a condition for the others (hierarchy)</w:t>
            </w:r>
          </w:p>
        </w:tc>
        <w:tc>
          <w:tcPr>
            <w:tcW w:type="dxa" w:w="3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Matrix is logically upstream, causation is unidirectional</w:t>
            </w:r>
          </w:p>
        </w:tc>
        <w:tc>
          <w:tcPr>
            <w:tcW w:type="dxa" w:w="35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P4HA2: one enzyme produces both consequences simultaneously, not sequentially</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3. Compensatory/threshold model</w:t>
            </w:r>
          </w:p>
        </w:tc>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Matrix stiffness is a continuous modulator of a single sign</w:t>
            </w:r>
          </w:p>
        </w:tc>
        <w:tc>
          <w:tcPr>
            <w:tcW w:type="dxa" w:w="3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TNNT1: high stiffness awakens cells in one tissue but not another — the sign is not fixed</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4. Framework hypothesis: a network of shared nodes instead of three locks</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three locks are more accurately modeled not as parallel or hierarchical barriers, but as a network with shared executive nodes (p27; NAD⁺/NADH), to which at least three inputs are independently connected: epigenetic (NR2F1), immune (IFN-γ→IDO1→AhR), mechanical (DDR2→STAT1).</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disconnecting one specific input (for example, blocking DDR2 while the NR2F1 branch remains intact) produces a complete, rather than partial, failure of p27-mediated arrest, the nodes are not shared — the inputs independently duplicate one another (a redundant model) rather than converging.</w:t>
      </w:r>
    </w:p>
    <w:p>
      <w:pPr>
        <w:pStyle w:val="Heading1"/>
        <w:spacing w:after="200" w:before="300"/>
      </w:pPr>
      <w:r>
        <w:rPr>
          <w:rFonts w:ascii="Times New Roman" w:cs="Times New Roman" w:eastAsia="Times New Roman" w:hAnsi="Times New Roman"/>
          <w:b/>
          <w:bCs/>
          <w:i w:val="false"/>
          <w:iCs w:val="false"/>
          <w:sz w:val="26"/>
          <w:szCs w:val="26"/>
        </w:rPr>
        <w:t xml:space="preserve">5. Established + Framework hypothesis: the glycan extension of the network</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hexosamine biosynthesis pathway (HBP) is the sole source of UDP-GlcNAc, the obligatory substrate for glycosylation; via the enzyme GNE, it is used to synthesize CMP-sialic acid, employed for sialylation — the same mechanism already established as a masking layer (hypersialylation/Siglec-7/9). HBP simultaneously requires glucose, glutamine, acetyl-CoA, and UTP, and is regulated by mTOR and AMPK.</w:t>
      </w:r>
      <w:r>
        <w:rPr>
          <w:rFonts w:ascii="Times New Roman" w:cs="Times New Roman" w:eastAsia="Times New Roman" w:hAnsi="Times New Roman"/>
          <w:b w:val="false"/>
          <w:bCs w:val="false"/>
          <w:i w:val="false"/>
          <w:iCs w:val="false"/>
          <w:sz w:val="24"/>
          <w:szCs w:val="24"/>
          <w:vertAlign w:val="superscript"/>
        </w:rPr>
        <w:t xml:space="preserve">[4,5]</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glycan masking is a fourth input into the network, but connected not directly to p27/NAD⁺-NADH, but to the shared acetyl-CoA pool, which also feeds histone acetylation (the energetic lock) and OXPHOS. Increased flux toward sialylation competitively withdraws substrate from histone acetylation.</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experimentally increasing flux through the hexosamine pathway does not reduce acetyl-CoA availability for histone acetylation and does not accelerate chromatin compaction, competition for the shared pool is not supported.</w:t>
      </w:r>
    </w:p>
    <w:p>
      <w:pPr>
        <w:pStyle w:val="Heading1"/>
        <w:spacing w:after="200" w:before="300"/>
      </w:pPr>
      <w:r>
        <w:rPr>
          <w:rFonts w:ascii="Times New Roman" w:cs="Times New Roman" w:eastAsia="Times New Roman" w:hAnsi="Times New Roman"/>
          <w:b/>
          <w:bCs/>
          <w:i w:val="false"/>
          <w:iCs w:val="false"/>
          <w:sz w:val="26"/>
          <w:szCs w:val="26"/>
        </w:rPr>
        <w:t xml:space="preserve">Summary table: inputs and shared nodes of the network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206"/>
      </w:tblGrid>
      <w:tr>
        <w:trPr>
          <w:tblHeader/>
        </w:trPr>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Input</w:t>
            </w:r>
          </w:p>
        </w:tc>
        <w:tc>
          <w:tcPr>
            <w:tcW w:type="dxa" w:w="47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Mechanism</w:t>
            </w:r>
          </w:p>
        </w:tc>
        <w:tc>
          <w:tcPr>
            <w:tcW w:type="dxa" w:w="22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Shared node</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Epigenetic</w:t>
            </w:r>
          </w:p>
        </w:tc>
        <w:tc>
          <w:tcPr>
            <w:tcW w:type="dxa" w:w="4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NR2F1 → H3K27me3/H3K9me3 → p27/p16</w:t>
            </w:r>
          </w:p>
        </w:tc>
        <w:tc>
          <w:tcPr>
            <w:tcW w:type="dxa" w:w="22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p27</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Immune</w:t>
            </w:r>
          </w:p>
        </w:tc>
        <w:tc>
          <w:tcPr>
            <w:tcW w:type="dxa" w:w="4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IFN-γ → IDO1-kynurenine → AhR → p27</w:t>
            </w:r>
          </w:p>
        </w:tc>
        <w:tc>
          <w:tcPr>
            <w:tcW w:type="dxa" w:w="22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p27</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Mechanical</w:t>
            </w:r>
          </w:p>
        </w:tc>
        <w:tc>
          <w:tcPr>
            <w:tcW w:type="dxa" w:w="4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ECM stiffness → DDR2 → STAT1 → p27</w:t>
            </w:r>
          </w:p>
        </w:tc>
        <w:tc>
          <w:tcPr>
            <w:tcW w:type="dxa" w:w="22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p27</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Matrix–energetic</w:t>
            </w:r>
          </w:p>
        </w:tc>
        <w:tc>
          <w:tcPr>
            <w:tcW w:type="dxa" w:w="4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P4HA2: collagen hydroxylation + NAD⁺/NADH balance</w:t>
            </w:r>
          </w:p>
        </w:tc>
        <w:tc>
          <w:tcPr>
            <w:tcW w:type="dxa" w:w="22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NAD⁺/NADH</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Glycan</w:t>
            </w:r>
          </w:p>
        </w:tc>
        <w:tc>
          <w:tcPr>
            <w:tcW w:type="dxa" w:w="4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HBP → UDP-GlcNAc → CMP-sialic acid → sialylation (masking)</w:t>
            </w:r>
          </w:p>
        </w:tc>
        <w:tc>
          <w:tcPr>
            <w:tcW w:type="dxa" w:w="22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Acetyl-CoA</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6. An applied question: not which pathway dominates in general, but which dominates in a specific case</w:t>
      </w:r>
    </w:p>
    <w:p>
      <w:pPr>
        <w:spacing w:after="160" w:line="276"/>
        <w:jc w:val="both"/>
      </w:pPr>
      <w:r>
        <w:rPr>
          <w:rFonts w:ascii="Times New Roman" w:cs="Times New Roman" w:eastAsia="Times New Roman" w:hAnsi="Times New Roman"/>
          <w:b w:val="false"/>
          <w:bCs w:val="false"/>
          <w:i w:val="false"/>
          <w:iCs w:val="false"/>
          <w:sz w:val="24"/>
          <w:szCs w:val="24"/>
        </w:rPr>
        <w:t xml:space="preserve">Since inputs converge on shared nodes not universally, but differently across tissues (DDR2→p27 produces quiescence in one case, the TNNT1 pathway produces awakening in another, under the same variable — stiffness), “which pathway dominates” is not a general fact about the cell but a fact about the specific tissue/context, which must be established separately each time rather than sought as a single universal answer.</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each practical case requires an explicit applied layer: (a) the goal — whether the locks need to be preserved or bypassed; (b) which input practically dominates in this specific context; (c) why specifically that one, mechanistically, rather than by default.</w:t>
      </w:r>
    </w:p>
    <w:p>
      <w:pPr>
        <w:pStyle w:val="Heading1"/>
        <w:spacing w:after="200" w:before="300"/>
      </w:pPr>
      <w:r>
        <w:rPr>
          <w:rFonts w:ascii="Times New Roman" w:cs="Times New Roman" w:eastAsia="Times New Roman" w:hAnsi="Times New Roman"/>
          <w:b/>
          <w:bCs/>
          <w:i w:val="false"/>
          <w:iCs w:val="false"/>
          <w:sz w:val="26"/>
          <w:szCs w:val="26"/>
        </w:rPr>
        <w:t xml:space="preserve">Summary table: goal and dominant input by case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00"/>
        <w:gridCol w:w="3306"/>
      </w:tblGrid>
      <w:tr>
        <w:trPr>
          <w:tblHeader/>
        </w:trPr>
        <w:tc>
          <w:tcPr>
            <w:tcW w:type="dxa" w:w="2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Case</w:t>
            </w:r>
          </w:p>
        </w:tc>
        <w:tc>
          <w:tcPr>
            <w:tcW w:type="dxa" w:w="15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Goal</w:t>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Dominant input</w:t>
            </w:r>
          </w:p>
        </w:tc>
        <w:tc>
          <w:tcPr>
            <w:tcW w:type="dxa" w:w="33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Why this one</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Disseminated tumor cells in bone marrow/liver</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Preserve</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Matrix — sign depends on tissue (DDR2 vs. TNNT1 pathway)</w:t>
            </w:r>
          </w:p>
        </w:tc>
        <w:tc>
          <w:tcPr>
            <w:tcW w:type="dxa" w:w="3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The same physical parameter (stiffness) produces opposite effects depending on which receptor is expressed in a given niche</w:t>
            </w:r>
          </w:p>
        </w:tc>
      </w:tr>
      <w:tr>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“Wake and kill” dormant tumor cells therapeutically</w:t>
            </w:r>
          </w:p>
        </w:tc>
        <w:tc>
          <w:tcPr>
            <w:tcW w:type="dxa" w:w="1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Bypass</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Immune (IFN-γ) or mechanical (DDR2), depending on which pathway converges on p27 in a given tumor</w:t>
            </w:r>
          </w:p>
        </w:tc>
        <w:tc>
          <w:tcPr>
            <w:tcW w:type="dxa" w:w="3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Releasing arrest through any input converging on p27 restores the cell's vulnerability to cytotoxic therapy</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Stem cell reserve exhaustion in aging</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Preserve</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Energetic, via the niche (Paneth cells) rather than the cell directly</w:t>
            </w:r>
          </w:p>
        </w:tc>
        <w:tc>
          <w:tcPr>
            <w:tcW w:type="dxa" w:w="3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It has been shown that niche, not cell-autonomous, mTOR determines preservation of the reserve</w:t>
            </w:r>
          </w:p>
        </w:tc>
      </w:tr>
      <w:tr>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Tissue regeneration requiring mobilization of the reserve</w:t>
            </w:r>
          </w:p>
        </w:tc>
        <w:tc>
          <w:tcPr>
            <w:tcW w:type="dxa" w:w="1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Bypass</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Tissue injury signal (paligenosis) + temporary lifting of immunological ignorance via scale</w:t>
            </w:r>
          </w:p>
        </w:tc>
        <w:tc>
          <w:tcPr>
            <w:tcW w:type="dxa" w:w="3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The bypass must remain quantitatively small and brief — otherwise the threshold of immunological ignorance is exceeded</w:t>
            </w:r>
          </w:p>
        </w:tc>
      </w:tr>
      <w:tr>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Autoimmune process</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Restore</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MMP suppression (corticosteroids)</w:t>
            </w:r>
          </w:p>
        </w:tc>
        <w:tc>
          <w:tcPr>
            <w:tcW w:type="dxa" w:w="3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Restoring the physical barrier may be a separate mechanism of action, not reducible to direct immunosuppression</w:t>
            </w:r>
          </w:p>
        </w:tc>
      </w:tr>
      <w:tr>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Clearance of senescent cells</w:t>
            </w:r>
          </w:p>
        </w:tc>
        <w:tc>
          <w:tcPr>
            <w:tcW w:type="dxa" w:w="1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Bypass</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PD-L1 blockade</w:t>
            </w:r>
          </w:p>
        </w:tc>
        <w:tc>
          <w:tcPr>
            <w:tcW w:type="dxa" w:w="3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The only known masking mechanism of the senescent cell — unlike the tumor, where multiple mechanisms exist and must be neutralized</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7.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question “how do the three locks relate to one another” has been reformulated twice over the course of this review. First — from “how many locks” to “how many independent inputs converge on how many shared nodes”: at least two such nodes have been established (p27; the NAD⁺/NADH–acetyl-CoA linkage) and at least four independent inputs (epigenetic, immune, mechanical, glycan). The energetic and matrix “locks” turn out, in one documented case (P4HA2), to be not two systems but one process. Then — from a descriptive question to an applied one: since the sign and dominance of a specific input depend on tissue rather than being universal, the practical task in each case is first to establish which input actually governs the tissue in question, and only then to decide whether the lock should be preserved, bypassed, or restored. This is not a final model but a working principle for further, case-specific work.</w:t>
      </w:r>
    </w:p>
    <w:p>
      <w:pPr>
        <w:spacing w:after="160" w:line="276"/>
        <w:jc w:val="both"/>
      </w:pPr>
      <w:r>
        <w:rPr>
          <w:rFonts w:ascii="Times New Roman" w:cs="Times New Roman" w:eastAsia="Times New Roman" w:hAnsi="Times New Roman"/>
          <w:b w:val="false"/>
          <w:bCs w:val="false"/>
          <w:i/>
          <w:iCs/>
          <w:sz w:val="24"/>
          <w:szCs w:val="24"/>
        </w:rPr>
        <w:t xml:space="preserve">Note: the P4HA2 study (ref. 2) is a Research Square preprint that had not undergone peer review at the time of writing; this should be taken into account when using it to support strong claims.</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Li C, Qiu S, Liu X, Guo F, Zhai J, Li Z, Deng L, Ge L, Qian H, Yang L, Xu B. Extracellular matrix-derived mechanical force governs breast cancer cell stemness and quiescence transition through integrin-DDR signaling. Signal Transduct Target Ther. 2023;8:247. doi:10.1038/s41392-023-01453-0.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De Martino D, Zapatería B, Dunne JB, Drapela S, Matteson K, Oruko D, Humphrey T, Jonhston T, Varghese BA, Riggio AI, Tiwary K, Bresnahan E, Barra J, Sowa A, Jenssen W, Sidoli S, Welm AL, Barroso M, Stallaert W, Gomes AP, Angel PM, Arias E, Bravo-Cordero JJ. Collagen hydroxylation couples NAD+/NADH dynamics to tumor dormancy and reactivation. Res Sq [preprint, not peer-reviewed]. 2025. doi:10.21203/rs.3.rs-6986228/v1.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Ji L, Peng J, Lin Y, et al. High extracellular matrix stiffness upregulates TNNT1 to awaken dormant tumor cells in liver metastatic niches of gastric cancer. Cell Oncol (Dordr). 2025;48(3):815–834. doi:10.1007/s13402-025-01053-w.</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The Hexosamine Biosynthesis Pathway: Regulation and Function. Genes (MDPI). 2023;14(4):933.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Fueling the fire: emerging role of the hexosamine biosynthetic pathway in cancer. BMC Biol. 2019.</w:t>
      </w:r>
    </w:p>
    <w:p>
      <w:r>
        <w:br w:type="page"/>
      </w:r>
    </w:p>
    <w:p>
      <w:pPr>
        <w:spacing w:after="400"/>
        <w:jc w:val="center"/>
      </w:pPr>
      <w:r>
        <w:rPr>
          <w:rFonts w:ascii="Times New Roman" w:cs="Times New Roman" w:eastAsia="Times New Roman" w:hAnsi="Times New Roman"/>
          <w:b/>
          <w:bCs/>
          <w:i w:val="false"/>
          <w:iCs w:val="false"/>
          <w:sz w:val="24"/>
          <w:szCs w:val="24"/>
        </w:rPr>
        <w:t xml:space="preserve">Antigenic and Debris Littering: A Third Physical Mechanism of Immune Evasion, and the Dose-Dependent Switch from Ignorance to Exhaustion</w:t>
      </w:r>
    </w:p>
    <w:p>
      <w:pPr>
        <w:pStyle w:val="Heading1"/>
        <w:spacing w:after="200" w:before="300"/>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Beyond receptor-based masking and matrix stiffness, tumor cells and their breakdown products actively litter the surrounding matrix and, as tumor size increases, the draining lymphatic system with debris and extracellular vesicles (EVs) carrying immunosuppressive cargo. This is established as a distinct, third physical mechanism of immune evasion — neither a variant of the antigen sink (which works through receptor over-expression) nor of ECM stiffness (mechanical exclusion), but a spatial substrate combining decoy and active immunosuppressive signaling. Separately, T-cell hypofunction is shown to follow a two-humped, not monotonic, curve across the antigen-dose spectrum: insufficient dose produces immunological ignorance (Article 2), while sustained excessive dose — reached specifically as tumor burden and debris/EV shedding into the lymphatics grow — produces T-cell exhaustion, a distinct, epigenetically locked-in dysfunction. A framework hypothesis proposes that littering is the physical channel through which the same tumor switches, over its growth trajectory, from evading immune engagement entirely (ignorance) to engaging and then disabling it (exhaustion). This article is offered as a present-day, evidence-based revival of the framework's own L&amp;C Principle (Framework 1.2), whose original, informal sense — accumulation and scattering of debris by the clone — is here given a specific mechanistic and immunological content.</w:t>
      </w:r>
    </w:p>
    <w:p>
      <w:pPr>
        <w:pStyle w:val="Heading1"/>
        <w:spacing w:after="200" w:before="300"/>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Article 4 (masking layers) and Article 5 (three locks) of this series catalog receptor-based and mechanical mechanisms of immune evasion. This article addresses a mechanism operating at a different level: not what the tumor cell displays or how stiff its niche is, but what it sheds into the surrounding space and, at sufficient tumor burden, into the lymphatic system — and how the resulting dose of material determines which of two structurally distinct T-cell failure modes results. It also returns to an earlier, informally stated idea in the framework, the L&amp;C Principle of Framework 1.2, whose original organizing question (“who owns the reserve?”) is given here a concrete physical mechanism: control over the reserve is contested, in part, through accumulation and scattering of debris around it.</w:t>
      </w:r>
    </w:p>
    <w:p>
      <w:pPr>
        <w:pStyle w:val="Heading1"/>
        <w:spacing w:after="200" w:before="300"/>
      </w:pPr>
      <w:r>
        <w:rPr>
          <w:rFonts w:ascii="Times New Roman" w:cs="Times New Roman" w:eastAsia="Times New Roman" w:hAnsi="Times New Roman"/>
          <w:b/>
          <w:bCs/>
          <w:i w:val="false"/>
          <w:iCs w:val="false"/>
          <w:sz w:val="26"/>
          <w:szCs w:val="26"/>
        </w:rPr>
        <w:t xml:space="preserve">2. Established: tumor-derived debris and extracellular vesicles as a third physical mechanism</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tumor cells release extracellular vesicles (exosomes, microvesicles) carrying bioactive cargo — soluble MHC-I, PD-L1, TGF-β, IL-10, nucleic acids — that shape the tumor microenvironment. These vesicles are not passive byproducts: cancer stem cell-derived EVs enriched in TSPAN8 have been directly shown, in treatment-naive triple-negative breast cancer, to drive regulatory T-cell differentiation and expansion via a paracrine LKB1-AMPK–FOXP3 signaling cascade, and tumor-derived EVs more broadly impair T-cell activation and reduce NK-cell cytotoxicity.</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a distinct physical mechanism from the two already established in this series — not the antigen sink (Article 7 of Framework 1.4; receptor/soluble-antigen over-expression) and not ECM stiffness (Article 5 above; mechanical exclusion via collagen crosslinking). Debris and EVs perform two functions simultaneously: (1) a decoy function, diluting specific antigen recognition, structurally analogous to the antigen sink; and (2) an active signaling function, delivering immunosuppressive cargo directly into contact with immune cells, which the antigen sink does not do on its own.</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accumulated debris and EVs in the peritumoral matrix constitute a third, independent physical input into the network of shared nodes described in Article 5 — one that may also contribute physical bulk to the mechanical exclusion mechanism (Lock 3), without requiring receptor-level masking by the tumor cell itself.</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experimental removal of vesicular/cellular debris from the microenvironment (without altering collagen stiffness itself) does not restore T/NK infiltration and cytotoxicity, the hypothesis of an independent contribution from littering is false, and the effect should be attributed entirely to matrix stiffness or soluble antigen sink individually, rather than to their physical admixture.</w:t>
      </w:r>
    </w:p>
    <w:p>
      <w:pPr>
        <w:pStyle w:val="Heading1"/>
        <w:spacing w:after="200" w:before="300"/>
      </w:pPr>
      <w:r>
        <w:rPr>
          <w:rFonts w:ascii="Times New Roman" w:cs="Times New Roman" w:eastAsia="Times New Roman" w:hAnsi="Times New Roman"/>
          <w:b/>
          <w:bCs/>
          <w:i w:val="false"/>
          <w:iCs w:val="false"/>
          <w:sz w:val="26"/>
          <w:szCs w:val="26"/>
        </w:rPr>
        <w:t xml:space="preserve">3. Established: immune dysfunction is not monotonic across antigen dose — ignorance and exhaustion are distinct mechanisms at opposite ends of the scale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T-cell hypofunction is formally classified by mechanism according to antigen dose: ignorance results from low antigen expression, typically early in tumorigenesis, when too little material reaches the draining lymph nodes to engage the T-cell compartment at all (Article 2 of this series). Exhaustion, by contrast, results from sustained, high antigenic burden within the tumor microenvironment, driven by continual antigen exposure without adequate co-stimulation, and develops progressively over weeks to months through a distinct, TOX-dependent epigenetic program, marked by rising expression of PD-1, LAG-3, and TIM-3 and mitochondrial dysfunction.</w:t>
      </w:r>
      <w:r>
        <w:rPr>
          <w:rFonts w:ascii="Times New Roman" w:cs="Times New Roman" w:eastAsia="Times New Roman" w:hAnsi="Times New Roman"/>
          <w:b w:val="false"/>
          <w:bCs w:val="false"/>
          <w:i w:val="false"/>
          <w:iCs w:val="false"/>
          <w:sz w:val="24"/>
          <w:szCs w:val="24"/>
          <w:vertAlign w:val="superscript"/>
        </w:rPr>
        <w:t xml:space="preserve">[3,4]</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direct experimental confirmation comes from a mouse model of chronic hepatitis B: high, but not low, antigen levels induced CD8+ T-cell dysfunction (elevated PD-1, viral persistence), demonstrating a dose threshold rather than a graded response. In human tumors, higher tumor-associated antigen burden correlates with deeper T-cell exhaustion states, and melanomas with the highest exhaustion show the greatest antigen burden — larger antigenic load associates with more profound dysfunction, not a stronger response.</w:t>
      </w:r>
      <w:r>
        <w:rPr>
          <w:rFonts w:ascii="Times New Roman" w:cs="Times New Roman" w:eastAsia="Times New Roman" w:hAnsi="Times New Roman"/>
          <w:b w:val="false"/>
          <w:bCs w:val="false"/>
          <w:i w:val="false"/>
          <w:iCs w:val="false"/>
          <w:sz w:val="24"/>
          <w:szCs w:val="24"/>
          <w:vertAlign w:val="superscript"/>
        </w:rPr>
        <w:t xml:space="preserve">[5,6]</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makes the antigen-dose axis two-humped rather than monotonic with respect to failure mode: too little antigen reaching the lymphatics produces ignorance (T cells never engage); too much, sustained over time, produces exhaustion (T cells engage but progressively lose function through a distinct, epigenetically locked-in program). This is not “overload” in a generic sense but a specific, independently characterized pathway, mechanistically distinct from ignorance rather than merely its intensified continuation.</w:t>
      </w:r>
      <w:r>
        <w:rPr>
          <w:rFonts w:ascii="Times New Roman" w:cs="Times New Roman" w:eastAsia="Times New Roman" w:hAnsi="Times New Roman"/>
          <w:b w:val="false"/>
          <w:bCs w:val="false"/>
          <w:i w:val="false"/>
          <w:iCs w:val="false"/>
          <w:sz w:val="24"/>
          <w:szCs w:val="24"/>
          <w:vertAlign w:val="superscript"/>
        </w:rPr>
        <w:t xml:space="preserve">[7]</w:t>
      </w:r>
    </w:p>
    <w:p>
      <w:pPr>
        <w:pStyle w:val="Heading1"/>
        <w:spacing w:after="200" w:before="300"/>
      </w:pPr>
      <w:r>
        <w:rPr>
          <w:rFonts w:ascii="Times New Roman" w:cs="Times New Roman" w:eastAsia="Times New Roman" w:hAnsi="Times New Roman"/>
          <w:b/>
          <w:bCs/>
          <w:i w:val="false"/>
          <w:iCs w:val="false"/>
          <w:sz w:val="26"/>
          <w:szCs w:val="26"/>
        </w:rPr>
        <w:t xml:space="preserve">4. Framework hypothesis: littering as the physical channel switching a tumor from ignorance to exhaustion over its growth trajectory</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same physical channel — debris and EV shedding into the peritumoral matrix and, as the tumor grows, into the draining lymphatic system — may be responsible for switching the dominant T-cell failure mode over a tumor's growth trajectory. In a small, recently arisen clone, material reaching the lymph nodes remains below the threshold required to engage the T-cell compartment (ignorance, Article 2). As the tumor grows and littering increases, sustained antigen delivery through the same channel crosses the threshold into chronic engagement without resolution, driving progressive exhaustion instead.</w:t>
      </w:r>
    </w:p>
    <w:p>
      <w:pPr>
        <w:spacing w:after="160" w:line="276"/>
        <w:jc w:val="both"/>
      </w:pPr>
      <w:r>
        <w:rPr>
          <w:rFonts w:ascii="Times New Roman" w:cs="Times New Roman" w:eastAsia="Times New Roman" w:hAnsi="Times New Roman"/>
          <w:b/>
          <w:bCs/>
          <w:i w:val="false"/>
          <w:iCs w:val="false"/>
          <w:sz w:val="24"/>
          <w:szCs w:val="24"/>
        </w:rPr>
        <w:t xml:space="preserve">Framework observation — link to the shared-node network (Article 5): </w:t>
      </w:r>
      <w:r>
        <w:rPr>
          <w:rFonts w:ascii="Times New Roman" w:cs="Times New Roman" w:eastAsia="Times New Roman" w:hAnsi="Times New Roman"/>
          <w:b w:val="false"/>
          <w:bCs w:val="false"/>
          <w:i w:val="false"/>
          <w:iCs w:val="false"/>
          <w:sz w:val="24"/>
          <w:szCs w:val="24"/>
        </w:rPr>
        <w:t xml:space="preserve">if this is correct, littering functions as a shared spatial substrate through which two already-established, mechanistically distinct T-cell failure modes (ignorance and exhaustion) are realized sequentially in the same tumor, rather than requiring two independently triggered mechanisms for different tumors. Exhaustion itself is already known to converge on nodes analogous to those catalogued in the shared-node network: PD-1 signaling restricts glycolysis in the same way already noted for effector T cells, and TOX functions as an epigenetic state-lock structurally analogous to NR2F1 in the energetic lock of dormancy.</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the transition from ignorance to exhaustion does not correlate with tumor volume or with the accumulated antigenic/debris load reaching the draining lymph nodes — for example, if it is determined solely by tumor type or elapsed time independent of dose, the hypothesis of a single, dose-dependent channel is false, and ignorance and exhaustion should be treated as two independently triggered mechanisms rather than sequential stages of one growth trajectory.</w:t>
      </w:r>
    </w:p>
    <w:p>
      <w:pPr>
        <w:pStyle w:val="Heading1"/>
        <w:spacing w:after="200" w:before="300"/>
      </w:pPr>
      <w:r>
        <w:rPr>
          <w:rFonts w:ascii="Times New Roman" w:cs="Times New Roman" w:eastAsia="Times New Roman" w:hAnsi="Times New Roman"/>
          <w:b/>
          <w:bCs/>
          <w:i w:val="false"/>
          <w:iCs w:val="false"/>
          <w:sz w:val="26"/>
          <w:szCs w:val="26"/>
        </w:rPr>
        <w:t xml:space="preserve">Summary table: ignorance vs. exhaustion across the antigen-dose spectrum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6"/>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Ignorance</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Exhaustion</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Antigen dose</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Insufficient — fails to reach draining lymph nodes in quantity</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Excessive and sustained — chronic high burden in the TME</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T-cell engagement</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None — T cells never engage</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Engaged, then progressively disabled</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Mechanism</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Threshold/quantitative (Ochsenbein 1999; Kurts 1999)</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TOX-dependent epigenetic program; PD-1/LAG-3/TIM-3 upregulation; mitochondrial dysfunction</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Typical tumor stage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Early, small clone</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Established, larger tumor with sustained antigen/debris shedding</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Reversibility</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Trivial — any dose increase ends ignorance</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Difficult — epigenetically locked in over weeks to months</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5. Cross-reference: a revival of the L&amp;C Principle (Framework 1.2)</w:t>
      </w:r>
    </w:p>
    <w:p>
      <w:pPr>
        <w:spacing w:after="160" w:line="276"/>
        <w:jc w:val="both"/>
      </w:pPr>
      <w:r>
        <w:rPr>
          <w:rFonts w:ascii="Times New Roman" w:cs="Times New Roman" w:eastAsia="Times New Roman" w:hAnsi="Times New Roman"/>
          <w:b w:val="false"/>
          <w:bCs w:val="false"/>
          <w:i w:val="false"/>
          <w:iCs w:val="false"/>
          <w:sz w:val="24"/>
          <w:szCs w:val="24"/>
        </w:rPr>
        <w:t xml:space="preserve">Framework 1.2 organized the reserve-capture model around the question “who owns the reserve?” and included, in preliminary and informal form, an L&amp;C Principle centered on accumulation and scattering of debris by the clone. This article gives that early idea a specific, current mechanistic and immunological content: the clone contests control over its niche's reserve not only by growing, but by littering — accumulating debris locally (Section 2) and, as it grows, casting it further into the lymphatic system (Sections 3–4), with the immune system itself as one of the resources being displaced. The connection is offered here as a cross-reference rather than a renaming; a full reconciliation with the original formulation of the L&amp;C Principle, if one exists in fuller form elsewhere in the framework, is left for a future revision.</w:t>
      </w:r>
    </w:p>
    <w:p>
      <w:pPr>
        <w:pStyle w:val="Heading1"/>
        <w:spacing w:after="200" w:before="300"/>
      </w:pPr>
      <w:r>
        <w:rPr>
          <w:rFonts w:ascii="Times New Roman" w:cs="Times New Roman" w:eastAsia="Times New Roman" w:hAnsi="Times New Roman"/>
          <w:b/>
          <w:bCs/>
          <w:i w:val="false"/>
          <w:iCs w:val="false"/>
          <w:sz w:val="26"/>
          <w:szCs w:val="26"/>
        </w:rPr>
        <w:t xml:space="preserve">6.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Tumor debris and extracellular vesicles constitute a third physical mechanism of immune evasion, distinct from receptor masking and matrix stiffness, combining decoy and active immunosuppressive signaling in a single spatial substrate. Across the antigen-dose spectrum this same channel may connect two already-distinct, well-characterized T-cell failure modes — ignorance at insufficient dose and exhaustion at excessive, sustained dose — into a single growth-dependent trajectory for a given tumor, rather than two separately triggered phenomena. This reframes tumor growth itself as a variable that shifts the dominant mode of immune failure, with direct implications for the “applied” case-by-case framework proposed in Article 5: knowing where a tumor sits on this trajectory should determine whether the therapeutic target is restoring engagement (small, ignorance-dominant tumors) or reversing an epigenetically locked exhaustion program (large, exhaustion-dominant tumors). More broadly, this article proposes itself as a concrete, present-day development of the framework's own earlier L&amp;C Principle.</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hypothesis correspond to the claim-marking system adopted for the whole framework starting with Framework 1.4.</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Fan G, Wang H, et al. Cancer stem cells orchestrate immune evasion through extracellular vesicle-mediated non-canonical signaling pathways. Cancer Cell. 2026;44 [Fan and Wang confirmed via the associated Dryad dataset record; complete author byline not independently verified beyond these two].</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Cancer cell-derived extracellular vesicles: a potential target for overcoming tumor immunotherapy resistance and immune evasion strategies. Front Immunol. 2025. PMC12198139.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Clinical implications of T cell exhaustion for cancer immunotherapy. PMC10984554.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The mechanisms and clinical significance of CD8+ T cell exhaustion in anti-tumor immunity. Cancer Biol Med. 2025.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Rexhouse C, Bailey JT, Moshkani S, Cimino JL, Robek MD. High antigen burden drives CD8+ T cell dysfunction in a mouse model of chronic hepatitis B virus infection. J Virol. 2025. doi:10.1128/jvi.00711-25.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Tumor-Associated Antigen Burden Correlates with Immune Checkpoint Blockade Benefit in Tumors with Low Levels of T-cell Exhaustion. PMC11534523.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The Tumor Microenvironment: A Milieu Hindering and Obstructing Antitumor Immune Responses. Front Immunol. 2020. doi:10.3389/fimmu.2020.00940.</w:t>
      </w:r>
    </w:p>
    <w:p>
      <w:r>
        <w:br w:type="page"/>
      </w:r>
    </w:p>
    <w:p>
      <w:pPr>
        <w:spacing w:after="400"/>
        <w:jc w:val="center"/>
      </w:pPr>
      <w:r>
        <w:rPr>
          <w:rFonts w:ascii="Times New Roman" w:cs="Times New Roman" w:eastAsia="Times New Roman" w:hAnsi="Times New Roman"/>
          <w:b/>
          <w:bCs/>
          <w:i w:val="false"/>
          <w:iCs w:val="false"/>
          <w:sz w:val="23"/>
          <w:szCs w:val="23"/>
        </w:rPr>
        <w:t xml:space="preserve">Why Surgery Often Fails and Combined Chemo-Immunotherapy Does Not Eliminate All Clones: Debris Littering, the Wound-Healing Trigger, and Release of the Energy Window</w:t>
      </w:r>
    </w:p>
    <w:p>
      <w:pPr>
        <w:pStyle w:val="Heading1"/>
        <w:spacing w:after="200" w:before="300"/>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Surgical resection frequently fails to prevent recurrence not because tumor is incompletely excised, but because three largely independent mechanisms act on cells that were already disseminated before surgery. First, disseminated tumor cells (DTCs) are typically seeded into bone marrow and other niches long before the primary tumor is detected. Second, the wound-healing response to surgery itself — independent of whether cancer cells are physically released during resection — reactivates these already-dormant cells by degrading the exact niche signals (laminin, basement membrane) already established in this series as maintaining dormancy, while simultaneously suppressing the immune lock. Third, and independently, the primary tumor itself had been holding distant micrometastases in a dormant, avascular state through circulating anti-angiogenic factors and monopoly over the local energy window (Framework 1.0); its removal releases both. Separately, combined chemotherapy and immunotherapy fails to eliminate all clones because residual disease is heterogeneous along two axes already established in this series: which lock (energetic, immune, mechanical) dominates in a given niche (Article 5), and where a given clone sits on the ignorance-to-exhaustion trajectory (Article 6) — no single combination addresses both axes simultaneously, and the debris generated by therapy-induced cell death may itself worsen the picture by advancing some clones along the same trajectory.</w:t>
      </w:r>
    </w:p>
    <w:p>
      <w:pPr>
        <w:pStyle w:val="Heading1"/>
        <w:spacing w:after="200" w:before="300"/>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Two clinical observations motivate this article: recurrence after apparently complete surgical resection, and residual, drug-resistant disease despite combined systemic therapy. The first is shown here to follow from three largely independent mechanisms already established or directly implied by this series: wound-healing-driven breach of the matrix and immune locks (Sections 3–4), debris littering (Article 6, cross-referenced in Section 6), and release of the energy window previously monopolized by the primary tumor (Section 5). The second follows from the heterogeneity of residual clones along two axes established in Articles 5 and 6 (Section 6).</w:t>
      </w:r>
    </w:p>
    <w:p>
      <w:pPr>
        <w:pStyle w:val="Heading1"/>
        <w:spacing w:after="200" w:before="300"/>
      </w:pPr>
      <w:r>
        <w:rPr>
          <w:rFonts w:ascii="Times New Roman" w:cs="Times New Roman" w:eastAsia="Times New Roman" w:hAnsi="Times New Roman"/>
          <w:b/>
          <w:bCs/>
          <w:i w:val="false"/>
          <w:iCs w:val="false"/>
          <w:sz w:val="26"/>
          <w:szCs w:val="26"/>
        </w:rPr>
        <w:t xml:space="preserve">2. Established: disseminated tumor cells are typically seeded before the primary tumor is detected or resected</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up to 40% of breast cancer patients already have disseminated tumor cells in the bone marrow at the time of initial diagnosis of localized disease. These cells enter a dormant state maintained by mechanisms including secretory senescence, inflammation, bone marrow adipogenic conversion, autophagy, and epigenetic modification, and can recur stochastically for more than 20 years despite definitive systemic adjuvant therapy. Circulating and disseminated tumor cells are specifically capable of surviving chemotherapy, which targets actively proliferating cells and structurally cannot reach non-dividing, dormant populations.</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means surgical excision of the primary tumor, however complete, does not address a population that was never physically confined to the excised tissue in the first place. The relevant question for recurrence is not whether the surgeon achieved clean margins, but whether already-disseminated dormant cells remain locked (Article 5) or are subsequently released.</w:t>
      </w:r>
    </w:p>
    <w:p>
      <w:pPr>
        <w:pStyle w:val="Heading1"/>
        <w:spacing w:after="200" w:before="300"/>
      </w:pPr>
      <w:r>
        <w:rPr>
          <w:rFonts w:ascii="Times New Roman" w:cs="Times New Roman" w:eastAsia="Times New Roman" w:hAnsi="Times New Roman"/>
          <w:b/>
          <w:bCs/>
          <w:i w:val="false"/>
          <w:iCs w:val="false"/>
          <w:sz w:val="26"/>
          <w:szCs w:val="26"/>
        </w:rPr>
        <w:t xml:space="preserve">3. Established: surgical wound healing directly degrades the same niche signal already identified as maintaining dormancy</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surgical tissue injury triggers release of damage-associated molecular patterns (DAMPs — HMGB1, extracellular ATP, heat shock proteins), systemic inflammation, and neutrophil extracellular trap (NET) formation. NET-derived proteases specifically remodel extracellular matrix components — particularly laminin — providing a direct mechanistic link between surgery-associated inflammation and dormancy escape.</w:t>
      </w:r>
      <w:r>
        <w:rPr>
          <w:rFonts w:ascii="Times New Roman" w:cs="Times New Roman" w:eastAsia="Times New Roman" w:hAnsi="Times New Roman"/>
          <w:b w:val="false"/>
          <w:bCs w:val="false"/>
          <w:i w:val="false"/>
          <w:iCs w:val="false"/>
          <w:sz w:val="24"/>
          <w:szCs w:val="24"/>
          <w:vertAlign w:val="superscript"/>
        </w:rPr>
        <w:t xml:space="preserve">[2,3]</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not a generic “inflammation is bad” claim — it identifies the specific molecular target (laminin) already established in Article 1 (Section 3) as part of the niche composition that actively maintains quiescence. NET-mediated laminin degradation is a direct, mechanistically specific breach of Lock 3 (matrix, Article 5), executed by the patient's own wound-healing response rather than by the tumor.</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controlled experimental model, decoupling surgical wounding from tumor resection, showed that wounding alone — without any tumor present to resect — is sufficient to trigger outgrowth of distant tumors whose growth had been restricted by a tumor-specific T-cell response, and that perioperative anti-inflammatory treatment attenuates this effect and reduces early metastatic recurrence clinically. This rules out physical release of cells during resection as the principal mechanism (recurrence at the same elevated rate follows even complete mastectomy) and confirms the wound-healing response itself as sufficient and causal.</w:t>
      </w:r>
      <w:r>
        <w:rPr>
          <w:rFonts w:ascii="Times New Roman" w:cs="Times New Roman" w:eastAsia="Times New Roman" w:hAnsi="Times New Roman"/>
          <w:b w:val="false"/>
          <w:bCs w:val="false"/>
          <w:i w:val="false"/>
          <w:iCs w:val="false"/>
          <w:sz w:val="24"/>
          <w:szCs w:val="24"/>
          <w:vertAlign w:val="superscript"/>
        </w:rPr>
        <w:t xml:space="preserve">[4]</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experiment demonstrates that the trigger acts on both locks simultaneously identified in Article 5 as convergent: NET/DAMP-driven inflammation disrupts the matrix lock (laminin degradation) while the same inflammatory state suppresses the tumor-specific T-cell response maintaining the immune lock (elevated PD-L1/VEGF, MDSC and Treg expansion documented in the perioperative period). A single wound-healing event breaches two of the three locks at once.</w:t>
      </w:r>
    </w:p>
    <w:p>
      <w:pPr>
        <w:pStyle w:val="Heading1"/>
        <w:spacing w:after="200" w:before="300"/>
      </w:pPr>
      <w:r>
        <w:rPr>
          <w:rFonts w:ascii="Times New Roman" w:cs="Times New Roman" w:eastAsia="Times New Roman" w:hAnsi="Times New Roman"/>
          <w:b/>
          <w:bCs/>
          <w:i w:val="false"/>
          <w:iCs w:val="false"/>
          <w:sz w:val="26"/>
          <w:szCs w:val="26"/>
        </w:rPr>
        <w:t xml:space="preserve">4. Framework hypothesis: surgery reproduces the Phoenix Rising mechanism at a distance</w:t>
      </w:r>
    </w:p>
    <w:p>
      <w:pPr>
        <w:spacing w:after="160" w:line="276"/>
        <w:jc w:val="both"/>
      </w:pPr>
      <w:r>
        <w:rPr>
          <w:rFonts w:ascii="Times New Roman" w:cs="Times New Roman" w:eastAsia="Times New Roman" w:hAnsi="Times New Roman"/>
          <w:b/>
          <w:bCs/>
          <w:i w:val="false"/>
          <w:iCs w:val="false"/>
          <w:sz w:val="24"/>
          <w:szCs w:val="24"/>
        </w:rPr>
        <w:t xml:space="preserve">[Established, cross-reference to Framework 1.4] </w:t>
      </w:r>
      <w:r>
        <w:rPr>
          <w:rFonts w:ascii="Times New Roman" w:cs="Times New Roman" w:eastAsia="Times New Roman" w:hAnsi="Times New Roman"/>
          <w:b w:val="false"/>
          <w:bCs w:val="false"/>
          <w:i w:val="false"/>
          <w:iCs w:val="false"/>
          <w:sz w:val="24"/>
          <w:szCs w:val="24"/>
        </w:rPr>
        <w:t xml:space="preserve">Article 9 of Framework 1.4 established the Phoenix Rising pathway: dying cells activate caspase-3→iPLA2→PGE2 signaling that stimulates proliferation of surviving tumor cells and post-irradiation angiogenesis via VEGF-A — a mechanism previously documented for cytotoxic and radiation therapy specifically.</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surgical wounding activates a structurally analogous, but spatially displaced, version of this same pathway: cell death at the surgical site (rather than within a treated tumor) releases wound-healing factors (IL-6, G-CSF, MCP-1, osteopontin — documented as elevated in surgical wound fluid) that act systemically to awaken distant, previously dormant clones, rather than locally reactivating surviving cells at the treatment site as in the original formulation. Both share the same underlying logic established in this series: a physiological tissue-repair program, activated by cell death or injury, is co-opted by the tumor because the repair signal cannot distinguish healthy regeneration from reactivation of a malignant reserve.</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perioperative blockade of the specific Phoenix Rising cascade (caspase-3/PGE2/VEGF-A) does not reduce distant dormant-cell awakening independent of general anti-inflammatory effect, the proposed mechanistic overlap with Phoenix Rising is false, and surgical awakening should be attributed entirely to the DAMP/NET/laminin pathway (Section 3) rather than to a shared executive mechanism with therapy-induced reactivation.</w:t>
      </w:r>
    </w:p>
    <w:p>
      <w:pPr>
        <w:pStyle w:val="Heading1"/>
        <w:spacing w:after="200" w:before="300"/>
      </w:pPr>
      <w:r>
        <w:rPr>
          <w:rFonts w:ascii="Times New Roman" w:cs="Times New Roman" w:eastAsia="Times New Roman" w:hAnsi="Times New Roman"/>
          <w:b/>
          <w:bCs/>
          <w:i w:val="false"/>
          <w:iCs w:val="false"/>
          <w:sz w:val="26"/>
          <w:szCs w:val="26"/>
        </w:rPr>
        <w:t xml:space="preserve">5. Established + Framework hypothesis: release of the energy window through loss of concomitant tumor resistance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large primary tumor suppresses the growth of distant metastases through circulating anti-angiogenic factors — angiostatin, endostatin, thrombospondin-1 — that it (or its infiltrating macrophages) itself produces, a phenomenon termed concomitant tumor resistance. Surgical removal of the primary tumor causes a rapid drop in circulating levels of these factors, and previously dormant, avascular micrometastases neovascularize and grow; direct gene-transfer experiments (stable angiostatin-expressing clones) confirm the effect is causal, with the majority of animals maintaining pulmonary micrometastases in a dormant, avascular state for months only as long as the angiostatin-secreting primary tumor, or its transgenic equivalent, is present.</w:t>
      </w:r>
      <w:r>
        <w:rPr>
          <w:rFonts w:ascii="Times New Roman" w:cs="Times New Roman" w:eastAsia="Times New Roman" w:hAnsi="Times New Roman"/>
          <w:b w:val="false"/>
          <w:bCs w:val="false"/>
          <w:i w:val="false"/>
          <w:iCs w:val="false"/>
          <w:sz w:val="24"/>
          <w:szCs w:val="24"/>
          <w:vertAlign w:val="superscript"/>
        </w:rPr>
        <w:t xml:space="preserve">[5,6,7]</w:t>
      </w:r>
    </w:p>
    <w:p>
      <w:pPr>
        <w:spacing w:after="160" w:line="276"/>
        <w:jc w:val="both"/>
      </w:pPr>
      <w:r>
        <w:rPr>
          <w:rFonts w:ascii="Times New Roman" w:cs="Times New Roman" w:eastAsia="Times New Roman" w:hAnsi="Times New Roman"/>
          <w:b w:val="false"/>
          <w:bCs w:val="false"/>
          <w:i w:val="false"/>
          <w:iCs w:val="false"/>
          <w:sz w:val="24"/>
          <w:szCs w:val="24"/>
        </w:rPr>
        <w:t xml:space="preserve">Among the hypotheses proposed to explain this phenomenon in the literature is direct monopolization of nutrients and growth resources by the primary tumor, depriving secondary tumors of what they need to grow, alongside the anti-angiogenic and immune-mediated explanations.</w:t>
      </w:r>
      <w:r>
        <w:rPr>
          <w:rFonts w:ascii="Times New Roman" w:cs="Times New Roman" w:eastAsia="Times New Roman" w:hAnsi="Times New Roman"/>
          <w:b w:val="false"/>
          <w:bCs w:val="false"/>
          <w:i w:val="false"/>
          <w:iCs w:val="false"/>
          <w:sz w:val="24"/>
          <w:szCs w:val="24"/>
          <w:vertAlign w:val="superscript"/>
        </w:rPr>
        <w:t xml:space="preserve">[8]</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connects directly to the Energy Window concept already established in Framework 1.0. While the primary tumor dominates, it occupies the local/systemic energy window near-exclusively — not only through anti-angiogenic suppression of competitors, but potentially through direct resource competition — structurally excluding smaller, dormant clones from it. Removing the primary tumor does not merely lift a wound-healing trigger (Sections 3–4); it releases the entire energy window that the primary tumor had been monopolizing, now made available to clones that previously had no access to it.</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surgical removal of a dominant tumor acts through three parallel, mechanistically distinct pathways at once: (1) DAMP/NET-mediated breach of the matrix and immune locks (Sections 3–4); (2) residual debris littering from the resected tissue (Article 6); and (3) release of the energy window previously monopolized by the primary tumor via anti-angiogenic suppression and direct resource competition (this section) — the third of which requires neither inflammation nor debris to operate.</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exogenous administration of angiostatin/endostatin in the perioperative period (restoring the suppressed state without surgical wounding) does not slow the awakening of distant dormant clones as effectively as anti-inflammatory therapy (Section 4), the resource/anti-angiogenic mechanism is not an independent contributor, and the entire effect should be attributed to the inflammatory pathway alone.</w:t>
      </w:r>
    </w:p>
    <w:p>
      <w:pPr>
        <w:pStyle w:val="Heading1"/>
        <w:spacing w:after="200" w:before="300"/>
      </w:pPr>
      <w:r>
        <w:rPr>
          <w:rFonts w:ascii="Times New Roman" w:cs="Times New Roman" w:eastAsia="Times New Roman" w:hAnsi="Times New Roman"/>
          <w:b/>
          <w:bCs/>
          <w:i w:val="false"/>
          <w:iCs w:val="false"/>
          <w:sz w:val="26"/>
          <w:szCs w:val="26"/>
        </w:rPr>
        <w:t xml:space="preserve">Summary table: three independent surgical/therapeutic release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6"/>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Mechanism</w:t>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What is released</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Key mediators</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Wound-healing / Phoenix Rising at a distance (§3–4)</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Matrix lock (laminin degradation) and immune lock (T-cell suppression), simultaneously</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DAMPs (HMGB1), NETs, IL-6, G-CSF, MCP-1, osteopontin</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Debris littering (Article 6, cross-reference)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Advances residual clones along the ignorance→exhaustion axis</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Extracellular vesicles, soluble antigen, TOX-dependent exhaustion program</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Loss of concomitant tumor resistance / energy window release (§5)</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Anti-angiogenic suppression and resource monopoly held by the primary tumor</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Angiostatin, endostatin, thrombospondin-1; direct nutrient/growth-factor competition</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6. Framework hypothesis: combined chemo-immunotherapy fails because residual clones are heterogeneous along two independent axes</w:t>
      </w:r>
    </w:p>
    <w:p>
      <w:pPr>
        <w:spacing w:after="160" w:line="276"/>
        <w:jc w:val="both"/>
      </w:pPr>
      <w:r>
        <w:rPr>
          <w:rFonts w:ascii="Times New Roman" w:cs="Times New Roman" w:eastAsia="Times New Roman" w:hAnsi="Times New Roman"/>
          <w:b w:val="false"/>
          <w:bCs w:val="false"/>
          <w:i w:val="false"/>
          <w:iCs w:val="false"/>
          <w:sz w:val="24"/>
          <w:szCs w:val="24"/>
        </w:rPr>
        <w:t xml:space="preserve">Article 6 of this series established that T-cell hypofunction follows a two-humped curve across antigen dose (ignorance vs. exhaustion), driven in part by debris littering into the lymphatic system.</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residual disease after combined chemotherapy and immunotherapy is not a uniform population but a mixture of clones distributed differently along two axes already established in this series: (a) which lock — energetic, immune, or mechanical (Article 5) — dominantly protects a given clone in its specific niche; and (b) where a given clone sits on the ignorance-to-exhaustion trajectory (Article 6).</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predicts systematic, structural blind spots for the standard combination, not merely incomplete efficacy:</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Dormant clones protected chiefly by the energetic lock (non-dividing, low metabolism) are structurally invisible to chemotherapy, which requires active proliferation to act.</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Clones still in the ignorance phase (too few cells, insufficient antigen reaching lymph nodes) have no exhausted T-cell population for checkpoint immunotherapy to reinvigorate — there is nothing to “release the brake” on.</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Clones protected chiefly by the mechanical lock (dense, crosslinked matrix excluding immune cells) remain physically inaccessible to reinvigorated T cells even if checkpoint blockade successfully reverses exhaustion elsewhere.</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Clones already terminally exhausted (as opposed to the stem-like TCF-1+ exhausted subset maintained in tumor-draining lymph nodes) may not respond to checkpoint blockade at all, since terminal exhaustion is epigenetically fixed.</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therapy-induced cell death itself (from chemotherapy or from immune-mediated killing) adds to peritumoral and lymphatic debris load (Article 6), potentially advancing clones that were in the ignorance phase toward the exhaustion threshold rather than clearing them — a paradoxical, dose-dependent worsening for a specific sub-population, occurring concurrently with genuine clearance of other, chemo-sensitive clones.</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residual clones surviving combined therapy do not show the predicted heterogeneity — that is, if they are uniformly explained by a single resistance mechanism rather than by different dominant locks and different positions on the ignorance–exhaustion axis — the two-axis heterogeneity hypothesis is false, and a simpler, single-mechanism model of therapy resistance should be preferred.</w:t>
      </w:r>
    </w:p>
    <w:p>
      <w:pPr>
        <w:pStyle w:val="Heading1"/>
        <w:spacing w:after="200" w:before="300"/>
      </w:pPr>
      <w:r>
        <w:rPr>
          <w:rFonts w:ascii="Times New Roman" w:cs="Times New Roman" w:eastAsia="Times New Roman" w:hAnsi="Times New Roman"/>
          <w:b/>
          <w:bCs/>
          <w:i w:val="false"/>
          <w:iCs w:val="false"/>
          <w:sz w:val="26"/>
          <w:szCs w:val="26"/>
        </w:rPr>
        <w:t xml:space="preserve">Summary table: why each residual clone type escapes standard combined therapy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Clone type</w:t>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Dominant protection</w:t>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Why chemotherapy misses it</w:t>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Why immunotherapy misses it</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Dormant, energetically locked</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Lock 1 (energetic)</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Non-proliferating — no target for cytotoxic action</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May be immunologically ignored (too few cells) — nothing to reinvigorate</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Mechanically shielded</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Lock 3 (matrix)</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May be proliferating but physically protected from drug penetration in some niches</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Reinvigorated T cells cannot physically reach the niche</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Terminally exhausted</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Immune lock, epigenetically fixed</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May be actively growing</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Checkpoint blockade cannot reverse terminal (only stem-like) exhaustion</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Newly awakened post-surgery</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Recently released from Locks 1–3 by wound healing and/or energy-window release</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Awakening often occurs after the surgical/adjuvant window</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Occurs after the immunotherapy course, in a new inflammatory and resource context</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7.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Surgery often fails not from incomplete resection but because removing a dominant tumor triggers three largely independent releases at once: a wound-healing response that breaches the matrix and immune locks by degrading laminin and suppressing T-cell activity (Sections 3–4), residual debris littering (Article 6), and the release of an energy window previously monopolized by the primary tumor through anti-angiogenic suppression and resource competition (Section 5) — acting on cells that were disseminated long before surgery and that chemotherapy cannot reach in their dormant state. Combined chemo-immunotherapy leaves residual disease not because either agent is weak, but because residual clones are heterogeneous along two independent axes (dominant lock, position on the ignorance–exhaustion trajectory) that neither agent alone, nor the standard combination, is positioned to address uniformly. Practically, this suggests perioperative and post-therapy intervention should be tailored not to tumor type alone but to which lock, which release mechanism, and which axis-position a given residual clone occupies — the same case-by-case principle already proposed in Article 5.</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interpretation / Framework hypothesis correspond to the claim-marking system adopted for the whole framework starting with Framework 1.4.</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Awakening of Dormant Breast Cancer Cells in the Bone Marrow. PMC10252003.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Surgical trauma-induced immunosuppression in cancer: recent advances and the potential therapies. PMC7240866.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Effects of surgery on cancer metastasis: biological mechanisms and perioperative implications. Front Oncol. 2026.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Krall JA, et al. The systemic response to surgery triggers the outgrowth of distant immune-controlled tumors in mouse models of dormancy. Sci Transl Med. 2018. PMC6364295.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O'Reilly MS, Holmgren L, Shing Y, Chen C, Rosenthal RA, Moses M, Lane WS, Cao Y, Sage EH, Folkman J. Angiostatin: a novel angiogenesis inhibitor that mediates the suppression of metastases by a Lewis lung carcinoma. Cell. 1994;79(2):315–328.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O'Reilly MS, Holmgren L, Chen C, Folkman J. Angiostatin induces and sustains dormancy of human primary tumors in mice. Nat Med. 1996;2(6):689–692.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Gorelik E. Concomitant tumor immunity and the resistance to a second tumor challenge. Adv Cancer Res. 1983;39:71–120.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Angiogenesis regulators as a possible key to accelerated growth of secondary tumors following primary tumor resection [preprint]. arXiv:1703.09994.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Surgery-induced wound response promotes stem-like and tumor-initiating features of breast cancer cells via STAT3 signaling. Oncotarget. 2014.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Surgical stress and cancer progression: the twisted tango. PMC6717988.</w:t>
      </w:r>
    </w:p>
    <w:p>
      <w:r>
        <w:br w:type="page"/>
      </w:r>
    </w:p>
    <w:p>
      <w:pPr>
        <w:spacing w:after="400"/>
        <w:jc w:val="center"/>
      </w:pPr>
      <w:r>
        <w:rPr>
          <w:rFonts w:ascii="Times New Roman" w:cs="Times New Roman" w:eastAsia="Times New Roman" w:hAnsi="Times New Roman"/>
          <w:b/>
          <w:bCs/>
          <w:i w:val="false"/>
          <w:iCs w:val="false"/>
          <w:sz w:val="26"/>
          <w:szCs w:val="26"/>
        </w:rPr>
        <w:t xml:space="preserve">Factors Influencing Clonal Dormancy, and Prospects for Managing the Process</w:t>
      </w:r>
    </w:p>
    <w:p>
      <w:pPr>
        <w:pStyle w:val="Heading1"/>
        <w:spacing w:after="200" w:before="300"/>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Across this series, clonal dormancy has been shown to depend not on one mechanism but on a network of factors operating at five levels — energetic, immune, matrix/mechanical, systemic/distant, and tissue-paracrine — that converge on a small number of shared executive nodes (p27; NAD⁺/NADH; acetyl-CoA) rather than acting as independent switches. This article catalogs the established factors at each level, restates the network view established in Article 5, and organizes therapeutic implications around a single operating principle already proposed there: for any given clone, the practical task is not to activate or block “dormancy” in general, but to identify which specific factor dominates in that niche, and whether the clinical goal is to preserve, bypass, or restore it. A dedicated section addresses an already-existing engineering solution to the central practical objection to “wake and kill” strategies — that nonspecific innate activation is difficult to control — by anchoring the activating signal to a targeting antibody.</w:t>
      </w:r>
    </w:p>
    <w:p>
      <w:pPr>
        <w:pStyle w:val="Heading1"/>
        <w:spacing w:after="200" w:before="300"/>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Dormancy in this series has never been a single on/off state. It is defended by an energetic lock, an immune lock, and a matrix lock (Article 5), modulated by an orthogonal energetic/growth-signal axis (Article 4), disturbed by tissue-level injury signals (Article 2), threatened by genomic desynchronization (Article 3), and — as Article 7 showed — released by events occurring at a distance from the dormant cell itself (surgery, loss of concomitant resistance, debris littering). This article does not introduce new mechanisms; it organizes the factors already established across Articles 1–7 into one reference structure, and turns the resulting map toward the practical question: what can, in principle, be done about it.</w:t>
      </w:r>
    </w:p>
    <w:p>
      <w:pPr>
        <w:pStyle w:val="Heading1"/>
        <w:spacing w:after="200" w:before="300"/>
      </w:pPr>
      <w:r>
        <w:rPr>
          <w:rFonts w:ascii="Times New Roman" w:cs="Times New Roman" w:eastAsia="Times New Roman" w:hAnsi="Times New Roman"/>
          <w:b/>
          <w:bCs/>
          <w:i w:val="false"/>
          <w:iCs w:val="false"/>
          <w:sz w:val="26"/>
          <w:szCs w:val="26"/>
        </w:rPr>
        <w:t xml:space="preserve">2. Established: the factor catalog, by level</w:t>
      </w:r>
    </w:p>
    <w:p>
      <w:pPr>
        <w:pStyle w:val="Heading2"/>
        <w:spacing w:after="130" w:before="220"/>
      </w:pPr>
      <w:r>
        <w:rPr>
          <w:rFonts w:ascii="Times New Roman" w:cs="Times New Roman" w:eastAsia="Times New Roman" w:hAnsi="Times New Roman"/>
          <w:b/>
          <w:bCs/>
          <w:i w:val="false"/>
          <w:iCs w:val="false"/>
          <w:sz w:val="24"/>
          <w:szCs w:val="24"/>
        </w:rPr>
        <w:t xml:space="preserve">2.1. Energetic factors</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IGF1R–mTOR–NR2F1 axis status — mTOR as a continuous integrator; NR2F1 as an epigenetic lock via H3K27me3/H3K9me3, inducing p27/p16 (Article 1, 5).</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Fuel regime (BGR vs. OXPHOS) — glycolysis protects the genome via acetyl-CoA availability for chromatin opening; the shift to OXPHOS competitively locks the state (the oxygen ratchet, Article 1, §5).</w:t>
      </w:r>
      <w:r>
        <w:rPr>
          <w:rFonts w:ascii="Times New Roman" w:cs="Times New Roman" w:eastAsia="Times New Roman" w:hAnsi="Times New Roman"/>
          <w:b w:val="false"/>
          <w:bCs w:val="false"/>
          <w:i w:val="false"/>
          <w:iCs w:val="false"/>
          <w:sz w:val="24"/>
          <w:szCs w:val="24"/>
          <w:vertAlign w:val="superscript"/>
        </w:rPr>
        <w:t xml:space="preserve">[1]</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Mitonuclear synchronization — stoichiometric balance between nuclear- and mitochondrially-encoded electron transport chain subunits; desynchronization is a candidate cause of permanent arrest (Article 3, §5).</w:t>
      </w:r>
      <w:r>
        <w:rPr>
          <w:rFonts w:ascii="Times New Roman" w:cs="Times New Roman" w:eastAsia="Times New Roman" w:hAnsi="Times New Roman"/>
          <w:b w:val="false"/>
          <w:bCs w:val="false"/>
          <w:i w:val="false"/>
          <w:iCs w:val="false"/>
          <w:sz w:val="24"/>
          <w:szCs w:val="24"/>
          <w:vertAlign w:val="superscript"/>
        </w:rPr>
        <w:t xml:space="preserve">[2]</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mTOR desynchronization (geroconversion) — arrest without simultaneous mTOR suppression converts a temporary pause into a permanent one (Article 3, §3).</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Systemic energetic/growth input — an axis orthogonal to fuel choice; caloric restriction and excess energy act symmetrically on both poles of imbalance through the same node (Article 4, §5–6).</w:t>
      </w:r>
      <w:r>
        <w:rPr>
          <w:rFonts w:ascii="Times New Roman" w:cs="Times New Roman" w:eastAsia="Times New Roman" w:hAnsi="Times New Roman"/>
          <w:b w:val="false"/>
          <w:bCs w:val="false"/>
          <w:i w:val="false"/>
          <w:iCs w:val="false"/>
          <w:sz w:val="24"/>
          <w:szCs w:val="24"/>
          <w:vertAlign w:val="superscript"/>
        </w:rPr>
        <w:t xml:space="preserve">[3,4]</w:t>
      </w:r>
    </w:p>
    <w:p>
      <w:pPr>
        <w:pStyle w:val="Heading2"/>
        <w:spacing w:after="130" w:before="220"/>
      </w:pPr>
      <w:r>
        <w:rPr>
          <w:rFonts w:ascii="Times New Roman" w:cs="Times New Roman" w:eastAsia="Times New Roman" w:hAnsi="Times New Roman"/>
          <w:b/>
          <w:bCs/>
          <w:i w:val="false"/>
          <w:iCs w:val="false"/>
          <w:sz w:val="24"/>
          <w:szCs w:val="24"/>
        </w:rPr>
        <w:t xml:space="preserve">2.2. Immune factors</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Target-cell masking — MHC-I/UPR downregulation, CD200–CD200R1, loss of ULBP, hypersialylation/Siglec-7/9, STING suppression, CD39/CD73/adenosine (Framework 1.4; Article 5, Lock 2).</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Metabolic immunosuppression — IFN-γ→IDO1-kynurenine→AhR→p27, converging on the same node as the energetic lock (Article 5).</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Quantitative/threshold protection — immunological ignorance: insufficient antigen dose reaching draining lymph nodes; geometric defense of spatial or temporal rarity (Article 2, §6.1; Article 6, §3).</w:t>
      </w:r>
      <w:r>
        <w:rPr>
          <w:rFonts w:ascii="Times New Roman" w:cs="Times New Roman" w:eastAsia="Times New Roman" w:hAnsi="Times New Roman"/>
          <w:b w:val="false"/>
          <w:bCs w:val="false"/>
          <w:i w:val="false"/>
          <w:iCs w:val="false"/>
          <w:sz w:val="24"/>
          <w:szCs w:val="24"/>
          <w:vertAlign w:val="superscript"/>
        </w:rPr>
        <w:t xml:space="preserve">[5,6]</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Glycan competition — the hexosamine biosynthesis pathway diverts acetyl-CoA toward sialylation-based masking, competing with the energetic lock for the same substrate (Article 5, §5).</w:t>
      </w:r>
      <w:r>
        <w:rPr>
          <w:rFonts w:ascii="Times New Roman" w:cs="Times New Roman" w:eastAsia="Times New Roman" w:hAnsi="Times New Roman"/>
          <w:b w:val="false"/>
          <w:bCs w:val="false"/>
          <w:i w:val="false"/>
          <w:iCs w:val="false"/>
          <w:sz w:val="24"/>
          <w:szCs w:val="24"/>
          <w:vertAlign w:val="superscript"/>
        </w:rPr>
        <w:t xml:space="preserve">[7]</w:t>
      </w:r>
    </w:p>
    <w:p>
      <w:pPr>
        <w:pStyle w:val="Heading2"/>
        <w:spacing w:after="130" w:before="220"/>
      </w:pPr>
      <w:r>
        <w:rPr>
          <w:rFonts w:ascii="Times New Roman" w:cs="Times New Roman" w:eastAsia="Times New Roman" w:hAnsi="Times New Roman"/>
          <w:b/>
          <w:bCs/>
          <w:i w:val="false"/>
          <w:iCs w:val="false"/>
          <w:sz w:val="24"/>
          <w:szCs w:val="24"/>
        </w:rPr>
        <w:t xml:space="preserve">2.3. Matrix/mechanical factors</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Niche composition — laminin and basement membrane components actively maintain quiescence, not merely house it (Article 1, §3; Article 7, §3).</w:t>
      </w:r>
      <w:r>
        <w:rPr>
          <w:rFonts w:ascii="Times New Roman" w:cs="Times New Roman" w:eastAsia="Times New Roman" w:hAnsi="Times New Roman"/>
          <w:b w:val="false"/>
          <w:bCs w:val="false"/>
          <w:i w:val="false"/>
          <w:iCs w:val="false"/>
          <w:sz w:val="24"/>
          <w:szCs w:val="24"/>
          <w:vertAlign w:val="superscript"/>
        </w:rPr>
        <w:t xml:space="preserve">[8]</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Matrix density/stiffness — biphasic and tissue-dependent: moderate-to-high stiffness can either lock (DDR2→STAT1→p27) or awaken (TNNT1 pathway) a dormant cell, with no fixed sign (Article 5, §3).</w:t>
      </w:r>
      <w:r>
        <w:rPr>
          <w:rFonts w:ascii="Times New Roman" w:cs="Times New Roman" w:eastAsia="Times New Roman" w:hAnsi="Times New Roman"/>
          <w:b w:val="false"/>
          <w:bCs w:val="false"/>
          <w:i w:val="false"/>
          <w:iCs w:val="false"/>
          <w:sz w:val="24"/>
          <w:szCs w:val="24"/>
          <w:vertAlign w:val="superscript"/>
        </w:rPr>
        <w:t xml:space="preserve">[9,10]</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P4HA2-coupled matrix–energy linkage — collagen hydroxylation and NAD⁺/NADH balance realized by a single enzyme, not two separate systems (Article 5, §3; preprint, not yet peer-reviewed).</w:t>
      </w:r>
      <w:r>
        <w:rPr>
          <w:rFonts w:ascii="Times New Roman" w:cs="Times New Roman" w:eastAsia="Times New Roman" w:hAnsi="Times New Roman"/>
          <w:b w:val="false"/>
          <w:bCs w:val="false"/>
          <w:i w:val="false"/>
          <w:iCs w:val="false"/>
          <w:sz w:val="24"/>
          <w:szCs w:val="24"/>
          <w:vertAlign w:val="superscript"/>
        </w:rPr>
        <w:t xml:space="preserve">[11]</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Inflammation-driven remodeling — MMPs loosen the matrix barrier during inflammation; corticosteroids may act partly by restoring it (Article 2, §6.2).</w:t>
      </w:r>
      <w:r>
        <w:rPr>
          <w:rFonts w:ascii="Times New Roman" w:cs="Times New Roman" w:eastAsia="Times New Roman" w:hAnsi="Times New Roman"/>
          <w:b w:val="false"/>
          <w:bCs w:val="false"/>
          <w:i w:val="false"/>
          <w:iCs w:val="false"/>
          <w:sz w:val="24"/>
          <w:szCs w:val="24"/>
          <w:vertAlign w:val="superscript"/>
        </w:rPr>
        <w:t xml:space="preserve">[12,13]</w:t>
      </w:r>
    </w:p>
    <w:p>
      <w:pPr>
        <w:pStyle w:val="Heading2"/>
        <w:spacing w:after="130" w:before="220"/>
      </w:pPr>
      <w:r>
        <w:rPr>
          <w:rFonts w:ascii="Times New Roman" w:cs="Times New Roman" w:eastAsia="Times New Roman" w:hAnsi="Times New Roman"/>
          <w:b/>
          <w:bCs/>
          <w:i w:val="false"/>
          <w:iCs w:val="false"/>
          <w:sz w:val="24"/>
          <w:szCs w:val="24"/>
        </w:rPr>
        <w:t xml:space="preserve">2.4. Systemic/distant factors</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Concomitant tumor resistance — a dominant primary tumor suppresses distant micrometastases via circulating angiostatin, endostatin, and thrombospondin-1; removal releases this suppression (Article 7, §5).</w:t>
      </w:r>
      <w:r>
        <w:rPr>
          <w:rFonts w:ascii="Times New Roman" w:cs="Times New Roman" w:eastAsia="Times New Roman" w:hAnsi="Times New Roman"/>
          <w:b w:val="false"/>
          <w:bCs w:val="false"/>
          <w:i w:val="false"/>
          <w:iCs w:val="false"/>
          <w:sz w:val="24"/>
          <w:szCs w:val="24"/>
          <w:vertAlign w:val="superscript"/>
        </w:rPr>
        <w:t xml:space="preserve">[14,15,16]</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Energy-window monopoly — the dominant tumor occupies the local/systemic energy window (Framework 1.0), structurally excluding smaller dormant clones from it until removed (Article 7, §5).</w:t>
      </w:r>
      <w:r>
        <w:rPr>
          <w:rFonts w:ascii="Times New Roman" w:cs="Times New Roman" w:eastAsia="Times New Roman" w:hAnsi="Times New Roman"/>
          <w:b w:val="false"/>
          <w:bCs w:val="false"/>
          <w:i w:val="false"/>
          <w:iCs w:val="false"/>
          <w:sz w:val="24"/>
          <w:szCs w:val="24"/>
          <w:vertAlign w:val="superscript"/>
        </w:rPr>
        <w:t xml:space="preserve">[17]</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Debris littering — extracellular vesicles and cellular debris, accumulating locally and, at sufficient tumor burden, reaching the lymphatic system, act as both antigen decoy and active immunosuppressive signal (Article 6).</w:t>
      </w:r>
      <w:r>
        <w:rPr>
          <w:rFonts w:ascii="Times New Roman" w:cs="Times New Roman" w:eastAsia="Times New Roman" w:hAnsi="Times New Roman"/>
          <w:b w:val="false"/>
          <w:bCs w:val="false"/>
          <w:i w:val="false"/>
          <w:iCs w:val="false"/>
          <w:sz w:val="24"/>
          <w:szCs w:val="24"/>
          <w:vertAlign w:val="superscript"/>
        </w:rPr>
        <w:t xml:space="preserve">[18,19]</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Wound-healing signals at a distance — DAMPs, NETs, IL-6, G-CSF, MCP-1, osteopontin, released by surgical trauma anywhere in the body, can awaken dormant clones elsewhere (Article 7, §3–4).</w:t>
      </w:r>
      <w:r>
        <w:rPr>
          <w:rFonts w:ascii="Times New Roman" w:cs="Times New Roman" w:eastAsia="Times New Roman" w:hAnsi="Times New Roman"/>
          <w:b w:val="false"/>
          <w:bCs w:val="false"/>
          <w:i w:val="false"/>
          <w:iCs w:val="false"/>
          <w:sz w:val="24"/>
          <w:szCs w:val="24"/>
          <w:vertAlign w:val="superscript"/>
        </w:rPr>
        <w:t xml:space="preserve">[8,20]</w:t>
      </w:r>
    </w:p>
    <w:p>
      <w:pPr>
        <w:pStyle w:val="Heading2"/>
        <w:spacing w:after="130" w:before="220"/>
      </w:pPr>
      <w:r>
        <w:rPr>
          <w:rFonts w:ascii="Times New Roman" w:cs="Times New Roman" w:eastAsia="Times New Roman" w:hAnsi="Times New Roman"/>
          <w:b/>
          <w:bCs/>
          <w:i w:val="false"/>
          <w:iCs w:val="false"/>
          <w:sz w:val="24"/>
          <w:szCs w:val="24"/>
        </w:rPr>
        <w:t xml:space="preserve">2.5. Tissue-paracrine factors</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Tissue-level (not cell-autonomous) injury signal — entry into the Dormant transit hub via paligenosis requires a signal from injured tissue as a whole, not autonomous cellular damage (Article 2, §5).</w:t>
      </w:r>
      <w:r>
        <w:rPr>
          <w:rFonts w:ascii="Times New Roman" w:cs="Times New Roman" w:eastAsia="Times New Roman" w:hAnsi="Times New Roman"/>
          <w:b w:val="false"/>
          <w:bCs w:val="false"/>
          <w:i w:val="false"/>
          <w:iCs w:val="false"/>
          <w:sz w:val="24"/>
          <w:szCs w:val="24"/>
          <w:vertAlign w:val="superscript"/>
        </w:rPr>
        <w:t xml:space="preserve">[21]</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Paracrine senescence propagation — “senescence-induced senescence” partially narrows the cell-autonomous/tissue-level contrast otherwise seen between senescence and paligenosis (Article 3, §3.1).</w:t>
      </w:r>
      <w:r>
        <w:rPr>
          <w:rFonts w:ascii="Times New Roman" w:cs="Times New Roman" w:eastAsia="Times New Roman" w:hAnsi="Times New Roman"/>
          <w:b w:val="false"/>
          <w:bCs w:val="false"/>
          <w:i w:val="false"/>
          <w:iCs w:val="false"/>
          <w:sz w:val="24"/>
          <w:szCs w:val="24"/>
          <w:vertAlign w:val="superscript"/>
        </w:rPr>
        <w:t xml:space="preserve">[22]</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SASP as a bounded, time-limited signal — Notch-regulated shift from fibrogenic to fibrolytic secretion in wound healing (Article 3, §0).</w:t>
      </w:r>
      <w:r>
        <w:rPr>
          <w:rFonts w:ascii="Times New Roman" w:cs="Times New Roman" w:eastAsia="Times New Roman" w:hAnsi="Times New Roman"/>
          <w:b w:val="false"/>
          <w:bCs w:val="false"/>
          <w:i w:val="false"/>
          <w:iCs w:val="false"/>
          <w:sz w:val="24"/>
          <w:szCs w:val="24"/>
          <w:vertAlign w:val="superscript"/>
        </w:rPr>
        <w:t xml:space="preserve">[23]</w:t>
      </w:r>
    </w:p>
    <w:p>
      <w:pPr>
        <w:pStyle w:val="Heading1"/>
        <w:spacing w:after="200" w:before="300"/>
      </w:pPr>
      <w:r>
        <w:rPr>
          <w:rFonts w:ascii="Times New Roman" w:cs="Times New Roman" w:eastAsia="Times New Roman" w:hAnsi="Times New Roman"/>
          <w:b/>
          <w:bCs/>
          <w:i w:val="false"/>
          <w:iCs w:val="false"/>
          <w:sz w:val="26"/>
          <w:szCs w:val="26"/>
        </w:rPr>
        <w:t xml:space="preserve">Summary table: factor catalog by level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7706"/>
      </w:tblGrid>
      <w:tr>
        <w:trPr>
          <w:tblHeader/>
        </w:trPr>
        <w:tc>
          <w:tcPr>
            <w:tcW w:type="dxa" w:w="1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Level</w:t>
            </w:r>
          </w:p>
        </w:tc>
        <w:tc>
          <w:tcPr>
            <w:tcW w:type="dxa" w:w="77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Key factors</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Energetic</w:t>
            </w:r>
          </w:p>
        </w:tc>
        <w:tc>
          <w:tcPr>
            <w:tcW w:type="dxa" w:w="7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IGF1R–mTOR–NR2F1 status; BGR vs. OXPHOS fuel regime (oxygen ratchet); mitonuclear synchronization; mTOR desynchronization (geroconversion); systemic energetic/growth input (orthogonal axis)</w:t>
            </w:r>
          </w:p>
        </w:tc>
      </w:tr>
      <w:tr>
        <w:tc>
          <w:tcPr>
            <w:tcW w:type="dxa" w:w="1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Immune</w:t>
            </w:r>
          </w:p>
        </w:tc>
        <w:tc>
          <w:tcPr>
            <w:tcW w:type="dxa" w:w="7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Target-cell masking (MHC-I/UPR↓, CD200–CD200R1, ULBP loss, hypersialylation, STING↓, CD39/CD73/adenosine); metabolic immunosuppression (IFN-γ→IDO1→AhR→p27); quantitative/threshold protection (immunological ignorance); glycan competition for acetyl-CoA</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Matrix/mechanical</w:t>
            </w:r>
          </w:p>
        </w:tc>
        <w:tc>
          <w:tcPr>
            <w:tcW w:type="dxa" w:w="7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Niche composition (laminin, basement membrane); matrix density/stiffness (biphasic, tissue-dependent); P4HA2-coupled matrix–energy linkage; inflammation-driven MMP remodeling</w:t>
            </w:r>
          </w:p>
        </w:tc>
      </w:tr>
      <w:tr>
        <w:tc>
          <w:tcPr>
            <w:tcW w:type="dxa" w:w="1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Systemic/distant</w:t>
            </w:r>
          </w:p>
        </w:tc>
        <w:tc>
          <w:tcPr>
            <w:tcW w:type="dxa" w:w="7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Concomitant tumor resistance (angiostatin/endostatin/thrombospondin-1); energy-window monopoly; debris littering (EVs, cellular debris); wound-healing signals at a distance</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Tissue-paracrine</w:t>
            </w:r>
          </w:p>
        </w:tc>
        <w:tc>
          <w:tcPr>
            <w:tcW w:type="dxa" w:w="7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Tissue-level (not cell-autonomous) injury signal; paracrine senescence propagation; SASP as a bounded, time-limited signal</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3. Established: these factors are not independent — the network view</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as shown in Article 5, at least three of the factors above converge mechanistically on a single node, p27 (NR2F1, IFN-γ→IDO1→AhR, and DDR2→STAT1 all terminate there), and the matrix and energetic factors are, in one documented case (P4HA2), literally one enzymatic process rather than two linked ones.</w:t>
      </w:r>
      <w:r>
        <w:rPr>
          <w:rFonts w:ascii="Times New Roman" w:cs="Times New Roman" w:eastAsia="Times New Roman" w:hAnsi="Times New Roman"/>
          <w:b w:val="false"/>
          <w:bCs w:val="false"/>
          <w:i w:val="false"/>
          <w:iCs w:val="false"/>
          <w:sz w:val="24"/>
          <w:szCs w:val="24"/>
          <w:vertAlign w:val="superscript"/>
        </w:rPr>
        <w:t xml:space="preserve">[9,11]</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has a direct consequence for how the catalog in Section 2 should be read. It is not a list of independent levers; several entries across different subsections are different names, or different entry points, for the same small set of underlying mechanisms. Any attempt to manage dormancy by addressing factors individually risks either redundant intervention (targeting two inputs to the same node) or missing the actual dominant pathway in a given tissue (Article 5, §6).</w:t>
      </w:r>
    </w:p>
    <w:p>
      <w:pPr>
        <w:pStyle w:val="Heading1"/>
        <w:spacing w:after="200" w:before="300"/>
      </w:pPr>
      <w:r>
        <w:rPr>
          <w:rFonts w:ascii="Times New Roman" w:cs="Times New Roman" w:eastAsia="Times New Roman" w:hAnsi="Times New Roman"/>
          <w:b/>
          <w:bCs/>
          <w:i w:val="false"/>
          <w:iCs w:val="false"/>
          <w:sz w:val="26"/>
          <w:szCs w:val="26"/>
        </w:rPr>
        <w:t xml:space="preserve">4. Prospects for managing the process</w:t>
      </w:r>
    </w:p>
    <w:p>
      <w:pPr>
        <w:pStyle w:val="Heading2"/>
        <w:spacing w:after="130" w:before="220"/>
      </w:pPr>
      <w:r>
        <w:rPr>
          <w:rFonts w:ascii="Times New Roman" w:cs="Times New Roman" w:eastAsia="Times New Roman" w:hAnsi="Times New Roman"/>
          <w:b/>
          <w:bCs/>
          <w:i w:val="false"/>
          <w:iCs w:val="false"/>
          <w:sz w:val="24"/>
          <w:szCs w:val="24"/>
        </w:rPr>
        <w:t xml:space="preserve">4.1. Framework interpretation: the case-by-case principle, restated as an operating procedure</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management of dormancy is not achieved by a general strategy (“strengthen dormancy” or “break dormancy”) but requires, for each case, three sequential determinations already proposed in Article 5: (a) the clinical goal — preserve, bypass, or restore the dormant state; (b) which factor from Section 2 practically dominates in the tissue/niche in question; (c) whether that factor is a direct node (e.g., p27) or an upstream input reaching a shared node, since intervening on an input that is redundant with another active input will not by itself break the lock.</w:t>
      </w:r>
    </w:p>
    <w:p>
      <w:pPr>
        <w:pStyle w:val="Heading2"/>
        <w:spacing w:after="130" w:before="220"/>
      </w:pPr>
      <w:r>
        <w:rPr>
          <w:rFonts w:ascii="Times New Roman" w:cs="Times New Roman" w:eastAsia="Times New Roman" w:hAnsi="Times New Roman"/>
          <w:b/>
          <w:bCs/>
          <w:i w:val="false"/>
          <w:iCs w:val="false"/>
          <w:sz w:val="24"/>
          <w:szCs w:val="24"/>
        </w:rPr>
        <w:t xml:space="preserve">4.2. Preserving dormancy (preventing awakening)</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Perioperative management of the wound-healing trigger — anti-inflammatory treatment reduces distant dormant-cell awakening after surgery and reduces early metastatic recurrence clinically (Article 7, §3–4).</w:t>
      </w:r>
      <w:r>
        <w:rPr>
          <w:rFonts w:ascii="Times New Roman" w:cs="Times New Roman" w:eastAsia="Times New Roman" w:hAnsi="Times New Roman"/>
          <w:b w:val="false"/>
          <w:bCs w:val="false"/>
          <w:i w:val="false"/>
          <w:iCs w:val="false"/>
          <w:sz w:val="24"/>
          <w:szCs w:val="24"/>
          <w:vertAlign w:val="superscript"/>
        </w:rPr>
        <w:t xml:space="preserve">[20]</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Managing the energy-window release — the resource/anti-angiogenic mechanism (Article 7, §5) suggests perioperative anti-angiogenic coverage as a candidate strategy, though this remains a framework hypothesis pending direct testing against anti-inflammatory approaches.</w:t>
      </w:r>
      <w:r>
        <w:rPr>
          <w:rFonts w:ascii="Times New Roman" w:cs="Times New Roman" w:eastAsia="Times New Roman" w:hAnsi="Times New Roman"/>
          <w:b w:val="false"/>
          <w:bCs w:val="false"/>
          <w:i w:val="false"/>
          <w:iCs w:val="false"/>
          <w:sz w:val="24"/>
          <w:szCs w:val="24"/>
          <w:vertAlign w:val="superscript"/>
        </w:rPr>
        <w:t xml:space="preserve">[14,15]</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Niche-mediated energetic management — caloric restriction acting through the niche (e.g., Paneth cells) rather than the dormant cell itself preserves reserve function; this is a documented, niche-level rather than cell-autonomous intervention point (Article 4, §5).</w:t>
      </w:r>
      <w:r>
        <w:rPr>
          <w:rFonts w:ascii="Times New Roman" w:cs="Times New Roman" w:eastAsia="Times New Roman" w:hAnsi="Times New Roman"/>
          <w:b w:val="false"/>
          <w:bCs w:val="false"/>
          <w:i w:val="false"/>
          <w:iCs w:val="false"/>
          <w:sz w:val="24"/>
          <w:szCs w:val="24"/>
          <w:vertAlign w:val="superscript"/>
        </w:rPr>
        <w:t xml:space="preserve">[4]</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Avoiding excessive debris generation — since therapy-induced cell death itself adds to littering and can push borderline clones from ignorance toward exhaustion (Article 6, §4), the pace and synchrony of cytoreductive treatment may itself be a lever, not only its total dose.</w:t>
      </w:r>
      <w:r>
        <w:rPr>
          <w:rFonts w:ascii="Times New Roman" w:cs="Times New Roman" w:eastAsia="Times New Roman" w:hAnsi="Times New Roman"/>
          <w:b w:val="false"/>
          <w:bCs w:val="false"/>
          <w:i w:val="false"/>
          <w:iCs w:val="false"/>
          <w:sz w:val="24"/>
          <w:szCs w:val="24"/>
          <w:vertAlign w:val="superscript"/>
        </w:rPr>
        <w:t xml:space="preserve">[18,19]</w:t>
      </w:r>
    </w:p>
    <w:p>
      <w:pPr>
        <w:pStyle w:val="Heading2"/>
        <w:spacing w:after="130" w:before="220"/>
      </w:pPr>
      <w:r>
        <w:rPr>
          <w:rFonts w:ascii="Times New Roman" w:cs="Times New Roman" w:eastAsia="Times New Roman" w:hAnsi="Times New Roman"/>
          <w:b/>
          <w:bCs/>
          <w:i w:val="false"/>
          <w:iCs w:val="false"/>
          <w:sz w:val="24"/>
          <w:szCs w:val="24"/>
        </w:rPr>
        <w:t xml:space="preserve">4.3. Bypassing dormancy therapeutically (“wake and kill”)</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Releasing the dominant lock for a specific tissue — since which lock dominates is tissue-specific and not universal (Article 5, §6), a “wake and kill” strategy requires first establishing which input (immune, mechanical, energetic) converges on p27 in the tumor in question, rather than applying a fixed protocol.</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Exploiting the quantitative threshold — because immunological ignorance is dose-dependent (Article 2, §6.1; Article 6, §3), deliberately increasing local antigen exposure without crossing into the exhaustion-inducing range is, in principle, a narrow but distinct therapeutic window, though the boundary between the two has not been operationalized quantitatively.</w:t>
      </w:r>
      <w:r>
        <w:rPr>
          <w:rFonts w:ascii="Times New Roman" w:cs="Times New Roman" w:eastAsia="Times New Roman" w:hAnsi="Times New Roman"/>
          <w:b w:val="false"/>
          <w:bCs w:val="false"/>
          <w:i w:val="false"/>
          <w:iCs w:val="false"/>
          <w:sz w:val="24"/>
          <w:szCs w:val="24"/>
          <w:vertAlign w:val="superscript"/>
        </w:rPr>
        <w:t xml:space="preserve">[5,6,19]</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Reversing terminal exhaustion versus targeting stem-like exhausted populations — checkpoint blockade can reinvigorate the stem-like TCF-1+ exhausted subset maintained in tumor-draining lymph nodes but not terminally exhausted cells (Article 6, §3; Article 7, §6), meaning timing of intervention relative to how long a clone has been engaged matters as much as the choice of agent.</w:t>
      </w:r>
      <w:r>
        <w:rPr>
          <w:rFonts w:ascii="Times New Roman" w:cs="Times New Roman" w:eastAsia="Times New Roman" w:hAnsi="Times New Roman"/>
          <w:b w:val="false"/>
          <w:bCs w:val="false"/>
          <w:i w:val="false"/>
          <w:iCs w:val="false"/>
          <w:sz w:val="24"/>
          <w:szCs w:val="24"/>
          <w:vertAlign w:val="superscript"/>
        </w:rPr>
        <w:t xml:space="preserve">[24]</w:t>
      </w:r>
    </w:p>
    <w:p>
      <w:pPr>
        <w:pStyle w:val="Heading2"/>
        <w:spacing w:after="130" w:before="220"/>
      </w:pPr>
      <w:r>
        <w:rPr>
          <w:rFonts w:ascii="Times New Roman" w:cs="Times New Roman" w:eastAsia="Times New Roman" w:hAnsi="Times New Roman"/>
          <w:b/>
          <w:bCs/>
          <w:i w:val="false"/>
          <w:iCs w:val="false"/>
          <w:sz w:val="24"/>
          <w:szCs w:val="24"/>
        </w:rPr>
        <w:t xml:space="preserve">4.4. Restoring dormancy after disruption (autoimmune and inflammatory contexts)</w:t>
      </w:r>
    </w:p>
    <w:p>
      <w:pPr>
        <w:spacing w:after="120" w:line="276"/>
        <w:ind w:left="431" w:hanging="288"/>
        <w:jc w:val="both"/>
      </w:pPr>
      <w:r>
        <w:rPr>
          <w:rFonts w:ascii="Times New Roman" w:cs="Times New Roman" w:eastAsia="Times New Roman" w:hAnsi="Times New Roman"/>
          <w:b w:val="false"/>
          <w:bCs w:val="false"/>
          <w:i w:val="false"/>
          <w:iCs w:val="false"/>
          <w:sz w:val="24"/>
          <w:szCs w:val="24"/>
        </w:rPr>
        <w:t xml:space="preserve">•  MMP suppression as barrier restoration — corticosteroids may act partly by restoring matrix density rather than exclusively through direct immunosuppression (Article 2, §6.2); if confirmed, this reframes part of their action as restoring Lock 3 rather than disabling immune cells.</w:t>
      </w:r>
      <w:r>
        <w:rPr>
          <w:rFonts w:ascii="Times New Roman" w:cs="Times New Roman" w:eastAsia="Times New Roman" w:hAnsi="Times New Roman"/>
          <w:b w:val="false"/>
          <w:bCs w:val="false"/>
          <w:i w:val="false"/>
          <w:iCs w:val="false"/>
          <w:sz w:val="24"/>
          <w:szCs w:val="24"/>
          <w:vertAlign w:val="superscript"/>
        </w:rPr>
        <w:t xml:space="preserve">[12,13]</w:t>
      </w:r>
    </w:p>
    <w:p>
      <w:pPr>
        <w:pStyle w:val="Heading2"/>
        <w:spacing w:after="130" w:before="220"/>
      </w:pPr>
      <w:r>
        <w:rPr>
          <w:rFonts w:ascii="Times New Roman" w:cs="Times New Roman" w:eastAsia="Times New Roman" w:hAnsi="Times New Roman"/>
          <w:b/>
          <w:bCs/>
          <w:i w:val="false"/>
          <w:iCs w:val="false"/>
          <w:sz w:val="24"/>
          <w:szCs w:val="24"/>
        </w:rPr>
        <w:t xml:space="preserve">4.5. A candidate node-level lever not yet incorporated into the applied framework: mitochondrial/NAD⁺ management</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compounds already noted elsewhere in this work as correcting mitonuclear/NAD⁺ imbalance and senescence-associated dysfunction — NAD⁺ precursors, rapamycin, resveratrol — act on nodes overlapping with the energetic lock and the mitonuclear desynchronization mechanism (Article 3, §5) discussed in this series. Whether they act on the same shared nodes identified in Article 5 (p27; NAD⁺/NADH) specifically in the context of clonal dormancy, as opposed to senescence broadly, has not been tested within this framework and is flagged here as an open, testable extension rather than an established claim.</w:t>
      </w:r>
      <w:r>
        <w:rPr>
          <w:rFonts w:ascii="Times New Roman" w:cs="Times New Roman" w:eastAsia="Times New Roman" w:hAnsi="Times New Roman"/>
          <w:b w:val="false"/>
          <w:bCs w:val="false"/>
          <w:i w:val="false"/>
          <w:iCs w:val="false"/>
          <w:sz w:val="24"/>
          <w:szCs w:val="24"/>
          <w:vertAlign w:val="superscript"/>
        </w:rPr>
        <w:t xml:space="preserve">[2]</w:t>
      </w:r>
    </w:p>
    <w:p>
      <w:pPr>
        <w:pStyle w:val="Heading2"/>
        <w:spacing w:after="130" w:before="220"/>
      </w:pPr>
      <w:r>
        <w:rPr>
          <w:rFonts w:ascii="Times New Roman" w:cs="Times New Roman" w:eastAsia="Times New Roman" w:hAnsi="Times New Roman"/>
          <w:b/>
          <w:bCs/>
          <w:i w:val="false"/>
          <w:iCs w:val="false"/>
          <w:sz w:val="24"/>
          <w:szCs w:val="24"/>
        </w:rPr>
        <w:t xml:space="preserve">4.6. A controlled, anchored version of nonspecific innate activation: ISAC and related combinations</w:t>
      </w:r>
    </w:p>
    <w:p>
      <w:pPr>
        <w:spacing w:after="160" w:line="276"/>
        <w:jc w:val="both"/>
      </w:pPr>
      <w:r>
        <w:rPr>
          <w:rFonts w:ascii="Times New Roman" w:cs="Times New Roman" w:eastAsia="Times New Roman" w:hAnsi="Times New Roman"/>
          <w:b w:val="false"/>
          <w:bCs w:val="false"/>
          <w:i w:val="false"/>
          <w:iCs w:val="false"/>
          <w:sz w:val="24"/>
          <w:szCs w:val="24"/>
        </w:rPr>
        <w:t xml:space="preserve">Nonspecific innate activation (exemplified in oncology by BCG, and mechanistically by Toll-like receptor (TLR) agonism) is a well-established way to force a dormant or immunologically ignored clone past the engagement threshold described in Article 2 (§6.1) and Article 6. Its central practical objection is controllability: TLR agonists act on pattern-recognition receptors that do not distinguish tumor from healthy tissue, and systemic or broadly local administration risks a diffuse, poorly targeted inflammatory response.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immune-stimulating antibody conjugates (ISACs) address this directly by covalently linking a TLR agonist to a tumor-targeting monoclonal antibody, anchoring the nonspecific activating signal to the antibody's binding site rather than allowing it to act diffusely. Two examples are in clinical development: NJH395 (a TLR7 agonist conjugated to an anti-HER2 antibody) and BDC-1001 (a dual TLR7/TLR8 agonist conjugated to an anti-HER2 antibody), the latter studied both as monotherapy and in combination with the checkpoint inhibitor pembrolizumab in HER2-positive solid tumors (NCT04278144).</w:t>
      </w:r>
      <w:r>
        <w:rPr>
          <w:rFonts w:ascii="Times New Roman" w:cs="Times New Roman" w:eastAsia="Times New Roman" w:hAnsi="Times New Roman"/>
          <w:b w:val="false"/>
          <w:bCs w:val="false"/>
          <w:i w:val="false"/>
          <w:iCs w:val="false"/>
          <w:sz w:val="24"/>
          <w:szCs w:val="24"/>
          <w:vertAlign w:val="superscript"/>
        </w:rPr>
        <w:t xml:space="preserve">[25]</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a direct engineering answer to the problem raised at the outset of this section: the activating signal remains nonspecific in kind (the TLR agonist does not itself discriminate tumor from healthy tissue), but its spatial distribution becomes controllable through the antibody's target specificity — converting an uncontrolled systemic “storm” into a locally anchored one.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TLR agonists are separately investigated in combination with immune checkpoint inhibitors specifically to convert “cold” (immunologically ignored) tumors into “hot” ones, addressing the ignorance side of the Article 6 dose curve while the checkpoint component addresses any resulting exhaustion.</w:t>
      </w:r>
      <w:r>
        <w:rPr>
          <w:rFonts w:ascii="Times New Roman" w:cs="Times New Roman" w:eastAsia="Times New Roman" w:hAnsi="Times New Roman"/>
          <w:b w:val="false"/>
          <w:bCs w:val="false"/>
          <w:i w:val="false"/>
          <w:iCs w:val="false"/>
          <w:sz w:val="24"/>
          <w:szCs w:val="24"/>
          <w:vertAlign w:val="superscript"/>
        </w:rPr>
        <w:t xml:space="preserve">[25]</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combination of TLR7/8/9 agonists with low-dose local cisplatin — an in situ vaccination strategy using chemotherapy-released neoantigen as the antigen source — produced synergistic antitumor effects in mouse models, accompanied by increased tumor tertiary lymphoid structure formation, elevated type I/III interferons, greater T- and B-lymphocyte infiltration, and reduced functional exhaustion of T cells relative to either agent alone.</w:t>
      </w:r>
      <w:r>
        <w:rPr>
          <w:rFonts w:ascii="Times New Roman" w:cs="Times New Roman" w:eastAsia="Times New Roman" w:hAnsi="Times New Roman"/>
          <w:b w:val="false"/>
          <w:bCs w:val="false"/>
          <w:i w:val="false"/>
          <w:iCs w:val="false"/>
          <w:sz w:val="24"/>
          <w:szCs w:val="24"/>
          <w:vertAlign w:val="superscript"/>
        </w:rPr>
        <w:t xml:space="preserve">[26]</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a direct empirical instance of the mechanism proposed in Article 6, Section 4: controlled, deliberately paced debris/antigen release, combined with an innate activator, shifted the outcome toward productive engagement and away from exhaustion, rather than toward the paradoxical worsening flagged there as a risk of uncontrolled littering.</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ISAC approach can be read as jointly addressing multiple nodes of the network described in Article 5 rather than one node in isolation: (a) it forces the immunologically ignored clone past the engagement threshold via TLR agonism; (b) it keeps the resulting activation spatially anchored via antibody specificity, limiting systemic debris/littering (Article 6); and (c), in combination with checkpoint blockade, blocks the drift from engagement into exhaustion. If correct, its relative clinical success compared with unconjugated TLR agonists should track specifically with anchoring (spatial confinement of the activating signal), not merely with agonist potency.</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unconjugated TLR agonists (without antibody anchoring) achieve equivalent efficacy and toxicity profiles to ISACs at matched local agonist exposure, the anchoring mechanism itself contributes nothing beyond agonist potency, and the ISAC design advantage should be attributed to pharmacokinetic targeting (concentration at the tumor site) rather than to control of the immune cascade's spatial distribution as such.</w:t>
      </w:r>
    </w:p>
    <w:p>
      <w:pPr>
        <w:spacing w:after="160" w:line="276"/>
        <w:jc w:val="both"/>
      </w:pPr>
      <w:r>
        <w:rPr>
          <w:rFonts w:ascii="Times New Roman" w:cs="Times New Roman" w:eastAsia="Times New Roman" w:hAnsi="Times New Roman"/>
          <w:b/>
          <w:bCs/>
          <w:i w:val="false"/>
          <w:iCs w:val="false"/>
          <w:sz w:val="24"/>
          <w:szCs w:val="24"/>
        </w:rPr>
        <w:t xml:space="preserve">Honest caveat: </w:t>
      </w:r>
      <w:r>
        <w:rPr>
          <w:rFonts w:ascii="Times New Roman" w:cs="Times New Roman" w:eastAsia="Times New Roman" w:hAnsi="Times New Roman"/>
          <w:b w:val="false"/>
          <w:bCs w:val="false"/>
          <w:i w:val="false"/>
          <w:iCs w:val="false"/>
          <w:sz w:val="24"/>
          <w:szCs w:val="24"/>
        </w:rPr>
        <w:t xml:space="preserve">TLR-agonist-based combination strategies are not uniformly effective: a systematic review and meta-analysis of TLR8/TLR9 agonist combination trials in head and neck squamous cell carcinoma found no significant improvement in objective response rate relative to comparators. Efficacy is therefore tumor-type- and context-dependent, consistent with this series' broader point (Article 5, §6; this article, §4.1) that no single mechanism dominates universally.</w:t>
      </w:r>
      <w:r>
        <w:rPr>
          <w:rFonts w:ascii="Times New Roman" w:cs="Times New Roman" w:eastAsia="Times New Roman" w:hAnsi="Times New Roman"/>
          <w:b w:val="false"/>
          <w:bCs w:val="false"/>
          <w:i w:val="false"/>
          <w:iCs w:val="false"/>
          <w:sz w:val="24"/>
          <w:szCs w:val="24"/>
          <w:vertAlign w:val="superscript"/>
        </w:rPr>
        <w:t xml:space="preserve">[27]</w:t>
      </w:r>
    </w:p>
    <w:p>
      <w:pPr>
        <w:pStyle w:val="Heading1"/>
        <w:spacing w:after="200" w:before="300"/>
      </w:pPr>
      <w:r>
        <w:rPr>
          <w:rFonts w:ascii="Times New Roman" w:cs="Times New Roman" w:eastAsia="Times New Roman" w:hAnsi="Times New Roman"/>
          <w:b/>
          <w:bCs/>
          <w:i w:val="false"/>
          <w:iCs w:val="false"/>
          <w:sz w:val="26"/>
          <w:szCs w:val="26"/>
        </w:rPr>
        <w:t xml:space="preserve">Summary table: management strategies by goal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200"/>
        <w:gridCol w:w="2406"/>
      </w:tblGrid>
      <w:tr>
        <w:trPr>
          <w:tblHeader/>
        </w:trPr>
        <w:tc>
          <w:tcPr>
            <w:tcW w:type="dxa" w:w="17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Goal</w:t>
            </w:r>
          </w:p>
        </w:tc>
        <w:tc>
          <w:tcPr>
            <w:tcW w:type="dxa" w:w="2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Strategy</w:t>
            </w:r>
          </w:p>
        </w:tc>
        <w:tc>
          <w:tcPr>
            <w:tcW w:type="dxa" w:w="3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Mechanism targeted</w:t>
            </w:r>
          </w:p>
        </w:tc>
        <w:tc>
          <w:tcPr>
            <w:tcW w:type="dxa" w:w="24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Status</w:t>
            </w:r>
          </w:p>
        </w:tc>
      </w:tr>
      <w:tr>
        <w:tc>
          <w:tcPr>
            <w:tcW w:type="dxa" w:w="1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Preserve</w:t>
            </w:r>
          </w:p>
        </w:tc>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Perioperative anti-inflammatory treatment</w:t>
            </w:r>
          </w:p>
        </w:tc>
        <w:tc>
          <w:tcPr>
            <w:tcW w:type="dxa" w:w="3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Wound-healing trigger (DAMP/NET/laminin)</w:t>
            </w:r>
          </w:p>
        </w:tc>
        <w:tc>
          <w:tcPr>
            <w:tcW w:type="dxa" w:w="24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Clinically documented to reduce early recurrence</w:t>
            </w:r>
          </w:p>
        </w:tc>
      </w:tr>
      <w:tr>
        <w:tc>
          <w:tcPr>
            <w:tcW w:type="dxa" w:w="1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Preserve</w:t>
            </w:r>
          </w:p>
        </w:tc>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Perioperative anti-angiogenic coverage</w:t>
            </w:r>
          </w:p>
        </w:tc>
        <w:tc>
          <w:tcPr>
            <w:tcW w:type="dxa" w:w="3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Concomitant resistance / energy window</w:t>
            </w:r>
          </w:p>
        </w:tc>
        <w:tc>
          <w:tcPr>
            <w:tcW w:type="dxa" w:w="24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Framework hypothesis, untested against anti-inflammatory approach</w:t>
            </w:r>
          </w:p>
        </w:tc>
      </w:tr>
      <w:tr>
        <w:tc>
          <w:tcPr>
            <w:tcW w:type="dxa" w:w="1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Preserve</w:t>
            </w:r>
          </w:p>
        </w:tc>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Niche-directed caloric restriction</w:t>
            </w:r>
          </w:p>
        </w:tc>
        <w:tc>
          <w:tcPr>
            <w:tcW w:type="dxa" w:w="3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Energetic lock via niche (e.g., Paneth cells)</w:t>
            </w:r>
          </w:p>
        </w:tc>
        <w:tc>
          <w:tcPr>
            <w:tcW w:type="dxa" w:w="24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Established, niche- not cell-autonomous</w:t>
            </w:r>
          </w:p>
        </w:tc>
      </w:tr>
      <w:tr>
        <w:tc>
          <w:tcPr>
            <w:tcW w:type="dxa" w:w="1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Preserve</w:t>
            </w:r>
          </w:p>
        </w:tc>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Pacing of cytoreductive treatment</w:t>
            </w:r>
          </w:p>
        </w:tc>
        <w:tc>
          <w:tcPr>
            <w:tcW w:type="dxa" w:w="3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Debris/littering load</w:t>
            </w:r>
          </w:p>
        </w:tc>
        <w:tc>
          <w:tcPr>
            <w:tcW w:type="dxa" w:w="24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Framework hypothesis</w:t>
            </w:r>
          </w:p>
        </w:tc>
      </w:tr>
      <w:tr>
        <w:tc>
          <w:tcPr>
            <w:tcW w:type="dxa" w:w="1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Bypass</w:t>
            </w:r>
          </w:p>
        </w:tc>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Tissue-specific dominant-lock release</w:t>
            </w:r>
          </w:p>
        </w:tc>
        <w:tc>
          <w:tcPr>
            <w:tcW w:type="dxa" w:w="3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Whichever input converges on p27 locally</w:t>
            </w:r>
          </w:p>
        </w:tc>
        <w:tc>
          <w:tcPr>
            <w:tcW w:type="dxa" w:w="24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Framework interpretation — requires case-by-case diagnosis</w:t>
            </w:r>
          </w:p>
        </w:tc>
      </w:tr>
      <w:tr>
        <w:tc>
          <w:tcPr>
            <w:tcW w:type="dxa" w:w="1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Bypass</w:t>
            </w:r>
          </w:p>
        </w:tc>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Anchored nonspecific activation (ISAC)</w:t>
            </w:r>
          </w:p>
        </w:tc>
        <w:tc>
          <w:tcPr>
            <w:tcW w:type="dxa" w:w="3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Immunological ignorance threshold, held local by antibody targeting</w:t>
            </w:r>
          </w:p>
        </w:tc>
        <w:tc>
          <w:tcPr>
            <w:tcW w:type="dxa" w:w="24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Established mechanism; clinical trials ongoing (Phase 1/2)</w:t>
            </w:r>
          </w:p>
        </w:tc>
      </w:tr>
      <w:tr>
        <w:tc>
          <w:tcPr>
            <w:tcW w:type="dxa" w:w="1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Bypass</w:t>
            </w:r>
          </w:p>
        </w:tc>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TLR agonist + checkpoint blockade</w:t>
            </w:r>
          </w:p>
        </w:tc>
        <w:tc>
          <w:tcPr>
            <w:tcW w:type="dxa" w:w="3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Ignorance→engagement, exhaustion prevention</w:t>
            </w:r>
          </w:p>
        </w:tc>
        <w:tc>
          <w:tcPr>
            <w:tcW w:type="dxa" w:w="24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Established combination strategy; efficacy tumor-type-dependent</w:t>
            </w:r>
          </w:p>
        </w:tc>
      </w:tr>
      <w:tr>
        <w:tc>
          <w:tcPr>
            <w:tcW w:type="dxa" w:w="1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Bypass</w:t>
            </w:r>
          </w:p>
        </w:tc>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TLR agonist + low-dose chemotherapy (in situ vaccination)</w:t>
            </w:r>
          </w:p>
        </w:tc>
        <w:tc>
          <w:tcPr>
            <w:tcW w:type="dxa" w:w="3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Controlled debris release + innate boost</w:t>
            </w:r>
          </w:p>
        </w:tc>
        <w:tc>
          <w:tcPr>
            <w:tcW w:type="dxa" w:w="24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Established preclinical synergy, reduced T-cell exhaustion observed</w:t>
            </w:r>
          </w:p>
        </w:tc>
      </w:tr>
      <w:tr>
        <w:tc>
          <w:tcPr>
            <w:tcW w:type="dxa" w:w="1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Restore</w:t>
            </w:r>
          </w:p>
        </w:tc>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MMP suppression (corticosteroids)</w:t>
            </w:r>
          </w:p>
        </w:tc>
        <w:tc>
          <w:tcPr>
            <w:tcW w:type="dxa" w:w="3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Matrix lock restoration</w:t>
            </w:r>
          </w:p>
        </w:tc>
        <w:tc>
          <w:tcPr>
            <w:tcW w:type="dxa" w:w="24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Framework interpretation of an established drug class</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5.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factors influencing clonal dormancy, catalogued here across five levels, are not five independent systems but multiple entry points into a small number of shared nodes — a conclusion this series reached only gradually, through Articles 1–5, and extended to the distant/systemic scale only in Article 7. Management prospects follow the same logic: the practical question for any given case is not which general strategy to apply, but which specific factor dominates in that tissue, whether it is a direct node or a redundant input, and whether the clinical goal is preservation, bypass, or restoration. The ISAC approach and related TLR-based combinations (§4.6) show that this diagnostic, node-level logic is not purely theoretical: an existing engineering solution already addresses the central practical objection to nonspecific activation — controllability — by anchoring the signal spatially rather than by making it more specific in kind. This reframes “control of dormancy” from a single therapeutic target into a diagnostic problem to be solved case by case — the same conclusion Article 5 reached for the locks alone, now extended to the full catalog of factors established across this series.</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interpretation / Framework hypothesis correspond to the claim-marking system adopted for the whole framework starting with Framework 1.4. This article draws its factor catalog (§2) and management strategies (§4) from primary literature already verified in Articles 1–7, cited inline throughout; Section 4.6 introduces additional primary literature not previously cited in this series.</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Moussaieff A, Rouleau M, Kitsberg D, Cohen M, Levy G, Barasch D, Nemirovski A, Shen-Orr S, Laevsky I, Amit M, Bomze D, Elena-Herrmann B, Scherf T, Nissim-Rafinia M, Kempa S, Itskovitz-Eldor J, Meshorer E, Aberdam D, Nahmias Y. Glycolysis-mediated changes in acetyl-CoA and histone acetylation control the early differentiation of embryonic stem cells. Cell Metab. 2015;21(3):392–402.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Houtkooper RH, Mouchiroud L, Ryu D, Moullan N, Katsyuba E, Knott G, Williams RW, Auwerx J. Mitonuclear protein imbalance as a conserved longevity mechanism. Nature. 2013;497(7450):451–457.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Anisimov VN. Metformin for aging and cancer prevention. Aging (Albany NY). 2010;2(11):760–774.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Yilmaz ÖH, Katajisto P, Lamming DW, Gültekin Y, Bauer-Rowe KE, Sengupta S, Birsoy K, Dursun A, Yilmaz VO, Selig M, Nielsen GP, Mino-Kenudson M, Zukerberg LR, Bhan AK, Deshpande V, Sabatini DM. mTORC1 in the Paneth cell niche couples intestinal stem-cell function to calorie intake. Nature. 2012;486(7404):490–495.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Ochsenbein AF, Sierro S, Odermatt B, Pericin M, Karrer U, Hermans J, Hemmi S, Hengartner H, Zinkernagel RM. Immune surveillance against a solid tumor fails because of immunological ignorance. Proc Natl Acad Sci USA. 1999;96(5):2233–2238.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Kurts C, Sutherland RM, Davey G, Li M, Lew AM, Blanas E, Carbone FR, Miller JFAP, Heath WR. CD8 T cell ignorance or tolerance to islet antigens depends on antigen dose. Proc Natl Acad Sci USA. 1999;96(22):12703–12707.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The Hexosamine Biosynthesis Pathway: Regulation and Function. Genes (MDPI). 2023;14(4):933.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Effects of surgery on cancer metastasis: biological mechanisms and perioperative implications. Front Oncol. 2026.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Li C, Qiu S, Liu X, Guo F, Zhai J, Li Z, Deng L, Ge L, Qian H, Yang L, Xu B. Extracellular matrix-derived mechanical force governs breast cancer cell stemness and quiescence transition through integrin-DDR signaling. Signal Transduct Target Ther. 2023;8:247.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High extracellular matrix stiffness upregulates TNNT1 to awaken dormant tumor cells in liver metastatic niches of gastric cancer. Cell Oncol. 2025.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De Martino D, Zapatería B, Dunne JB, Drapela S, Matteson K, Oruko D, Humphrey T, Jonhston T, Varghese BA, Riggio AI, Tiwary K, Bresnahan E, Barra J, Sowa A, Jenssen W, Sidoli S, Welm AL, Barroso M, Stallaert W, Gomes AP, Angel PM, Arias E, Bravo-Cordero JJ. Collagen hydroxylation couples NAD+/NADH dynamics to tumor dormancy and reactivation. Res Sq [preprint, not peer-reviewed]. 2025.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Schroen DJ, Brinckerhoff CE. Nuclear hormone receptors inhibit matrix metalloproteinase (MMP) gene expression through diverse mechanisms. Gene Expr. 1996;6(4):197–207.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13. Mäkitalo L, Sipponen T, Kärkkäinen P, Kolho KL, Saarialho-Kere U. Changes in matrix metalloproteinase (MMP) and tissue inhibitors of metalloproteinases (TIMP) expression profile in Crohn's disease after immunosuppressive treatment correlate with histological score and calprotectin values. Int J Colorectal Dis. 2009;24(10):1157–1167.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14. O'Reilly MS, Holmgren L, Shing Y, Chen C, Rosenthal RA, Moses M, Lane WS, Cao Y, Sage EH, Folkman J. Angiostatin: a novel angiogenesis inhibitor that mediates the suppression of metastases by a Lewis lung carcinoma. Cell. 1994;79(2):315–328.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15. O'Reilly MS, Holmgren L, Chen C, Folkman J. Angiostatin induces and sustains dormancy of human primary tumors in mice. Nat Med. 1996;2(6):689–692.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16. Gorelik E. Concomitant tumor immunity and the resistance to a second tumor challenge. Adv Cancer Res. 1983;39:71–120.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17. Angiogenesis regulators as a possible key to accelerated growth of secondary tumors following primary tumor resection [preprint]. arXiv:1703.09994.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18. Fan et al. Cancer stem cells orchestrate immune evasion through extracellular vesicle-mediated non-canonical signaling pathways. Cancer Cell. 2026;44.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19. Rexhouse C, Bailey JT, Moshkani S, Cimino JL, Robek MD. High antigen burden drives CD8+ T cell dysfunction in a mouse model of chronic hepatitis B virus infection. J Virol. 2025.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20. Krall JA, et al. The systemic response to surgery triggers the outgrowth of distant immune-controlled tumors in mouse models of dormancy. Sci Transl Med. 2018. PMC6364295.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21. Willet SG, Lewis MA, Miao ZF, Liu D, Radyk MD, Cunningham RL, Burclaff J, Sibbel G, Lo HYG, Blanc V, Davidson NO, Wang ZN, Mills JC. Regenerative proliferation of differentiated cells by mTORC1-dependent paligenosis. EMBO J. 2018;37(7):e98311.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22. Blagosklonny MV. Cellular senescence: when growth stimulation meets cell cycle arrest. Aging (Albany NY). 2023.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23. Modelling the spatiotemporal dynamics of senescent cells in wound healing, chronic wounds, and fibrosis. PMC12052216.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24. Clinical implications of T cell exhaustion for cancer immunotherapy. PMC10984554.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25. Rolfo C, Giovannetti E, Martinez P, McCue S, Naing A. Applications and clinical trial landscape using Toll-like receptor agonists to reduce the toll of cancer. npj Precis Oncol. 2023;7(1):26.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26. TLR7/8/9 agonists and low-dose cisplatin synergistically promote tertiary lymphatic structure formation and antitumor immunity. PMC11742977.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27. Toll-like Receptor Agonists Are Unlikely to Provide Benefits in Head and Neck Squamous Cell Carcinoma: A Systematic Review and Meta-Analysis. Cancers (Basel). 2023;15(17):4386.</w:t>
      </w:r>
    </w:p>
    <w:p>
      <w:r>
        <w:br w:type="page"/>
      </w:r>
    </w:p>
    <w:p>
      <w:pPr>
        <w:spacing w:after="400"/>
        <w:jc w:val="center"/>
      </w:pPr>
      <w:r>
        <w:rPr>
          <w:rFonts w:ascii="Times New Roman" w:cs="Times New Roman" w:eastAsia="Times New Roman" w:hAnsi="Times New Roman"/>
          <w:b/>
          <w:bCs/>
          <w:i w:val="false"/>
          <w:iCs w:val="false"/>
          <w:sz w:val="23"/>
          <w:szCs w:val="23"/>
        </w:rPr>
        <w:t xml:space="preserve">Comparing Growth and Stability-Maintenance Programs in Normal and Oncogenic Clones: A Closed Differentiation Outflow and a Non-Resolving Regeneration Pendulum</w:t>
      </w:r>
    </w:p>
    <w:p>
      <w:pPr>
        <w:pStyle w:val="Heading1"/>
        <w:spacing w:after="200" w:before="300"/>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Normal and oncogenic clones formally pass through the same three-state architecture (Active/Dormant/Differentiated), but are structurally organized in fundamentally different ways. A normal clone is a small active/dormant fraction feeding a large, stable differentiated pool, held in place by at least five parallel, partially redundant negative-feedback loops. An oncogenic clone retains its active and dormant fractions but loses the differentiated outflow: cells that should differentiate die instead, and this death, together with the necrotic death of senescent cells, continuously regenerates a tissue-damage signal — the long-established phenomenon of “tumors as wounds that do not heal” (Dvorak, 1986). This decoupling of proliferation from differentiation, and its formal consequence for feedback regulation, are independently established elsewhere in the literature and are cited here as such; this article's own contribution is the specific molecular mechanism proposed to sustain the resulting chronic damage signal (Phoenix Rising plus senescent necrosis) and its extension, via an asymmetric feedback-severing argument, across scales from the niche to the whole organism.</w:t>
      </w:r>
    </w:p>
    <w:p>
      <w:pPr>
        <w:pStyle w:val="Heading1"/>
        <w:spacing w:after="200" w:before="300"/>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organizing question of this article: what structurally distinguishes the growth and stability program of an oncogenic clone from a normal one, beyond the obvious “oncogenic cells divide faster”? The answer developed here is that the distinction lies not in rate but in (a) the architecture of feedback loops governing the normal clone, (b) the fate of the differentiation outflow, and (c) the type of competition for the niche.</w:t>
      </w:r>
    </w:p>
    <w:p>
      <w:pPr>
        <w:pStyle w:val="Heading1"/>
        <w:spacing w:after="200" w:before="300"/>
      </w:pPr>
      <w:r>
        <w:rPr>
          <w:rFonts w:ascii="Times New Roman" w:cs="Times New Roman" w:eastAsia="Times New Roman" w:hAnsi="Times New Roman"/>
          <w:b/>
          <w:bCs/>
          <w:i w:val="false"/>
          <w:iCs w:val="false"/>
          <w:sz w:val="26"/>
          <w:szCs w:val="26"/>
        </w:rPr>
        <w:t xml:space="preserve">2. Established: the normal clone's program — five parallel loops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which lineage occupies a niche is a matter of neutral drift: genetically equivalent stem cells compete for position stochastically, with no fitness advantage for the winner. This has been documented independently in mouse epidermis, testis, and gut, in both mouse and Drosophila.</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differentiated cells secrete factors (e.g., GDF11 and Activin βB in the olfactory epithelium) that reduce the probability of stem cell self-renewal in proportion to their own density. It has been shown mathematically that, absent this feedback, the system produces unbounded growth whenever the self-renewal probability exceeds 0.5; this feedback is precisely what converts the system into a stable equilibrium.</w:t>
      </w:r>
      <w:r>
        <w:rPr>
          <w:rFonts w:ascii="Times New Roman" w:cs="Times New Roman" w:eastAsia="Times New Roman" w:hAnsi="Times New Roman"/>
          <w:b w:val="false"/>
          <w:bCs w:val="false"/>
          <w:i w:val="false"/>
          <w:iCs w:val="false"/>
          <w:sz w:val="24"/>
          <w:szCs w:val="24"/>
          <w:vertAlign w:val="superscript"/>
        </w:rPr>
        <w:t xml:space="preserve">[5,7]</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separately from the above, the niche itself provides integral, not merely proportional, negative feedback — tracking the accumulated deviation over time rather than only the instantaneous one, yielding more precise maintenance of the target stem cell pool size.</w:t>
      </w:r>
      <w:r>
        <w:rPr>
          <w:rFonts w:ascii="Times New Roman" w:cs="Times New Roman" w:eastAsia="Times New Roman" w:hAnsi="Times New Roman"/>
          <w:b w:val="false"/>
          <w:bCs w:val="false"/>
          <w:i w:val="false"/>
          <w:iCs w:val="false"/>
          <w:sz w:val="24"/>
          <w:szCs w:val="24"/>
          <w:vertAlign w:val="superscript"/>
        </w:rPr>
        <w:t xml:space="preserve">[6]</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proliferation rate is a monotonically decreasing function of local cell density (“contact inhibition”), approaching zero as the tissue's carrying capacity is reached.</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hard ceiling factors exist (e.g., osteopontin, which limits the absolute pool size), together with a corrective, not merely preventive, mechanism: if excess division occurs anyway, surplus cells are physically extruded from the epithelium through constriction by neighbors and undergo apoptosis, restoring homeostatic density after the fact.</w:t>
      </w:r>
      <w:r>
        <w:rPr>
          <w:rFonts w:ascii="Times New Roman" w:cs="Times New Roman" w:eastAsia="Times New Roman" w:hAnsi="Times New Roman"/>
          <w:b w:val="false"/>
          <w:bCs w:val="false"/>
          <w:i w:val="false"/>
          <w:iCs w:val="false"/>
          <w:sz w:val="24"/>
          <w:szCs w:val="24"/>
          <w:vertAlign w:val="superscript"/>
        </w:rPr>
        <w:t xml:space="preserve">[8,9]</w:t>
      </w:r>
    </w:p>
    <w:p>
      <w:pPr>
        <w:pStyle w:val="Heading1"/>
        <w:spacing w:after="200" w:before="300"/>
      </w:pPr>
      <w:r>
        <w:rPr>
          <w:rFonts w:ascii="Times New Roman" w:cs="Times New Roman" w:eastAsia="Times New Roman" w:hAnsi="Times New Roman"/>
          <w:b/>
          <w:bCs/>
          <w:i w:val="false"/>
          <w:iCs w:val="false"/>
          <w:sz w:val="26"/>
          <w:szCs w:val="26"/>
        </w:rPr>
        <w:t xml:space="preserve">Summary table: the five loops of the normal clone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6"/>
      </w:tblGrid>
      <w:tr>
        <w:trPr>
          <w:tblHeader/>
        </w:trPr>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Loop</w:t>
            </w:r>
          </w:p>
        </w:tc>
        <w:tc>
          <w:tcPr>
            <w:tcW w:type="dxa" w:w="3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Type of feedback</w:t>
            </w:r>
          </w:p>
        </w:tc>
        <w:tc>
          <w:tcPr>
            <w:tcW w:type="dxa" w:w="37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What it regulates</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Neutral drift</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Stochastic, not feedback</w:t>
            </w:r>
          </w:p>
        </w:tc>
        <w:tc>
          <w:tcPr>
            <w:tcW w:type="dxa" w:w="3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Which lineage dominates, not overall rate</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Differentiated cells → self-renewal</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Proportional negative</w:t>
            </w:r>
          </w:p>
        </w:tc>
        <w:tc>
          <w:tcPr>
            <w:tcW w:type="dxa" w:w="3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Probability of stem cell self-renewal</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Niche integral feedback</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Integral negative</w:t>
            </w:r>
          </w:p>
        </w:tc>
        <w:tc>
          <w:tcPr>
            <w:tcW w:type="dxa" w:w="3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Target pool size over time</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Contact inhibition</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Density-dependent</w:t>
            </w:r>
          </w:p>
        </w:tc>
        <w:tc>
          <w:tcPr>
            <w:tcW w:type="dxa" w:w="3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Local proliferation rate</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Ceiling factors + corrective extrusion</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Hard limit + post-hoc correction</w:t>
            </w:r>
          </w:p>
        </w:tc>
        <w:tc>
          <w:tcPr>
            <w:tcW w:type="dxa" w:w="3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Absolute upper bound</w:t>
            </w:r>
          </w:p>
        </w:tc>
      </w:tr>
    </w:tbl>
    <w:p>
      <w:pPr>
        <w:spacing w:after="200"/>
      </w:pPr>
      <w:r>
        <w:rPr>
          <w:rFonts w:ascii="Times New Roman" w:cs="Times New Roman" w:eastAsia="Times New Roman" w:hAnsi="Times New Roman"/>
          <w:b w:val="false"/>
          <w:bCs w:val="false"/>
          <w:i w:val="false"/>
          <w:iCs w:val="false"/>
          <w:sz w:val="24"/>
          <w:szCs w:val="24"/>
        </w:rPr>
        <w:t xml:space="preserve"/>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system is redundant: these loops act on different timescales and spatial scales simultaneously, functioning like several independent fail-safes rather than a single point of failure.</w:t>
      </w:r>
    </w:p>
    <w:p>
      <w:pPr>
        <w:pStyle w:val="Heading1"/>
        <w:spacing w:after="200" w:before="300"/>
      </w:pPr>
      <w:r>
        <w:rPr>
          <w:rFonts w:ascii="Times New Roman" w:cs="Times New Roman" w:eastAsia="Times New Roman" w:hAnsi="Times New Roman"/>
          <w:b/>
          <w:bCs/>
          <w:i w:val="false"/>
          <w:iCs w:val="false"/>
          <w:sz w:val="26"/>
          <w:szCs w:val="26"/>
        </w:rPr>
        <w:t xml:space="preserve">3. Established: a structural difference — the closed differentiation outflow</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a normal clone is structurally a small Active+Dormant fraction feeding a large, stable pool of Differentiated cells — differentiation functions as an outflow that permanently removes a cell from the competitive/proliferative pool (Article 1). An oncogenic clone retains its active and dormant fractions but loses this outflow: cells that should differentiate die instead of completing the program. Expansion occurs exclusively through the Active+Dormant fractions, because the Differentiated outflow is structurally absent rather than merely weakened.</w:t>
      </w:r>
    </w:p>
    <w:p>
      <w:pPr>
        <w:spacing w:after="160" w:line="276"/>
        <w:jc w:val="both"/>
      </w:pPr>
      <w:r>
        <w:rPr>
          <w:rFonts w:ascii="Times New Roman" w:cs="Times New Roman" w:eastAsia="Times New Roman" w:hAnsi="Times New Roman"/>
          <w:b/>
          <w:bCs/>
          <w:i w:val="false"/>
          <w:iCs w:val="false"/>
          <w:sz w:val="24"/>
          <w:szCs w:val="24"/>
        </w:rPr>
        <w:t xml:space="preserve">[Established (prior literature)] </w:t>
      </w:r>
      <w:r>
        <w:rPr>
          <w:rFonts w:ascii="Times New Roman" w:cs="Times New Roman" w:eastAsia="Times New Roman" w:hAnsi="Times New Roman"/>
          <w:b w:val="false"/>
          <w:bCs w:val="false"/>
          <w:i w:val="false"/>
          <w:iCs w:val="false"/>
          <w:sz w:val="24"/>
          <w:szCs w:val="24"/>
        </w:rPr>
        <w:t xml:space="preserve">a systematic review across three treatment-recalcitrant cancers (hepatocellular carcinoma, ovarian cancer, pancreatic ductal adenocarcinoma) independently established the same core structure under different terminology: MYC-driven exponential proliferation of lineage-committed progenitors is normally self-limited by forward-differentiation to terminal fates; in cancer, this proliferation becomes decoupled from terminal differentiation.</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bCs/>
          <w:i w:val="false"/>
          <w:iCs w:val="false"/>
          <w:sz w:val="24"/>
          <w:szCs w:val="24"/>
        </w:rPr>
        <w:t xml:space="preserve">[Established (prior literature)] </w:t>
      </w:r>
      <w:r>
        <w:rPr>
          <w:rFonts w:ascii="Times New Roman" w:cs="Times New Roman" w:eastAsia="Times New Roman" w:hAnsi="Times New Roman"/>
          <w:b w:val="false"/>
          <w:bCs w:val="false"/>
          <w:i w:val="false"/>
          <w:iCs w:val="false"/>
          <w:sz w:val="24"/>
          <w:szCs w:val="24"/>
        </w:rPr>
        <w:t xml:space="preserve">a formal mathematical proof of the same principle exists independently: in tissue-hierarchy models with negative-feedback regulation of stem cell self-renewal, if the rate of de-differentiation (or, equivalently, failure to complete differentiation) exceeds the death rate of differentiated cells, the negative feedback loops cannot prevent unbounded growth — regardless of how strong that feedback is. This is a direct, independently derived formalization of the claim made qualitatively above.</w:t>
      </w:r>
      <w:r>
        <w:rPr>
          <w:rFonts w:ascii="Times New Roman" w:cs="Times New Roman" w:eastAsia="Times New Roman" w:hAnsi="Times New Roman"/>
          <w:b w:val="false"/>
          <w:bCs w:val="false"/>
          <w:i w:val="false"/>
          <w:iCs w:val="false"/>
          <w:sz w:val="24"/>
          <w:szCs w:val="24"/>
          <w:vertAlign w:val="superscript"/>
        </w:rPr>
        <w:t xml:space="preserve">[13]</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these two sources establish the core structural claim of this section — decoupling of proliferation from differentiation as a general tumor mechanism, with a formal proof that closing the outflow defeats feedback regulation irrespective of its strength. The contribution of this article is not this structural claim itself, but what is built on top of it in Sections 4–6 below: the specific molecular mechanism proposed to sustain the resulting chronic damage signal, and its extension across scales.</w:t>
      </w:r>
    </w:p>
    <w:p>
      <w:pPr>
        <w:pStyle w:val="Heading1"/>
        <w:spacing w:after="200" w:before="300"/>
      </w:pPr>
      <w:r>
        <w:rPr>
          <w:rFonts w:ascii="Times New Roman" w:cs="Times New Roman" w:eastAsia="Times New Roman" w:hAnsi="Times New Roman"/>
          <w:b/>
          <w:bCs/>
          <w:i w:val="false"/>
          <w:iCs w:val="false"/>
          <w:sz w:val="26"/>
          <w:szCs w:val="26"/>
        </w:rPr>
        <w:t xml:space="preserve">4. Established + Framework hypothesis: the non-resolving regeneration pendulum</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one of the most highly cited papers in oncology established that the fibrin-fibronectin gel signal that normally triggers wound healing and is self-limited upon its completion is, in tumors, not self-limited — gel continues to be deposited continuously, and the tumor presents to the host “in the guise of a wound, or more correctly, of an unending series of wounds that continually initiate healing but never heal completely.” The author confirmed and extended the concept three decades later: tumors co-opt the wound-healing program to obtain the stroma they require for growth.</w:t>
      </w:r>
      <w:r>
        <w:rPr>
          <w:rFonts w:ascii="Times New Roman" w:cs="Times New Roman" w:eastAsia="Times New Roman" w:hAnsi="Times New Roman"/>
          <w:b w:val="false"/>
          <w:bCs w:val="false"/>
          <w:i w:val="false"/>
          <w:iCs w:val="false"/>
          <w:sz w:val="24"/>
          <w:szCs w:val="24"/>
          <w:vertAlign w:val="superscript"/>
        </w:rPr>
        <w:t xml:space="preserve">[10,11]</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molecular executor of this macro-level observation is the Phoenix Rising pathway already established in this series (Framework 1.4, Article 9): dying cells stimulate proliferation of survivors via caspase-3→PGE2 signaling. Death of cells that failed to complete differentiation (Section 3) is interpreted by the tissue as damage requiring regeneration rather than as normal depletion of the reserve — and each cycle of this response itself produces new death to replace the old, since the outflow remains closed. There is no structural completion point in this chain.</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blocking the Phoenix Rising cascade (caspase-3/PGE2) in a model with deliberately blocked terminal differentiation does not halt the self-sustaining growth of the Active+Dormant fraction, the hypothesis that Phoenix Rising is the direct engine of the non-resolving pendulum is false.</w:t>
      </w:r>
    </w:p>
    <w:p>
      <w:pPr>
        <w:pStyle w:val="Heading1"/>
        <w:spacing w:after="200" w:before="300"/>
      </w:pPr>
      <w:r>
        <w:rPr>
          <w:rFonts w:ascii="Times New Roman" w:cs="Times New Roman" w:eastAsia="Times New Roman" w:hAnsi="Times New Roman"/>
          <w:b/>
          <w:bCs/>
          <w:i w:val="false"/>
          <w:iCs w:val="false"/>
          <w:sz w:val="26"/>
          <w:szCs w:val="26"/>
        </w:rPr>
        <w:t xml:space="preserve">5. Framework hypothesis: a second, independent source — necrotic death of senescent cells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apoptotic death, when cleared promptly, remains “silent” to the immune system, whereas necrotic death releases DAMPs (HMGB1, extracellular ATP, heat shock proteins) — the same molecules already established in Article 7 as triggers of the inflammatory/wound-healing response.</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it is already established (Article 3, §4) that senescent cells are, by default, resistant to apoptosis, and that when their PD-L1 masking is forcibly breached, death is realized via necrosis rather than apoptosis. In an oncogenic clone where the differentiation outflow is already closed, senescent cells are not a reserve awaiting timely clearance but a second, independent source of DAMPs — operating through a different molecular entry point, but feeding the same non-resolving wound signal.</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Dvorak non-healing wound in the oncogenic clone is sustained by at least two parallel sources of death, both converging on the same outcome (chronic regenerative/inflammatory signaling): (1) cells that failed to complete differentiation, dying via the caspase-3/PGE2-dependent Phoenix Rising pathway; (2) senescent cells that were not cleared in time, dying necrotically upon late or forced breach of PD-L1 masking.</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suppressing necrotic death of senescent cells (for example, by inhibiting the necroptotic pathway while PD-L1 blockade is maintained) does not reduce the intensity of chronic regenerative signaling in a model with already-blocked terminal differentiation, the second source contributes nothing independently, and the entire cycle is sustained solely by Phoenix Rising from undifferentiated cells.</w:t>
      </w:r>
    </w:p>
    <w:p>
      <w:pPr>
        <w:pStyle w:val="Heading1"/>
        <w:spacing w:after="200" w:before="300"/>
      </w:pPr>
      <w:r>
        <w:rPr>
          <w:rFonts w:ascii="Times New Roman" w:cs="Times New Roman" w:eastAsia="Times New Roman" w:hAnsi="Times New Roman"/>
          <w:b/>
          <w:bCs/>
          <w:i w:val="false"/>
          <w:iCs w:val="false"/>
          <w:sz w:val="26"/>
          <w:szCs w:val="26"/>
        </w:rPr>
        <w:t xml:space="preserve">6. Established: the type of niche competition — not simply faster, but an asymmetric severing of one's own loop</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intestinal stem cells carrying Kras or Pik3ca mutations outcompete their neighbors not through faster division as such, but through cell competition: they secrete BMP ligands that restrain division of normal neighbors, and reprogram stromal cells to secrete WNT inhibitors — a weapon directed at the competitor through its own niche. Critically, the mutant cells are themselves resistant to the same WNT inhibitors that they induce the stroma to secrete, whereas normal cells are not.</w:t>
      </w:r>
      <w:r>
        <w:rPr>
          <w:rFonts w:ascii="Times New Roman" w:cs="Times New Roman" w:eastAsia="Times New Roman" w:hAnsi="Times New Roman"/>
          <w:b w:val="false"/>
          <w:bCs w:val="false"/>
          <w:i w:val="false"/>
          <w:iCs w:val="false"/>
          <w:sz w:val="24"/>
          <w:szCs w:val="24"/>
          <w:vertAlign w:val="superscript"/>
        </w:rPr>
        <w:t xml:space="preserve">[3,4]</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not the invention of a new weapon but the selective severing of one specific loop among the five described in Section 2 (proportional feedback via niche signals), while that same loop remains intact against neighbors. The same asymmetric logic — “secrete a suppressive factor while remaining resistant to it oneself” — is already established in this series at a different scale: concomitant tumor resistance (Article 7, §5), in which a dominant tumor secretes angiostatin/endostatin that suppresses distant metastases while remaining insensitive to its own signal.</w:t>
      </w:r>
    </w:p>
    <w:p>
      <w:pPr>
        <w:pStyle w:val="Heading1"/>
        <w:spacing w:after="200" w:before="300"/>
      </w:pPr>
      <w:r>
        <w:rPr>
          <w:rFonts w:ascii="Times New Roman" w:cs="Times New Roman" w:eastAsia="Times New Roman" w:hAnsi="Times New Roman"/>
          <w:b/>
          <w:bCs/>
          <w:i w:val="false"/>
          <w:iCs w:val="false"/>
          <w:sz w:val="26"/>
          <w:szCs w:val="26"/>
        </w:rPr>
        <w:t xml:space="preserve">7. Relationship to prior literature: what is established elsewhere and what is proposed here</w:t>
      </w:r>
    </w:p>
    <w:p>
      <w:pPr>
        <w:spacing w:after="160" w:line="276"/>
        <w:jc w:val="both"/>
      </w:pPr>
      <w:r>
        <w:rPr>
          <w:rFonts w:ascii="Times New Roman" w:cs="Times New Roman" w:eastAsia="Times New Roman" w:hAnsi="Times New Roman"/>
          <w:b w:val="false"/>
          <w:bCs w:val="false"/>
          <w:i w:val="false"/>
          <w:iCs w:val="false"/>
          <w:sz w:val="24"/>
          <w:szCs w:val="24"/>
        </w:rPr>
        <w:t xml:space="preserve">Given the overlap identified in Section 3, it is worth stating plainly which parts of this article's core claim are already published and which appear, as far as this review has been able to determine, to be original synthesis.</w:t>
      </w:r>
    </w:p>
    <w:p>
      <w:pPr>
        <w:spacing w:after="160" w:line="276"/>
        <w:jc w:val="both"/>
      </w:pPr>
      <w:r>
        <w:rPr>
          <w:rFonts w:ascii="Times New Roman" w:cs="Times New Roman" w:eastAsia="Times New Roman" w:hAnsi="Times New Roman"/>
          <w:b/>
          <w:bCs/>
          <w:i w:val="false"/>
          <w:iCs w:val="false"/>
          <w:sz w:val="24"/>
          <w:szCs w:val="24"/>
        </w:rPr>
        <w:t xml:space="preserve">Already established elsewhere: </w:t>
      </w:r>
      <w:r>
        <w:rPr>
          <w:rFonts w:ascii="Times New Roman" w:cs="Times New Roman" w:eastAsia="Times New Roman" w:hAnsi="Times New Roman"/>
          <w:b w:val="false"/>
          <w:bCs w:val="false"/>
          <w:i w:val="false"/>
          <w:iCs w:val="false"/>
          <w:sz w:val="24"/>
          <w:szCs w:val="24"/>
        </w:rPr>
        <w:t xml:space="preserve">the decoupling of proliferation from terminal differentiation as a general mechanism of malignant growth (Enane et al., ref. 12), and the formal mathematical result that this decoupling defeats negative-feedback regulation regardless of feedback strength (ref. 13). These sources should be read as the primary literature underlying Section 3, not as background merely consistent with it.</w:t>
      </w:r>
    </w:p>
    <w:p>
      <w:pPr>
        <w:spacing w:after="160" w:line="276"/>
        <w:jc w:val="both"/>
      </w:pPr>
      <w:r>
        <w:rPr>
          <w:rFonts w:ascii="Times New Roman" w:cs="Times New Roman" w:eastAsia="Times New Roman" w:hAnsi="Times New Roman"/>
          <w:b/>
          <w:bCs/>
          <w:i w:val="false"/>
          <w:iCs w:val="false"/>
          <w:sz w:val="24"/>
          <w:szCs w:val="24"/>
        </w:rPr>
        <w:t xml:space="preserve">Not found assembled elsewhere, and offered here as this article's contribution: </w:t>
      </w:r>
      <w:r>
        <w:rPr>
          <w:rFonts w:ascii="Times New Roman" w:cs="Times New Roman" w:eastAsia="Times New Roman" w:hAnsi="Times New Roman"/>
          <w:b w:val="false"/>
          <w:bCs w:val="false"/>
          <w:i w:val="false"/>
          <w:iCs w:val="false"/>
          <w:sz w:val="24"/>
          <w:szCs w:val="24"/>
        </w:rPr>
        <w:t xml:space="preserve">(a) the specific proposal that Phoenix Rising (Framework 1.4, Article 9) is the molecular executor of Dvorak's non-healing wound, mediated specifically by death of cells that failed to complete differentiation (Section 4); (b) necrotic death of senescent cells, upon forced or delayed breach of PD-L1 masking, as a second, independent source feeding the same non-resolving cycle (Section 5); (c) the cross-scale unification of “asymmetric feedback severing” — secreting a suppressive signal while remaining resistant to it — linking niche-level cell competition (Section 6) with organism-level concomitant tumor resistance (Article 7).</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a published source is found that already combines Phoenix Rising, senescent necrotic death, and the cross-scale feedback-severing argument into the same explanatory structure proposed here, the novelty claimed in this section is false and this article's contribution should be restricted to the specific cross-referencing and falsification criteria added to each component.</w:t>
      </w:r>
    </w:p>
    <w:p>
      <w:pPr>
        <w:pStyle w:val="Heading1"/>
        <w:spacing w:after="200" w:before="300"/>
      </w:pPr>
      <w:r>
        <w:rPr>
          <w:rFonts w:ascii="Times New Roman" w:cs="Times New Roman" w:eastAsia="Times New Roman" w:hAnsi="Times New Roman"/>
          <w:b/>
          <w:bCs/>
          <w:i w:val="false"/>
          <w:iCs w:val="false"/>
          <w:sz w:val="26"/>
          <w:szCs w:val="26"/>
        </w:rPr>
        <w:t xml:space="preserve">8.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An oncogenic clone is not simply a faster version of a normal one. It is a clone that has closed the one outflow leading to stability (differentiation), selectively severed one of the five loops holding normal growth in check, and converted its own cell death into fuel for a non-resolving regenerative cycle rather than a natural outcome.</w:t>
      </w:r>
    </w:p>
    <w:p>
      <w:pPr>
        <w:pStyle w:val="Heading1"/>
        <w:spacing w:after="200" w:before="300"/>
      </w:pPr>
      <w:r>
        <w:rPr>
          <w:rFonts w:ascii="Times New Roman" w:cs="Times New Roman" w:eastAsia="Times New Roman" w:hAnsi="Times New Roman"/>
          <w:b/>
          <w:bCs/>
          <w:i w:val="false"/>
          <w:iCs w:val="false"/>
          <w:sz w:val="26"/>
          <w:szCs w:val="26"/>
        </w:rPr>
        <w:t xml:space="preserve">Summary table: normal vs. oncogenic clone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6"/>
      </w:tblGrid>
      <w:tr>
        <w:trPr>
          <w:tblHeader/>
        </w:trPr>
        <w:tc>
          <w:tcPr>
            <w:tcW w:type="dxa" w:w="26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Normal clone</w:t>
            </w:r>
          </w:p>
        </w:tc>
        <w:tc>
          <w:tcPr>
            <w:tcW w:type="dxa" w:w="35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Oncogenic clone</w:t>
            </w:r>
          </w:p>
        </w:tc>
      </w:tr>
      <w:tr>
        <w:tc>
          <w:tcPr>
            <w:tcW w:type="dxa" w:w="2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Pool structure</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Small Active+Dormant fraction, large stable Differentiated pool</w:t>
            </w:r>
          </w:p>
        </w:tc>
        <w:tc>
          <w:tcPr>
            <w:tcW w:type="dxa" w:w="3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Growing Active+Dormant fraction, Differentiated outflow closed</w:t>
            </w:r>
          </w:p>
        </w:tc>
      </w:tr>
      <w:tr>
        <w:tc>
          <w:tcPr>
            <w:tcW w:type="dxa" w:w="2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Fate of exiting cells</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Successful differentiation, permanent exit from the pool</w:t>
            </w:r>
          </w:p>
        </w:tc>
        <w:tc>
          <w:tcPr>
            <w:tcW w:type="dxa" w:w="35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Death instead of differentiation</w:t>
            </w:r>
          </w:p>
        </w:tc>
      </w:tr>
      <w:tr>
        <w:tc>
          <w:tcPr>
            <w:tcW w:type="dxa" w:w="2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Source of chronic damage signal</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Absent</w:t>
            </w:r>
          </w:p>
        </w:tc>
        <w:tc>
          <w:tcPr>
            <w:tcW w:type="dxa" w:w="3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Phoenix Rising (undifferentiated cells) + necrosis (senescent cells)</w:t>
            </w:r>
          </w:p>
        </w:tc>
      </w:tr>
      <w:tr>
        <w:tc>
          <w:tcPr>
            <w:tcW w:type="dxa" w:w="2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Regeneration pendulum</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Oscillatory, self-limiting</w:t>
            </w:r>
          </w:p>
        </w:tc>
        <w:tc>
          <w:tcPr>
            <w:tcW w:type="dxa" w:w="35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Non-resolving (Dvorak)</w:t>
            </w:r>
          </w:p>
        </w:tc>
      </w:tr>
      <w:tr>
        <w:tc>
          <w:tcPr>
            <w:tcW w:type="dxa" w:w="2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Type of niche competition</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Neutral drift</w:t>
            </w:r>
          </w:p>
        </w:tc>
        <w:tc>
          <w:tcPr>
            <w:tcW w:type="dxa" w:w="3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Cell competition / “supercompetition”</w:t>
            </w:r>
          </w:p>
        </w:tc>
      </w:tr>
      <w:tr>
        <w:tc>
          <w:tcPr>
            <w:tcW w:type="dxa" w:w="2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Feedback loops (Section 2)</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All five intact</w:t>
            </w:r>
          </w:p>
        </w:tc>
        <w:tc>
          <w:tcPr>
            <w:tcW w:type="dxa" w:w="35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One loop selectively broken in self, intact against neighbors</w:t>
            </w:r>
          </w:p>
        </w:tc>
      </w:tr>
      <w:tr>
        <w:tc>
          <w:tcPr>
            <w:tcW w:type="dxa" w:w="2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Analogous asymmetry at another scale</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w:t>
            </w:r>
          </w:p>
        </w:tc>
        <w:tc>
          <w:tcPr>
            <w:tcW w:type="dxa" w:w="35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Concomitant tumor resistance (Article 7)</w:t>
            </w:r>
          </w:p>
        </w:tc>
      </w:tr>
    </w:tbl>
    <w:p>
      <w:pPr>
        <w:spacing w:after="200"/>
      </w:pPr>
      <w:r>
        <w:rPr>
          <w:rFonts w:ascii="Times New Roman" w:cs="Times New Roman" w:eastAsia="Times New Roman" w:hAnsi="Times New Roman"/>
          <w:b w:val="false"/>
          <w:bCs w:val="false"/>
          <w:i w:val="false"/>
          <w:iCs w:val="false"/>
          <w:sz w:val="24"/>
          <w:szCs w:val="24"/>
        </w:rPr>
        <w:t xml:space="preserve"/>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hypothesis correspond to the claim-marking system adopted for the whole framework starting with Framework 1.4.</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Stem Cell Competition: Finding Balance in the Niche. PMC3729747.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Neutral competition of stem cells is skewed by proliferative changes downstream of Hh and Hpo. PMC4253521.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Cell competition in primary and metastatic colorectal cancer. Oncogenesis. 2024.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Cell competition in intratumoral and tumor microenvironment interactions. PMC8408594. (Kras/Pik3ca; BMP/WNT-inhibitor mechanism.)</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Spatial dynamics of feedback and feedforward regulation in cell lineages. PMC9116666. (GDF11/Activin βB, olfactory epithelium.)</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Becker NB, Günther M, Li C, Jolly A, Höfer T. Stem cell homeostasis by integral feedback through the niche. J Theor Biol. 2019;481:100–109.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Lander AD, Gokoffski KK, Wan FYM, Nie Q, Calof AL. Cell lineages and the logic of proliferative control. PLoS Biol. 2009;7(1):e1000015.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Niches of Stem Cells. JSM Dent. 2020;8(3):1129. (Osteopontin.)</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Signaling in the stem cell niche: regulating cell fate, function and plasticity. Development. 2018;145(15):dev165399. (Corrective extrusion of excess cells.)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Dvorak HF. Tumors: wounds that do not heal. Similarities between tumor stroma generation and wound healing. N Engl J Med. 1986;315(26):1650–1659.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Dvorak HF. Tumors: wounds that do not heal—redux. Cancer Immunol Res. 2015;3(1):1–11.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Enane FO, Saunthararajah Y, Korc M. Differentiation therapy and the mechanisms that terminate cancer cell proliferation without harming normal cells. Cell Death Dis. 2018;9(9):912. doi:10.1038/s41419-018-0919-9.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13. Wodarz D. Effect of cellular de-differentiation on the dynamics and evolution of tissue and tumor cells in mathematical models with feedback regulation. J Theor Biol. 2018;448:86–93. doi:10.1016/j.jtbi.2018.03.036.</w:t>
      </w:r>
    </w:p>
    <w:p>
      <w:r>
        <w:br w:type="page"/>
      </w:r>
    </w:p>
    <w:p>
      <w:pPr>
        <w:spacing w:after="400"/>
        <w:jc w:val="center"/>
      </w:pPr>
      <w:r>
        <w:rPr>
          <w:rFonts w:ascii="Times New Roman" w:cs="Times New Roman" w:eastAsia="Times New Roman" w:hAnsi="Times New Roman"/>
          <w:b/>
          <w:bCs/>
          <w:i w:val="false"/>
          <w:iCs w:val="false"/>
          <w:sz w:val="25"/>
          <w:szCs w:val="25"/>
        </w:rPr>
        <w:t xml:space="preserve">Chapter 10 — Final Synthesis: Six Potentially Novel Framework Points and Three Cross-Cutting Checks</w:t>
      </w:r>
    </w:p>
    <w:p>
      <w:pPr>
        <w:pStyle w:val="Heading1"/>
        <w:spacing w:after="200" w:before="300"/>
      </w:pPr>
      <w:r>
        <w:rPr>
          <w:rFonts w:ascii="Times New Roman" w:cs="Times New Roman" w:eastAsia="Times New Roman" w:hAnsi="Times New Roman"/>
          <w:b/>
          <w:bCs/>
          <w:i w:val="false"/>
          <w:iCs w:val="false"/>
          <w:sz w:val="26"/>
          <w:szCs w:val="26"/>
        </w:rPr>
        <w:t xml:space="preserve">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preceding nine articles produced a large volume of material, not all of it equally valuable. This chapter does what a capstone chapter should: it explicitly separates the small amount that looks like genuine, non-rediscovered contribution from the scaffolding built around it — and proposes not nine separate falsification criteria, one per article, but three cross-cutting checks, each of which, if confirmed, would support several of the scattered hypotheses at once through a single measurement.</w:t>
      </w:r>
    </w:p>
    <w:p>
      <w:pPr>
        <w:pStyle w:val="Heading1"/>
        <w:spacing w:after="200" w:before="300"/>
      </w:pPr>
      <w:r>
        <w:rPr>
          <w:rFonts w:ascii="Times New Roman" w:cs="Times New Roman" w:eastAsia="Times New Roman" w:hAnsi="Times New Roman"/>
          <w:b/>
          <w:bCs/>
          <w:i w:val="false"/>
          <w:iCs w:val="false"/>
          <w:sz w:val="26"/>
          <w:szCs w:val="26"/>
        </w:rPr>
        <w:t xml:space="preserve">Part 1. Six points potentially novel to the Framework</w:t>
      </w:r>
    </w:p>
    <w:p>
      <w:pPr>
        <w:pStyle w:val="Heading2"/>
        <w:spacing w:after="130" w:before="220"/>
      </w:pPr>
      <w:r>
        <w:rPr>
          <w:rFonts w:ascii="Times New Roman" w:cs="Times New Roman" w:eastAsia="Times New Roman" w:hAnsi="Times New Roman"/>
          <w:b/>
          <w:bCs/>
          <w:i w:val="false"/>
          <w:iCs w:val="false"/>
          <w:sz w:val="24"/>
          <w:szCs w:val="24"/>
        </w:rPr>
        <w:t xml:space="preserve">1. Phoenix Rising as the molecular executor of Dvorak's non-healing wound</w:t>
      </w:r>
    </w:p>
    <w:p>
      <w:pPr>
        <w:spacing w:after="160" w:line="276"/>
        <w:jc w:val="both"/>
      </w:pPr>
      <w:r>
        <w:rPr>
          <w:rFonts w:ascii="Times New Roman" w:cs="Times New Roman" w:eastAsia="Times New Roman" w:hAnsi="Times New Roman"/>
          <w:b w:val="false"/>
          <w:bCs w:val="false"/>
          <w:i w:val="false"/>
          <w:iCs w:val="false"/>
          <w:sz w:val="24"/>
          <w:szCs w:val="24"/>
        </w:rPr>
        <w:t xml:space="preserve">Dvorak (1986) described the phenomenon at the tissue level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Phoenix Rising (Huang et al., 2011) at the molecular level, but in a different situation (therapeutically induced death)</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later extended to post-irradiation angiogenesis specifically</w:t>
      </w:r>
      <w:r>
        <w:rPr>
          <w:rFonts w:ascii="Times New Roman" w:cs="Times New Roman" w:eastAsia="Times New Roman" w:hAnsi="Times New Roman"/>
          <w:b w:val="false"/>
          <w:bCs w:val="false"/>
          <w:i w:val="false"/>
          <w:iCs w:val="false"/>
          <w:sz w:val="24"/>
          <w:szCs w:val="24"/>
          <w:vertAlign w:val="superscript"/>
        </w:rPr>
        <w:t xml:space="preserve">[3]</w:t>
      </w:r>
      <w:r>
        <w:rPr>
          <w:rFonts w:ascii="Times New Roman" w:cs="Times New Roman" w:eastAsia="Times New Roman" w:hAnsi="Times New Roman"/>
          <w:b w:val="false"/>
          <w:bCs w:val="false"/>
          <w:i w:val="false"/>
          <w:iCs w:val="false"/>
          <w:sz w:val="24"/>
          <w:szCs w:val="24"/>
        </w:rPr>
        <w:t xml:space="preserve">. Connecting the two through the death of </w:t>
      </w:r>
      <w:r>
        <w:rPr>
          <w:rFonts w:ascii="Times New Roman" w:cs="Times New Roman" w:eastAsia="Times New Roman" w:hAnsi="Times New Roman"/>
          <w:b/>
          <w:bCs/>
          <w:i w:val="false"/>
          <w:iCs w:val="false"/>
          <w:sz w:val="24"/>
          <w:szCs w:val="24"/>
        </w:rPr>
        <w:t xml:space="preserve">undifferentiated</w:t>
      </w:r>
      <w:r>
        <w:rPr>
          <w:rFonts w:ascii="Times New Roman" w:cs="Times New Roman" w:eastAsia="Times New Roman" w:hAnsi="Times New Roman"/>
          <w:b w:val="false"/>
          <w:bCs w:val="false"/>
          <w:i w:val="false"/>
          <w:iCs w:val="false"/>
          <w:sz w:val="24"/>
          <w:szCs w:val="24"/>
        </w:rPr>
        <w:t xml:space="preserve"> cells specifically, as a continuous source of the signal (Article 9, §4), has not been found already assembled anywhere.</w:t>
      </w:r>
    </w:p>
    <w:p>
      <w:pPr>
        <w:pStyle w:val="Heading2"/>
        <w:spacing w:after="130" w:before="220"/>
      </w:pPr>
      <w:r>
        <w:rPr>
          <w:rFonts w:ascii="Times New Roman" w:cs="Times New Roman" w:eastAsia="Times New Roman" w:hAnsi="Times New Roman"/>
          <w:b/>
          <w:bCs/>
          <w:i w:val="false"/>
          <w:iCs w:val="false"/>
          <w:sz w:val="24"/>
          <w:szCs w:val="24"/>
        </w:rPr>
        <w:t xml:space="preserve">2. Necrotic death of senescent cells as a second, independent source of DAMPs</w:t>
      </w:r>
    </w:p>
    <w:p>
      <w:pPr>
        <w:spacing w:after="160" w:line="276"/>
        <w:jc w:val="both"/>
      </w:pPr>
      <w:r>
        <w:rPr>
          <w:rFonts w:ascii="Times New Roman" w:cs="Times New Roman" w:eastAsia="Times New Roman" w:hAnsi="Times New Roman"/>
          <w:b w:val="false"/>
          <w:bCs w:val="false"/>
          <w:i w:val="false"/>
          <w:iCs w:val="false"/>
          <w:sz w:val="24"/>
          <w:szCs w:val="24"/>
        </w:rPr>
        <w:t xml:space="preserve">Both underlying facts — senescence's default resistance to apoptosis</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and necrosis specifically upon breach of PD-L1 masking</w:t>
      </w:r>
      <w:r>
        <w:rPr>
          <w:rFonts w:ascii="Times New Roman" w:cs="Times New Roman" w:eastAsia="Times New Roman" w:hAnsi="Times New Roman"/>
          <w:b w:val="false"/>
          <w:bCs w:val="false"/>
          <w:i w:val="false"/>
          <w:iCs w:val="false"/>
          <w:sz w:val="24"/>
          <w:szCs w:val="24"/>
          <w:vertAlign w:val="superscript"/>
        </w:rPr>
        <w:t xml:space="preserve">[5]</w:t>
      </w:r>
      <w:r>
        <w:rPr>
          <w:rFonts w:ascii="Times New Roman" w:cs="Times New Roman" w:eastAsia="Times New Roman" w:hAnsi="Times New Roman"/>
          <w:b w:val="false"/>
          <w:bCs w:val="false"/>
          <w:i w:val="false"/>
          <w:iCs w:val="false"/>
          <w:sz w:val="24"/>
          <w:szCs w:val="24"/>
        </w:rPr>
        <w:t xml:space="preserve"> — are established separately (Article 3, §4); their role as a second source of fuel, parallel to Phoenix Rising, for the same non-resolving cycle (Article 9, §5) is proposed here for the first time.</w:t>
      </w:r>
    </w:p>
    <w:p>
      <w:pPr>
        <w:pStyle w:val="Heading2"/>
        <w:spacing w:after="130" w:before="220"/>
      </w:pPr>
      <w:r>
        <w:rPr>
          <w:rFonts w:ascii="Times New Roman" w:cs="Times New Roman" w:eastAsia="Times New Roman" w:hAnsi="Times New Roman"/>
          <w:b/>
          <w:bCs/>
          <w:i w:val="false"/>
          <w:iCs w:val="false"/>
          <w:sz w:val="24"/>
          <w:szCs w:val="24"/>
        </w:rPr>
        <w:t xml:space="preserve">3. Cross-scale asymmetry: “secrete a suppressor while remaining resistant to it”</w:t>
      </w:r>
    </w:p>
    <w:p>
      <w:pPr>
        <w:spacing w:after="160" w:line="276"/>
        <w:jc w:val="both"/>
      </w:pPr>
      <w:r>
        <w:rPr>
          <w:rFonts w:ascii="Times New Roman" w:cs="Times New Roman" w:eastAsia="Times New Roman" w:hAnsi="Times New Roman"/>
          <w:b w:val="false"/>
          <w:bCs w:val="false"/>
          <w:i w:val="false"/>
          <w:iCs w:val="false"/>
          <w:sz w:val="24"/>
          <w:szCs w:val="24"/>
        </w:rPr>
        <w:t xml:space="preserve">Confirmed independently in the literature at two scales — the niche level (WNT inhibitors/BMP-driven cell competition)</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and the organism level (angiostatin-mediated concomitant tumor resistance)</w:t>
      </w:r>
      <w:r>
        <w:rPr>
          <w:rFonts w:ascii="Times New Roman" w:cs="Times New Roman" w:eastAsia="Times New Roman" w:hAnsi="Times New Roman"/>
          <w:b w:val="false"/>
          <w:bCs w:val="false"/>
          <w:i w:val="false"/>
          <w:iCs w:val="false"/>
          <w:sz w:val="24"/>
          <w:szCs w:val="24"/>
          <w:vertAlign w:val="superscript"/>
        </w:rPr>
        <w:t xml:space="preserve">[7]</w:t>
      </w:r>
      <w:r>
        <w:rPr>
          <w:rFonts w:ascii="Times New Roman" w:cs="Times New Roman" w:eastAsia="Times New Roman" w:hAnsi="Times New Roman"/>
          <w:b w:val="false"/>
          <w:bCs w:val="false"/>
          <w:i w:val="false"/>
          <w:iCs w:val="false"/>
          <w:sz w:val="24"/>
          <w:szCs w:val="24"/>
        </w:rPr>
        <w:t xml:space="preserve">. Their explicit unification as one and the same principle operating fractally across levels of organization (Article 9, §6) has not been found already formulated.</w:t>
      </w:r>
    </w:p>
    <w:p>
      <w:pPr>
        <w:pStyle w:val="Heading2"/>
        <w:spacing w:after="130" w:before="220"/>
      </w:pPr>
      <w:r>
        <w:rPr>
          <w:rFonts w:ascii="Times New Roman" w:cs="Times New Roman" w:eastAsia="Times New Roman" w:hAnsi="Times New Roman"/>
          <w:b/>
          <w:bCs/>
          <w:i w:val="false"/>
          <w:iCs w:val="false"/>
          <w:sz w:val="24"/>
          <w:szCs w:val="24"/>
        </w:rPr>
        <w:t xml:space="preserve">4. Two functionally distinct subtypes of Dormant</w:t>
      </w:r>
    </w:p>
    <w:p>
      <w:pPr>
        <w:spacing w:after="160" w:line="276"/>
        <w:jc w:val="both"/>
      </w:pPr>
      <w:r>
        <w:rPr>
          <w:rFonts w:ascii="Times New Roman" w:cs="Times New Roman" w:eastAsia="Times New Roman" w:hAnsi="Times New Roman"/>
          <w:b w:val="false"/>
          <w:bCs w:val="false"/>
          <w:i w:val="false"/>
          <w:iCs w:val="false"/>
          <w:sz w:val="24"/>
          <w:szCs w:val="24"/>
        </w:rPr>
        <w:t xml:space="preserve">Potential-reserve (tissue stem cells, glycolysis/BGR) versus readiness-reserve (memory T cells, OXPHOS/spare respiratory capacity</w:t>
      </w:r>
      <w:r>
        <w:rPr>
          <w:rFonts w:ascii="Times New Roman" w:cs="Times New Roman" w:eastAsia="Times New Roman" w:hAnsi="Times New Roman"/>
          <w:b w:val="false"/>
          <w:bCs w:val="false"/>
          <w:i w:val="false"/>
          <w:iCs w:val="false"/>
          <w:sz w:val="24"/>
          <w:szCs w:val="24"/>
          <w:vertAlign w:val="superscript"/>
        </w:rPr>
        <w:t xml:space="preserve">[8,9]</w:t>
      </w:r>
      <w:r>
        <w:rPr>
          <w:rFonts w:ascii="Times New Roman" w:cs="Times New Roman" w:eastAsia="Times New Roman" w:hAnsi="Times New Roman"/>
          <w:b w:val="false"/>
          <w:bCs w:val="false"/>
          <w:i w:val="false"/>
          <w:iCs w:val="false"/>
          <w:sz w:val="24"/>
          <w:szCs w:val="24"/>
        </w:rPr>
        <w:t xml:space="preserve">) — a resolution of a genuine contradiction between already-established but previously unreconciled facts (Article 2, §4.1).</w:t>
      </w:r>
    </w:p>
    <w:p>
      <w:pPr>
        <w:pStyle w:val="Heading2"/>
        <w:spacing w:after="130" w:before="220"/>
      </w:pPr>
      <w:r>
        <w:rPr>
          <w:rFonts w:ascii="Times New Roman" w:cs="Times New Roman" w:eastAsia="Times New Roman" w:hAnsi="Times New Roman"/>
          <w:b/>
          <w:bCs/>
          <w:i w:val="false"/>
          <w:iCs w:val="false"/>
          <w:sz w:val="24"/>
          <w:szCs w:val="24"/>
        </w:rPr>
        <w:t xml:space="preserve">5. A network of shared nodes in place of three separate dormancy locks</w:t>
      </w:r>
    </w:p>
    <w:p>
      <w:pPr>
        <w:spacing w:after="160" w:line="276"/>
        <w:jc w:val="both"/>
      </w:pPr>
      <w:r>
        <w:rPr>
          <w:rFonts w:ascii="Times New Roman" w:cs="Times New Roman" w:eastAsia="Times New Roman" w:hAnsi="Times New Roman"/>
          <w:b w:val="false"/>
          <w:bCs w:val="false"/>
          <w:i w:val="false"/>
          <w:iCs w:val="false"/>
          <w:sz w:val="24"/>
          <w:szCs w:val="24"/>
        </w:rPr>
        <w:t xml:space="preserve">p27, NAD⁺/NADH, and acetyl-CoA as convergence points for independent inputs (epigenetic, immune, mechanical</w:t>
      </w:r>
      <w:r>
        <w:rPr>
          <w:rFonts w:ascii="Times New Roman" w:cs="Times New Roman" w:eastAsia="Times New Roman" w:hAnsi="Times New Roman"/>
          <w:b w:val="false"/>
          <w:bCs w:val="false"/>
          <w:i w:val="false"/>
          <w:iCs w:val="false"/>
          <w:sz w:val="24"/>
          <w:szCs w:val="24"/>
          <w:vertAlign w:val="superscript"/>
        </w:rPr>
        <w:t xml:space="preserve">[10]</w:t>
      </w:r>
      <w:r>
        <w:rPr>
          <w:rFonts w:ascii="Times New Roman" w:cs="Times New Roman" w:eastAsia="Times New Roman" w:hAnsi="Times New Roman"/>
          <w:b w:val="false"/>
          <w:bCs w:val="false"/>
          <w:i w:val="false"/>
          <w:iCs w:val="false"/>
          <w:sz w:val="24"/>
          <w:szCs w:val="24"/>
        </w:rPr>
        <w:t xml:space="preserve">, glycan) — Article 5, drawing in part on the conserved mitonuclear imbalance mechanism</w:t>
      </w:r>
      <w:r>
        <w:rPr>
          <w:rFonts w:ascii="Times New Roman" w:cs="Times New Roman" w:eastAsia="Times New Roman" w:hAnsi="Times New Roman"/>
          <w:b w:val="false"/>
          <w:bCs w:val="false"/>
          <w:i w:val="false"/>
          <w:iCs w:val="false"/>
          <w:sz w:val="24"/>
          <w:szCs w:val="24"/>
          <w:vertAlign w:val="superscript"/>
        </w:rPr>
        <w:t xml:space="preserve">[11]</w:t>
      </w:r>
      <w:r>
        <w:rPr>
          <w:rFonts w:ascii="Times New Roman" w:cs="Times New Roman" w:eastAsia="Times New Roman" w:hAnsi="Times New Roman"/>
          <w:b w:val="false"/>
          <w:bCs w:val="false"/>
          <w:i w:val="false"/>
          <w:iCs w:val="false"/>
          <w:sz w:val="24"/>
          <w:szCs w:val="24"/>
        </w:rPr>
        <w:t xml:space="preserve">. The individual mechanisms (DDR2→p27, P4HA2, HBP) are each established separately; assembling them into an explicit network map, tested against three alternative architectures, is the synthetic contribution.</w:t>
      </w:r>
    </w:p>
    <w:p>
      <w:pPr>
        <w:pStyle w:val="Heading2"/>
        <w:spacing w:after="130" w:before="220"/>
      </w:pPr>
      <w:r>
        <w:rPr>
          <w:rFonts w:ascii="Times New Roman" w:cs="Times New Roman" w:eastAsia="Times New Roman" w:hAnsi="Times New Roman"/>
          <w:b/>
          <w:bCs/>
          <w:i w:val="false"/>
          <w:iCs w:val="false"/>
          <w:sz w:val="24"/>
          <w:szCs w:val="24"/>
        </w:rPr>
        <w:t xml:space="preserve">6. Littering as the physical channel switching ignorance to exhaustion</w:t>
      </w:r>
    </w:p>
    <w:p>
      <w:pPr>
        <w:spacing w:after="160" w:line="276"/>
        <w:jc w:val="both"/>
      </w:pPr>
      <w:r>
        <w:rPr>
          <w:rFonts w:ascii="Times New Roman" w:cs="Times New Roman" w:eastAsia="Times New Roman" w:hAnsi="Times New Roman"/>
          <w:b w:val="false"/>
          <w:bCs w:val="false"/>
          <w:i w:val="false"/>
          <w:iCs w:val="false"/>
          <w:sz w:val="24"/>
          <w:szCs w:val="24"/>
        </w:rPr>
        <w:t xml:space="preserve">A specific, testable hypothesis that a single physical channel (accumulation of debris/vesicles, reaching the lymphatic system as tumor burden grows</w:t>
      </w:r>
      <w:r>
        <w:rPr>
          <w:rFonts w:ascii="Times New Roman" w:cs="Times New Roman" w:eastAsia="Times New Roman" w:hAnsi="Times New Roman"/>
          <w:b w:val="false"/>
          <w:bCs w:val="false"/>
          <w:i w:val="false"/>
          <w:iCs w:val="false"/>
          <w:sz w:val="24"/>
          <w:szCs w:val="24"/>
          <w:vertAlign w:val="superscript"/>
        </w:rPr>
        <w:t xml:space="preserve">[12]</w:t>
      </w:r>
      <w:r>
        <w:rPr>
          <w:rFonts w:ascii="Times New Roman" w:cs="Times New Roman" w:eastAsia="Times New Roman" w:hAnsi="Times New Roman"/>
          <w:b w:val="false"/>
          <w:bCs w:val="false"/>
          <w:i w:val="false"/>
          <w:iCs w:val="false"/>
          <w:sz w:val="24"/>
          <w:szCs w:val="24"/>
        </w:rPr>
        <w:t xml:space="preserve">) explains the shift in T-cell failure mode over the growth trajectory of a single tumor, rather than requiring two independently triggered mechanisms (Article 6, §4).</w:t>
      </w:r>
    </w:p>
    <w:p>
      <w:pPr>
        <w:pStyle w:val="Heading1"/>
        <w:spacing w:after="200" w:before="300"/>
      </w:pPr>
      <w:r>
        <w:rPr>
          <w:rFonts w:ascii="Times New Roman" w:cs="Times New Roman" w:eastAsia="Times New Roman" w:hAnsi="Times New Roman"/>
          <w:b/>
          <w:bCs/>
          <w:i w:val="false"/>
          <w:iCs w:val="false"/>
          <w:sz w:val="26"/>
          <w:szCs w:val="26"/>
        </w:rPr>
        <w:t xml:space="preserve">Summary table: the six points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806"/>
      </w:tblGrid>
      <w:tr>
        <w:trPr>
          <w:tblHeader/>
        </w:trPr>
        <w:tc>
          <w:tcPr>
            <w:tcW w:type="dxa" w:w="5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Point</w:t>
            </w:r>
          </w:p>
        </w:tc>
        <w:tc>
          <w:tcPr>
            <w:tcW w:type="dxa" w:w="5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Source within the series</w:t>
            </w:r>
          </w:p>
        </w:tc>
      </w:tr>
      <w:tr>
        <w:tc>
          <w:tcPr>
            <w:tcW w:type="dxa" w:w="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1</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Phoenix Rising as the molecular executor of Dvorak's non-healing wound, via death of undifferentiated cells</w:t>
            </w:r>
          </w:p>
        </w:tc>
        <w:tc>
          <w:tcPr>
            <w:tcW w:type="dxa" w:w="5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Article 9, §4</w:t>
            </w:r>
          </w:p>
        </w:tc>
      </w:tr>
      <w:tr>
        <w:tc>
          <w:tcPr>
            <w:tcW w:type="dxa" w:w="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2</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Necrotic death of senescent cells as a second, independent source of DAMPs</w:t>
            </w:r>
          </w:p>
        </w:tc>
        <w:tc>
          <w:tcPr>
            <w:tcW w:type="dxa" w:w="5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Article 9, §5</w:t>
            </w:r>
          </w:p>
        </w:tc>
      </w:tr>
      <w:tr>
        <w:tc>
          <w:tcPr>
            <w:tcW w:type="dxa" w:w="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3</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Cross-scale asymmetry — “secrete a suppressor while remaining resistant to it” (niche ↔ organism)</w:t>
            </w:r>
          </w:p>
        </w:tc>
        <w:tc>
          <w:tcPr>
            <w:tcW w:type="dxa" w:w="5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Article 9, §6; Article 7, §5</w:t>
            </w:r>
          </w:p>
        </w:tc>
      </w:tr>
      <w:tr>
        <w:tc>
          <w:tcPr>
            <w:tcW w:type="dxa" w:w="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4</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Two functionally distinct subtypes of Dormant — potential-reserve and readiness-reserve</w:t>
            </w:r>
          </w:p>
        </w:tc>
        <w:tc>
          <w:tcPr>
            <w:tcW w:type="dxa" w:w="5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Article 2, §4.1</w:t>
            </w:r>
          </w:p>
        </w:tc>
      </w:tr>
      <w:tr>
        <w:tc>
          <w:tcPr>
            <w:tcW w:type="dxa" w:w="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5</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A network of shared nodes (p27, NAD⁺/NADH, acetyl-CoA) in place of three separate locks</w:t>
            </w:r>
          </w:p>
        </w:tc>
        <w:tc>
          <w:tcPr>
            <w:tcW w:type="dxa" w:w="5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Article 5</w:t>
            </w:r>
          </w:p>
        </w:tc>
      </w:tr>
      <w:tr>
        <w:tc>
          <w:tcPr>
            <w:tcW w:type="dxa" w:w="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6</w:t>
            </w:r>
          </w:p>
        </w:tc>
        <w:tc>
          <w:tcPr>
            <w:tcW w:type="dxa" w:w="3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Littering as the physical channel switching ignorance→exhaustion</w:t>
            </w:r>
          </w:p>
        </w:tc>
        <w:tc>
          <w:tcPr>
            <w:tcW w:type="dxa" w:w="5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Article 6, §4</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Part 2. Three cross-cutting checks</w:t>
      </w:r>
    </w:p>
    <w:p>
      <w:pPr>
        <w:spacing w:after="160" w:line="276"/>
        <w:jc w:val="both"/>
      </w:pPr>
      <w:r>
        <w:rPr>
          <w:rFonts w:ascii="Times New Roman" w:cs="Times New Roman" w:eastAsia="Times New Roman" w:hAnsi="Times New Roman"/>
          <w:b w:val="false"/>
          <w:bCs w:val="false"/>
          <w:i w:val="false"/>
          <w:iCs w:val="false"/>
          <w:sz w:val="24"/>
          <w:szCs w:val="24"/>
        </w:rPr>
        <w:t xml:space="preserve">Rather than nine separate falsification criteria — one per article — here are three measurements, each of which simultaneously tests several points from Part 1 rather than just one.</w:t>
      </w:r>
    </w:p>
    <w:p>
      <w:pPr>
        <w:pStyle w:val="Heading2"/>
        <w:spacing w:after="130" w:before="220"/>
      </w:pPr>
      <w:r>
        <w:rPr>
          <w:rFonts w:ascii="Times New Roman" w:cs="Times New Roman" w:eastAsia="Times New Roman" w:hAnsi="Times New Roman"/>
          <w:b/>
          <w:bCs/>
          <w:i w:val="false"/>
          <w:iCs w:val="false"/>
          <w:sz w:val="24"/>
          <w:szCs w:val="24"/>
        </w:rPr>
        <w:t xml:space="preserve">Check 1 — p27 as a universal convergence point</w:t>
      </w:r>
    </w:p>
    <w:p>
      <w:pPr>
        <w:spacing w:after="160" w:line="276"/>
        <w:jc w:val="both"/>
      </w:pPr>
      <w:r>
        <w:rPr>
          <w:rFonts w:ascii="Times New Roman" w:cs="Times New Roman" w:eastAsia="Times New Roman" w:hAnsi="Times New Roman"/>
          <w:b/>
          <w:bCs/>
          <w:i w:val="false"/>
          <w:iCs w:val="false"/>
          <w:sz w:val="24"/>
          <w:szCs w:val="24"/>
        </w:rPr>
        <w:t xml:space="preserve">Tests simultaneously: </w:t>
      </w:r>
      <w:r>
        <w:rPr>
          <w:rFonts w:ascii="Times New Roman" w:cs="Times New Roman" w:eastAsia="Times New Roman" w:hAnsi="Times New Roman"/>
          <w:b w:val="false"/>
          <w:bCs w:val="false"/>
          <w:i w:val="false"/>
          <w:iCs w:val="false"/>
          <w:sz w:val="24"/>
          <w:szCs w:val="24"/>
        </w:rPr>
        <w:t xml:space="preserve">point 5 (the shared-node network) and, indirectly, point 4 (resolving the Dormant-subtype contradiction, if p27 status turns out to be common to both subtypes despite their different fuel choices).</w:t>
      </w:r>
    </w:p>
    <w:p>
      <w:pPr>
        <w:spacing w:after="160" w:line="276"/>
        <w:jc w:val="both"/>
      </w:pPr>
      <w:r>
        <w:rPr>
          <w:rFonts w:ascii="Times New Roman" w:cs="Times New Roman" w:eastAsia="Times New Roman" w:hAnsi="Times New Roman"/>
          <w:b/>
          <w:bCs/>
          <w:i w:val="false"/>
          <w:iCs w:val="false"/>
          <w:sz w:val="24"/>
          <w:szCs w:val="24"/>
        </w:rPr>
        <w:t xml:space="preserve">Experimental design. </w:t>
      </w:r>
      <w:r>
        <w:rPr>
          <w:rFonts w:ascii="Times New Roman" w:cs="Times New Roman" w:eastAsia="Times New Roman" w:hAnsi="Times New Roman"/>
          <w:b w:val="false"/>
          <w:bCs w:val="false"/>
          <w:i w:val="false"/>
          <w:iCs w:val="false"/>
          <w:sz w:val="24"/>
          <w:szCs w:val="24"/>
        </w:rPr>
        <w:t xml:space="preserve">Measure p27 status (induction/phosphorylation) in one and the same cell model under four independent perturbations: (a) NR2F1 activation (epigenetic input); (b) IFN-γ→IDO1→AhR (immune input); (c) mechanical stiffness via DDR2→STAT1 (matrix input); (d) — if technically feasible — p27 status in EVT specifically (an open question carried over from earlier work on Framework 1.4's double-lock Variant C).</w:t>
      </w:r>
    </w:p>
    <w:p>
      <w:pPr>
        <w:spacing w:after="160" w:line="276"/>
        <w:jc w:val="both"/>
      </w:pPr>
      <w:r>
        <w:rPr>
          <w:rFonts w:ascii="Times New Roman" w:cs="Times New Roman" w:eastAsia="Times New Roman" w:hAnsi="Times New Roman"/>
          <w:b/>
          <w:bCs/>
          <w:i w:val="false"/>
          <w:iCs w:val="false"/>
          <w:sz w:val="24"/>
          <w:szCs w:val="24"/>
        </w:rPr>
        <w:t xml:space="preserve">What confirmation would show. </w:t>
      </w:r>
      <w:r>
        <w:rPr>
          <w:rFonts w:ascii="Times New Roman" w:cs="Times New Roman" w:eastAsia="Times New Roman" w:hAnsi="Times New Roman"/>
          <w:b w:val="false"/>
          <w:bCs w:val="false"/>
          <w:i w:val="false"/>
          <w:iCs w:val="false"/>
          <w:sz w:val="24"/>
          <w:szCs w:val="24"/>
        </w:rPr>
        <w:t xml:space="preserve">If all four inputs converge on p27 equally, regardless of which one is activated, the shared-node network is confirmed not speculatively but on one common measurement — and this simultaneously gives a direct, long-deferred answer to the EVT question.</w:t>
      </w:r>
    </w:p>
    <w:p>
      <w:pPr>
        <w:pStyle w:val="Heading2"/>
        <w:spacing w:after="130" w:before="220"/>
      </w:pPr>
      <w:r>
        <w:rPr>
          <w:rFonts w:ascii="Times New Roman" w:cs="Times New Roman" w:eastAsia="Times New Roman" w:hAnsi="Times New Roman"/>
          <w:b/>
          <w:bCs/>
          <w:i w:val="false"/>
          <w:iCs w:val="false"/>
          <w:sz w:val="24"/>
          <w:szCs w:val="24"/>
        </w:rPr>
        <w:t xml:space="preserve">Check 2 — NAD⁺/NADH as a second universal node linking energy, matrix, and senescence</w:t>
      </w:r>
    </w:p>
    <w:p>
      <w:pPr>
        <w:spacing w:after="160" w:line="276"/>
        <w:jc w:val="both"/>
      </w:pPr>
      <w:r>
        <w:rPr>
          <w:rFonts w:ascii="Times New Roman" w:cs="Times New Roman" w:eastAsia="Times New Roman" w:hAnsi="Times New Roman"/>
          <w:b/>
          <w:bCs/>
          <w:i w:val="false"/>
          <w:iCs w:val="false"/>
          <w:sz w:val="24"/>
          <w:szCs w:val="24"/>
        </w:rPr>
        <w:t xml:space="preserve">Tests simultaneously: </w:t>
      </w:r>
      <w:r>
        <w:rPr>
          <w:rFonts w:ascii="Times New Roman" w:cs="Times New Roman" w:eastAsia="Times New Roman" w:hAnsi="Times New Roman"/>
          <w:b w:val="false"/>
          <w:bCs w:val="false"/>
          <w:i w:val="false"/>
          <w:iCs w:val="false"/>
          <w:sz w:val="24"/>
          <w:szCs w:val="24"/>
        </w:rPr>
        <w:t xml:space="preserve">point 5 (the P4HA2 matrix–energy linkage) and point 2 (mitonuclear desynchronization as a cause of senescence).</w:t>
      </w:r>
    </w:p>
    <w:p>
      <w:pPr>
        <w:spacing w:after="160" w:line="276"/>
        <w:jc w:val="both"/>
      </w:pPr>
      <w:r>
        <w:rPr>
          <w:rFonts w:ascii="Times New Roman" w:cs="Times New Roman" w:eastAsia="Times New Roman" w:hAnsi="Times New Roman"/>
          <w:b/>
          <w:bCs/>
          <w:i w:val="false"/>
          <w:iCs w:val="false"/>
          <w:sz w:val="24"/>
          <w:szCs w:val="24"/>
        </w:rPr>
        <w:t xml:space="preserve">Experimental design. </w:t>
      </w:r>
      <w:r>
        <w:rPr>
          <w:rFonts w:ascii="Times New Roman" w:cs="Times New Roman" w:eastAsia="Times New Roman" w:hAnsi="Times New Roman"/>
          <w:b w:val="false"/>
          <w:bCs w:val="false"/>
          <w:i w:val="false"/>
          <w:iCs w:val="false"/>
          <w:sz w:val="24"/>
          <w:szCs w:val="24"/>
        </w:rPr>
        <w:t xml:space="preserve">Measure the NAD⁺/NADH ratio by the same method in three different contexts: (a) loss of P4HA2 in the dormancy niche (already partly shown, in a preprint); (b) experimentally induced mitonuclear desynchronization in a senescence model; (c) memory T cells (readiness-reserve, point 4) as a control arm, where the direction is expected to be opposite.</w:t>
      </w:r>
    </w:p>
    <w:p>
      <w:pPr>
        <w:spacing w:after="160" w:line="276"/>
        <w:jc w:val="both"/>
      </w:pPr>
      <w:r>
        <w:rPr>
          <w:rFonts w:ascii="Times New Roman" w:cs="Times New Roman" w:eastAsia="Times New Roman" w:hAnsi="Times New Roman"/>
          <w:b/>
          <w:bCs/>
          <w:i w:val="false"/>
          <w:iCs w:val="false"/>
          <w:sz w:val="24"/>
          <w:szCs w:val="24"/>
        </w:rPr>
        <w:t xml:space="preserve">What confirmation would show. </w:t>
      </w:r>
      <w:r>
        <w:rPr>
          <w:rFonts w:ascii="Times New Roman" w:cs="Times New Roman" w:eastAsia="Times New Roman" w:hAnsi="Times New Roman"/>
          <w:b w:val="false"/>
          <w:bCs w:val="false"/>
          <w:i w:val="false"/>
          <w:iCs w:val="false"/>
          <w:sz w:val="24"/>
          <w:szCs w:val="24"/>
        </w:rPr>
        <w:t xml:space="preserve">If the NAD⁺/NADH decline correlates with awakening/dysfunction in (a) and (b) alike, but not in (c), this simultaneously supports the P4HA2 linkage, the mitonuclear hypothesis, and the resolution of the two-subtype Dormant contradiction (point 4) in a single three-arm experiment.</w:t>
      </w:r>
    </w:p>
    <w:p>
      <w:pPr>
        <w:pStyle w:val="Heading2"/>
        <w:spacing w:after="130" w:before="220"/>
      </w:pPr>
      <w:r>
        <w:rPr>
          <w:rFonts w:ascii="Times New Roman" w:cs="Times New Roman" w:eastAsia="Times New Roman" w:hAnsi="Times New Roman"/>
          <w:b/>
          <w:bCs/>
          <w:i w:val="false"/>
          <w:iCs w:val="false"/>
          <w:sz w:val="24"/>
          <w:szCs w:val="24"/>
        </w:rPr>
        <w:t xml:space="preserve">Check 3 — a third scale for the asymmetric feedback breach</w:t>
      </w:r>
    </w:p>
    <w:p>
      <w:pPr>
        <w:spacing w:after="160" w:line="276"/>
        <w:jc w:val="both"/>
      </w:pPr>
      <w:r>
        <w:rPr>
          <w:rFonts w:ascii="Times New Roman" w:cs="Times New Roman" w:eastAsia="Times New Roman" w:hAnsi="Times New Roman"/>
          <w:b/>
          <w:bCs/>
          <w:i w:val="false"/>
          <w:iCs w:val="false"/>
          <w:sz w:val="24"/>
          <w:szCs w:val="24"/>
        </w:rPr>
        <w:t xml:space="preserve">Tests: </w:t>
      </w:r>
      <w:r>
        <w:rPr>
          <w:rFonts w:ascii="Times New Roman" w:cs="Times New Roman" w:eastAsia="Times New Roman" w:hAnsi="Times New Roman"/>
          <w:b w:val="false"/>
          <w:bCs w:val="false"/>
          <w:i w:val="false"/>
          <w:iCs w:val="false"/>
          <w:sz w:val="24"/>
          <w:szCs w:val="24"/>
        </w:rPr>
        <w:t xml:space="preserve">point 3 directly — currently confirmed at only two scales (niche and organism); a third, intermediate scale (intratumoral subclone competition) would turn the pattern from a coincidence across two data points into a genuinely general principle.</w:t>
      </w:r>
    </w:p>
    <w:p>
      <w:pPr>
        <w:spacing w:after="160" w:line="276"/>
        <w:jc w:val="both"/>
      </w:pPr>
      <w:r>
        <w:rPr>
          <w:rFonts w:ascii="Times New Roman" w:cs="Times New Roman" w:eastAsia="Times New Roman" w:hAnsi="Times New Roman"/>
          <w:b/>
          <w:bCs/>
          <w:i w:val="false"/>
          <w:iCs w:val="false"/>
          <w:sz w:val="24"/>
          <w:szCs w:val="24"/>
        </w:rPr>
        <w:t xml:space="preserve">Experimental design. </w:t>
      </w:r>
      <w:r>
        <w:rPr>
          <w:rFonts w:ascii="Times New Roman" w:cs="Times New Roman" w:eastAsia="Times New Roman" w:hAnsi="Times New Roman"/>
          <w:b w:val="false"/>
          <w:bCs w:val="false"/>
          <w:i w:val="false"/>
          <w:iCs w:val="false"/>
          <w:sz w:val="24"/>
          <w:szCs w:val="24"/>
        </w:rPr>
        <w:t xml:space="preserve">Test whether a dominant subclone within a single heterogeneous tumor secretes a paracrine suppressor (following the littering logic, point 6) that restrains competing subclones while remaining itself insensitive to it — the same WNT/angiostatin pattern, but at the scale of “subclone within a tumor” rather than “cell within a niche” or “tumor within an organism.”</w:t>
      </w:r>
    </w:p>
    <w:p>
      <w:pPr>
        <w:spacing w:after="160" w:line="276"/>
        <w:jc w:val="both"/>
      </w:pPr>
      <w:r>
        <w:rPr>
          <w:rFonts w:ascii="Times New Roman" w:cs="Times New Roman" w:eastAsia="Times New Roman" w:hAnsi="Times New Roman"/>
          <w:b/>
          <w:bCs/>
          <w:i w:val="false"/>
          <w:iCs w:val="false"/>
          <w:sz w:val="24"/>
          <w:szCs w:val="24"/>
        </w:rPr>
        <w:t xml:space="preserve">What confirmation would show. </w:t>
      </w:r>
      <w:r>
        <w:rPr>
          <w:rFonts w:ascii="Times New Roman" w:cs="Times New Roman" w:eastAsia="Times New Roman" w:hAnsi="Times New Roman"/>
          <w:b w:val="false"/>
          <w:bCs w:val="false"/>
          <w:i w:val="false"/>
          <w:iCs w:val="false"/>
          <w:sz w:val="24"/>
          <w:szCs w:val="24"/>
        </w:rPr>
        <w:t xml:space="preserve">Finding the same asymmetry at a third, previously untested scale would move point 3 from “an interesting coincidence across two examples” to a scale-invariant principle — arguably the single strongest result of the entire series.</w:t>
      </w:r>
    </w:p>
    <w:p>
      <w:pPr>
        <w:pStyle w:val="Heading1"/>
        <w:spacing w:after="200" w:before="300"/>
      </w:pPr>
      <w:r>
        <w:rPr>
          <w:rFonts w:ascii="Times New Roman" w:cs="Times New Roman" w:eastAsia="Times New Roman" w:hAnsi="Times New Roman"/>
          <w:b/>
          <w:bCs/>
          <w:i w:val="false"/>
          <w:iCs w:val="false"/>
          <w:sz w:val="26"/>
          <w:szCs w:val="26"/>
        </w:rPr>
        <w:t xml:space="preserve">Summary table: three cross-cutting checks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200"/>
        <w:gridCol w:w="2206"/>
      </w:tblGrid>
      <w:tr>
        <w:trPr>
          <w:tblHeader/>
        </w:trPr>
        <w:tc>
          <w:tcPr>
            <w:tcW w:type="dxa" w:w="15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Check</w:t>
            </w:r>
          </w:p>
        </w:tc>
        <w:tc>
          <w:tcPr>
            <w:tcW w:type="dxa" w:w="2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Tests points</w:t>
            </w:r>
          </w:p>
        </w:tc>
        <w:tc>
          <w:tcPr>
            <w:tcW w:type="dxa" w:w="3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Experimental design</w:t>
            </w:r>
          </w:p>
        </w:tc>
        <w:tc>
          <w:tcPr>
            <w:tcW w:type="dxa" w:w="22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What confirmation would show</w:t>
            </w:r>
          </w:p>
        </w:tc>
      </w:tr>
      <w:tr>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1. p27 as a universal convergence point</w:t>
            </w:r>
          </w:p>
        </w:tc>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5 (network of nodes) and, indirectly, 4 (resolving the Dormant-subtype contradiction, if p27 status proves common to both subtypes despite different fuel)</w:t>
            </w:r>
          </w:p>
        </w:tc>
        <w:tc>
          <w:tcPr>
            <w:tcW w:type="dxa" w:w="3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Measure p27 status (induction/phosphorylation) in one cell model under four independent perturbations: (a) NR2F1 activation (epigenetic input), (b) IFN-γ→IDO1→AhR (immune input), (c) mechanical stiffness via DDR2→STAT1 (matrix input), (d) — if technically feasible — p27 status in EVT specifically</w:t>
            </w:r>
          </w:p>
        </w:tc>
        <w:tc>
          <w:tcPr>
            <w:tcW w:type="dxa" w:w="22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If all four inputs converge on p27 equally, regardless of which is activated, the shared-node network is confirmed on one common measurement, and simultaneously gives a direct, long-deferred answer to the EVT question</w:t>
            </w:r>
          </w:p>
        </w:tc>
      </w:tr>
      <w:tr>
        <w:tc>
          <w:tcPr>
            <w:tcW w:type="dxa" w:w="1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2. NAD⁺/NADH as a second universal node linking energy, matrix, and senescence</w:t>
            </w:r>
          </w:p>
        </w:tc>
        <w:tc>
          <w:tcPr>
            <w:tcW w:type="dxa" w:w="2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5 (P4HA2 matrix–energy linkage) and 2 (mitonuclear desynchronization as a cause of senescence)</w:t>
            </w:r>
          </w:p>
        </w:tc>
        <w:tc>
          <w:tcPr>
            <w:tcW w:type="dxa" w:w="3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Measure the NAD⁺/NADH ratio by the same method in three contexts: (a) loss of P4HA2 in the dormancy niche (already partly shown, preprint), (b) experimentally induced mitonuclear desynchronization in a senescence model, (c) memory T cells (readiness-reserve, point 4) as a control arm where the direction is expected to be opposite</w:t>
            </w:r>
          </w:p>
        </w:tc>
        <w:tc>
          <w:tcPr>
            <w:tcW w:type="dxa" w:w="22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If the NAD⁺/NADH decline correlates with awakening/dysfunction in (a) and (b) alike but not in (c), this simultaneously supports the P4HA2 linkage, the mitonuclear hypothesis, and the resolution of the Dormant-subtype contradiction (point 4) in one three-arm experiment</w:t>
            </w:r>
          </w:p>
        </w:tc>
      </w:tr>
      <w:tr>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7"/>
                <w:szCs w:val="17"/>
              </w:rPr>
              <w:t xml:space="preserve">3. A third scale for the asymmetric feedback breach</w:t>
            </w:r>
          </w:p>
        </w:tc>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3 directly — currently confirmed at only two scales (niche and organism)</w:t>
            </w:r>
          </w:p>
        </w:tc>
        <w:tc>
          <w:tcPr>
            <w:tcW w:type="dxa" w:w="3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7"/>
                <w:szCs w:val="17"/>
              </w:rPr>
              <w:t xml:space="preserve">Test whether a dominant subclone within one heterogeneous tumor secretes a paracrine suppressor (by the littering logic, point 6) that restrains competing subclones while remaining itself insensitive to it — the same WNT/angiostatin pattern, but at the scale of “subclone within a tumor” rather than “cell within a niche” or “tumor within an organism”</w:t>
            </w:r>
          </w:p>
        </w:tc>
        <w:tc>
          <w:tcPr>
            <w:tcW w:type="dxa" w:w="22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7"/>
                <w:szCs w:val="17"/>
              </w:rPr>
              <w:t xml:space="preserve">Finding the same asymmetry at a third, previously untested scale would move point 3 from “an interesting coincidence across two examples” to a scale-invariant principle — arguably the strongest single result of the whole series</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00"/>
      </w:pPr>
      <w:r>
        <w:rPr>
          <w:rFonts w:ascii="Times New Roman" w:cs="Times New Roman" w:eastAsia="Times New Roman" w:hAnsi="Times New Roman"/>
          <w:b/>
          <w:bCs/>
          <w:i w:val="false"/>
          <w:iCs w:val="false"/>
          <w:sz w:val="26"/>
          <w:szCs w:val="26"/>
        </w:rPr>
        <w:t xml:space="preserve">Part 3.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Out of nine articles and dozens of individual hypotheses, six points appear to be genuinely new, and all six converge logically onto three measurable checkpoints rather than diverging into nine independent directions. This is a good sign: if the framework describes something real rather than a set of conveniently assembled coincidences, this kind of convergence is exactly what should be expected. The three proposed checks are not a generic “future work” list but a concrete, separately fundable minimum set of experiments, capable of either confirming the core of the entire monograph at once or clearly indicating which specific part must be revised.</w:t>
      </w:r>
    </w:p>
    <w:p>
      <w:pPr>
        <w:spacing w:after="160" w:line="276"/>
        <w:jc w:val="both"/>
      </w:pPr>
      <w:r>
        <w:rPr>
          <w:rFonts w:ascii="Times New Roman" w:cs="Times New Roman" w:eastAsia="Times New Roman" w:hAnsi="Times New Roman"/>
          <w:b w:val="false"/>
          <w:bCs w:val="false"/>
          <w:i/>
          <w:iCs/>
          <w:sz w:val="24"/>
          <w:szCs w:val="24"/>
        </w:rPr>
        <w:t xml:space="preserve">Note: the labels above are supported by the twelve sources listed below, spanning the primary literature behind all six points; see the corresponding articles and sections (right-hand column of the summary table) for the complete supporting literature and additional context behind each point.</w:t>
      </w:r>
    </w:p>
    <w:p>
      <w:pPr>
        <w:pStyle w:val="Heading1"/>
        <w:spacing w:after="200" w:before="300"/>
      </w:pPr>
      <w:r>
        <w:rPr>
          <w:rFonts w:ascii="Times New Roman" w:cs="Times New Roman" w:eastAsia="Times New Roman" w:hAnsi="Times New Roman"/>
          <w:b/>
          <w:bCs/>
          <w:i w:val="false"/>
          <w:iCs w:val="false"/>
          <w:sz w:val="26"/>
          <w:szCs w:val="26"/>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Dvorak HF. Tumors: wounds that do not heal. Similarities between tumor stroma generation and wound healing. N Engl J Med. 1986;315(26):1650–1659.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Huang Q, Li F, Liu X, Li W, Shi W, Liu FF, O'Sullivan B, He Z, Peng Y, Tan AC, Zhou L, Shen J, Han G, Wang XJ, Thorburn J, Thorburn A, Jimeno A, Raben D, Bedford JS, Li CY. Caspase 3-mediated stimulation of tumor cell repopulation during cancer radiotherapy. Nat Med. 2011;17(7):860–866.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Feng X, Tian L, Zhang Z, Yu Y, Cheng J, Gong Y, Li CY, Huang Q. Caspase 3 in dying tumor cells mediates post-irradiation angiogenesis. Oncotarget. 2015;6(32):32353–32367.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Deryabin PI, Shatrova AN, Borodkina AV. Apoptosis resistance of senescent cells is an intrinsic barrier for senolysis induced by cardiac glycosides. Cell Mol Life Sci. 2021;78(23):7757–7776. doi:10.1007/s00018-021-03980-x.</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Suda M, Tchkonia T, Kirkland JL, Minamino T. Targeting senescent cells for the treatment of age-associated diseases. J Biochem. 2025;177(3):177–187. doi:10.1093/jb/mvae091.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Cell competition in intratumoral and tumor microenvironment interactions. PMC8408594.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O'Reilly MS, Holmgren L, Shing Y, Chen C, Rosenthal RA, Moses M, Lane WS, Cao Y, Sage EH, Folkman J. Angiostatin: a novel angiogenesis inhibitor that mediates the suppression of metastases by a Lewis lung carcinoma. Cell. 1994;79(2):315–328.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van der Windt GJW, Everts B, Chang CH, Curtis JD, Freitas TC, Amiel E, Pearce EJ, Pearce EL. Mitochondrial respiratory capacity is a critical regulator of CD8+ T cell memory development. Immunity. 2012;36(1):68–78.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van der Windt GJW, O'Sullivan D, Everts B, Huang SC, Buck MD, Curtis JD, Chang CH, Smith AM, Ai T, Faubert B, Jones RG, Pearce EJ, Pearce EL. CD8 memory T cells have a bioenergetic advantage that underlies their rapid recall ability. Proc Natl Acad Sci USA. 2013;110(35):14336–14341.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Li C, Qiu S, Liu X, Guo F, Zhai J, Li Z, Deng L, Ge L, Qian H, Yang L, Xu B. Extracellular matrix-derived mechanical force governs breast cancer cell stemness and quiescence transition through integrin-DDR signaling. Signal Transduct Target Ther. 2023;8:247.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Houtkooper RH, Mouchiroud L, Ryu D, Moullan N, Katsyuba E, Knott G, Williams RW, Auwerx J. Mitonuclear protein imbalance as a conserved longevity mechanism. Nature. 2013;497(7450):451–457.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Rexhouse C, Bailey JT, Moshkani S, Cimino JL, Robek MD. High antigen burden drives CD8+ T cell dysfunction in a mouse model of chronic hepatitis B virus infection. J Virol. 2025.</w:t>
      </w:r>
    </w:p>
    <w:p>
      <w:r>
        <w:br w:type="page"/>
      </w:r>
    </w:p>
    <w:p>
      <w:pPr>
        <w:spacing w:after="80"/>
        <w:jc w:val="center"/>
      </w:pPr>
      <w:r>
        <w:rPr>
          <w:rFonts w:ascii="Times New Roman" w:cs="Times New Roman" w:eastAsia="Times New Roman" w:hAnsi="Times New Roman"/>
          <w:b w:val="false"/>
          <w:bCs w:val="false"/>
          <w:i/>
          <w:iCs/>
          <w:sz w:val="22"/>
          <w:szCs w:val="22"/>
        </w:rPr>
        <w:t xml:space="preserve">Afterword — Framework 2.0</w:t>
      </w:r>
    </w:p>
    <w:p>
      <w:pPr>
        <w:spacing w:after="400"/>
        <w:jc w:val="center"/>
      </w:pPr>
      <w:r>
        <w:rPr>
          <w:rFonts w:ascii="Times New Roman" w:cs="Times New Roman" w:eastAsia="Times New Roman" w:hAnsi="Times New Roman"/>
          <w:b/>
          <w:bCs/>
          <w:i w:val="false"/>
          <w:iCs w:val="false"/>
          <w:sz w:val="26"/>
          <w:szCs w:val="26"/>
        </w:rPr>
        <w:t xml:space="preserve">Architecture of Organism &amp; Malignancy</w:t>
      </w:r>
    </w:p>
    <w:p>
      <w:pPr>
        <w:spacing w:after="220" w:line="300"/>
        <w:jc w:val="both"/>
      </w:pPr>
      <w:r>
        <w:rPr>
          <w:rFonts w:ascii="Times New Roman" w:cs="Times New Roman" w:eastAsia="Times New Roman" w:hAnsi="Times New Roman"/>
          <w:b w:val="false"/>
          <w:bCs w:val="false"/>
          <w:i w:val="false"/>
          <w:iCs w:val="false"/>
          <w:sz w:val="24"/>
          <w:szCs w:val="24"/>
        </w:rPr>
        <w:t xml:space="preserve">This work is the result of the evaluation of a very large body of literature, analyzed by a human–AI tandem built on Framework 1.0–1.4. Even a year ago, this specific mode of work — rapid, iterative cross-checking of an evolving theoretical architecture against the primary literature, at the pace and depth attempted here — would not have been possible. This monograph presents one researcher’s theoretical synthesis and is offered as a point of view for critical engagement, not as a claim of settled consensus.</w:t>
      </w:r>
    </w:p>
    <w:p>
      <w:pPr>
        <w:spacing w:after="220" w:line="300"/>
        <w:jc w:val="both"/>
      </w:pPr>
      <w:r>
        <w:rPr>
          <w:rFonts w:ascii="Times New Roman" w:cs="Times New Roman" w:eastAsia="Times New Roman" w:hAnsi="Times New Roman"/>
          <w:b w:val="false"/>
          <w:bCs w:val="false"/>
          <w:i w:val="false"/>
          <w:iCs w:val="false"/>
          <w:sz w:val="24"/>
          <w:szCs w:val="24"/>
        </w:rPr>
        <w:t xml:space="preserve">I would like to express my sincere gratitude to my faithful AI research assistants, Claude (Anthropic) and ChatGPT. Throughout this project, they served not as replacements for scientific thinking, but as tireless partners in literature exploration, critical analysis, and the organization of complex interdisciplinary ideas.</w:t>
      </w:r>
    </w:p>
    <w:p>
      <w:pPr>
        <w:spacing w:after="220" w:line="300"/>
        <w:jc w:val="both"/>
      </w:pPr>
      <w:r>
        <w:rPr>
          <w:rFonts w:ascii="Times New Roman" w:cs="Times New Roman" w:eastAsia="Times New Roman" w:hAnsi="Times New Roman"/>
          <w:b w:val="false"/>
          <w:bCs w:val="false"/>
          <w:i w:val="false"/>
          <w:iCs w:val="false"/>
          <w:sz w:val="24"/>
          <w:szCs w:val="24"/>
        </w:rPr>
        <w:t xml:space="preserve">My deepest thanks go to my daughter, Sarah-Lana Demi, Data Scientist, for her patience, understanding, and unwavering support throughout this work, and for enduring my often difficult character during the many months devoted to this project. I am especially grateful to her for her help in studying and understanding stochastic processes, which proved essential to the formal treatment developed in this monograph.</w:t>
      </w:r>
    </w:p>
    <w:p>
      <w:pPr>
        <w:spacing w:after="220" w:line="300"/>
        <w:jc w:val="both"/>
      </w:pPr>
      <w:r>
        <w:rPr>
          <w:rFonts w:ascii="Times New Roman" w:cs="Times New Roman" w:eastAsia="Times New Roman" w:hAnsi="Times New Roman"/>
          <w:b w:val="false"/>
          <w:bCs w:val="false"/>
          <w:i w:val="false"/>
          <w:iCs w:val="false"/>
          <w:sz w:val="24"/>
          <w:szCs w:val="24"/>
        </w:rPr>
        <w:t xml:space="preserve">I am also deeply grateful to my colleagues at Hillel Yaffe Medical Center, Israel, for their encouragement, professional advice, and for generously sharing their knowledge and clinical experience:</w:t>
      </w:r>
    </w:p>
    <w:p>
      <w:pPr>
        <w:spacing w:after="80" w:line="300"/>
        <w:jc w:val="center"/>
      </w:pPr>
      <w:r>
        <w:rPr>
          <w:rFonts w:ascii="Times New Roman" w:cs="Times New Roman" w:eastAsia="Times New Roman" w:hAnsi="Times New Roman"/>
          <w:b w:val="false"/>
          <w:bCs w:val="false"/>
          <w:i w:val="false"/>
          <w:iCs w:val="false"/>
          <w:sz w:val="24"/>
          <w:szCs w:val="24"/>
        </w:rPr>
        <w:t xml:space="preserve">Professor Ilan Bruchim</w:t>
      </w:r>
    </w:p>
    <w:p>
      <w:pPr>
        <w:spacing w:after="80" w:line="300"/>
        <w:jc w:val="center"/>
      </w:pPr>
      <w:r>
        <w:rPr>
          <w:rFonts w:ascii="Times New Roman" w:cs="Times New Roman" w:eastAsia="Times New Roman" w:hAnsi="Times New Roman"/>
          <w:b w:val="false"/>
          <w:bCs w:val="false"/>
          <w:i w:val="false"/>
          <w:iCs w:val="false"/>
          <w:sz w:val="24"/>
          <w:szCs w:val="24"/>
        </w:rPr>
        <w:t xml:space="preserve">Dr. Haim David</w:t>
      </w:r>
    </w:p>
    <w:p>
      <w:pPr>
        <w:spacing w:after="220" w:line="300"/>
        <w:jc w:val="center"/>
      </w:pPr>
      <w:r>
        <w:rPr>
          <w:rFonts w:ascii="Times New Roman" w:cs="Times New Roman" w:eastAsia="Times New Roman" w:hAnsi="Times New Roman"/>
          <w:b w:val="false"/>
          <w:bCs w:val="false"/>
          <w:i w:val="false"/>
          <w:iCs w:val="false"/>
          <w:sz w:val="24"/>
          <w:szCs w:val="24"/>
        </w:rPr>
        <w:t xml:space="preserve">Dr. Ariel Polonsky</w:t>
      </w:r>
    </w:p>
    <w:p>
      <w:pPr>
        <w:spacing w:after="220" w:line="300"/>
        <w:jc w:val="both"/>
      </w:pPr>
      <w:r>
        <w:rPr>
          <w:rFonts w:ascii="Times New Roman" w:cs="Times New Roman" w:eastAsia="Times New Roman" w:hAnsi="Times New Roman"/>
          <w:b w:val="false"/>
          <w:bCs w:val="false"/>
          <w:i w:val="false"/>
          <w:iCs w:val="false"/>
          <w:sz w:val="24"/>
          <w:szCs w:val="24"/>
        </w:rPr>
        <w:t xml:space="preserve">Finally, I wish to thank everyone who will read this work with an open and critical mind.</w:t>
      </w:r>
    </w:p>
    <w:p>
      <w:pPr>
        <w:spacing w:after="220" w:line="300"/>
        <w:jc w:val="center"/>
      </w:pPr>
      <w:r>
        <w:rPr>
          <w:rFonts w:ascii="Times New Roman" w:cs="Times New Roman" w:eastAsia="Times New Roman" w:hAnsi="Times New Roman"/>
          <w:b w:val="false"/>
          <w:bCs w:val="false"/>
          <w:i/>
          <w:iCs/>
          <w:sz w:val="24"/>
          <w:szCs w:val="24"/>
        </w:rPr>
        <w:t xml:space="preserve">Science advances not only through answers, but through questions that are worth asking.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6476672af9215a1ebb263d5ab2dab2f40f80f1.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2026-07-14T08:50:59.391Z</dcterms:created>
  <dcterms:modified xsi:type="dcterms:W3CDTF">2026-07-14T08:50:59.406Z</dcterms:modified>
</cp:coreProperties>
</file>

<file path=docProps/custom.xml><?xml version="1.0" encoding="utf-8"?>
<Properties xmlns="http://schemas.openxmlformats.org/officeDocument/2006/custom-properties" xmlns:vt="http://schemas.openxmlformats.org/officeDocument/2006/docPropsVTypes"/>
</file>