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0"/>
          <w:szCs w:val="30"/>
        </w:rPr>
        <w:t xml:space="preserve">Cellular Clone Trajectories During Functional Preservation of the Basement Membrane: A Tissue Architecture Model Before Immune Involvement</w:t>
      </w:r>
    </w:p>
    <w:p>
      <w:pPr>
        <w:spacing w:after="600"/>
        <w:jc w:val="center"/>
      </w:pPr>
      <w:r>
        <w:rPr>
          <w:i/>
          <w:iCs/>
          <w:sz w:val="24"/>
          <w:szCs w:val="24"/>
        </w:rPr>
        <w:t xml:space="preserve">Yuri Dmitrochenko, MD</w:t>
      </w:r>
    </w:p>
    <w:p>
      <w:pPr>
        <w:pStyle w:val="Heading1"/>
        <w:spacing w:after="160" w:before="400"/>
      </w:pPr>
      <w:r>
        <w:rPr>
          <w:b/>
          <w:bCs/>
        </w:rPr>
        <w:t xml:space="preserve">Abstract</w:t>
      </w:r>
    </w:p>
    <w:p>
      <w:pPr>
        <w:spacing w:after="200" w:line="276"/>
        <w:jc w:val="both"/>
      </w:pPr>
      <w:r>
        <w:rPr>
          <w:sz w:val="22"/>
          <w:szCs w:val="22"/>
        </w:rPr>
        <w:t xml:space="preserve">This article addresses a single, deliberately narrow question: what determines the fate of an emerging epithelial clone during the period in which the basement membrane remains functionally intact and the immune system has not yet become meaningfully engaged? We argue that during this early interval, clonal fate is governed primarily by tissue architecture — the coordinated structural and temporal relationship among epithelial cells, the basement membrane, stromal cells, and the extracellular matrix — together with local cell competition for space and resources, the transient permissive window created by tissue regeneration, and the degree of synchronization the expanding clone is able to maintain with its epithelial and stromal environment. We trace this trajectory from the appearance of a single architecturally inverted cell through elimination, dormancy, mosaic coexistence, or progressive superficial expansion, and describe the conditions under which a clone either remains compatible with the surrounding tissue or drifts toward a state of persistent architectural desynchronization that precedes, but is mechanistically distinct from, basement-membrane invasion. We close by stating the model's claims as a set of testable predictions, so that its explanatory value can be weighed against its falsifiability.</w:t>
      </w:r>
    </w:p>
    <w:p>
      <w:pPr>
        <w:pStyle w:val="Heading1"/>
        <w:spacing w:after="160" w:before="400"/>
      </w:pPr>
      <w:r>
        <w:rPr>
          <w:b/>
          <w:bCs/>
        </w:rPr>
        <w:t xml:space="preserve">1. Introduction</w:t>
      </w:r>
    </w:p>
    <w:p>
      <w:pPr>
        <w:spacing w:after="200" w:line="276"/>
        <w:jc w:val="both"/>
      </w:pPr>
      <w:r>
        <w:rPr>
          <w:sz w:val="22"/>
          <w:szCs w:val="22"/>
        </w:rPr>
        <w:t xml:space="preserve">Many cells and microscopic clones that acquire a less differentiated, potentially neoplastic phenotype fail to progress to clinically significant disease. In some experimental epithelial systems, most nascent lesions are eliminated before invasion or detectable antitumor immunity develops. This raises a question that is often bypassed in oncological reasoning: what governs the fate of such cells during the interval that precedes immune engagement and basement-membrane breach?</w:t>
      </w:r>
    </w:p>
    <w:p>
      <w:pPr>
        <w:spacing w:after="200" w:line="276"/>
        <w:jc w:val="both"/>
      </w:pPr>
      <w:r>
        <w:rPr>
          <w:sz w:val="22"/>
          <w:szCs w:val="22"/>
        </w:rPr>
        <w:t xml:space="preserve">We propose that this interval constitutes a distinct, and largely underappreciated, “architectural” stage of early clonal evolution — one in which tissue architecture, local cell competition, and the state of regeneration, rather than immune recognition or stromal invasion, are the principal determinants of clonal fate.</w:t>
      </w:r>
    </w:p>
    <w:p>
      <w:pPr>
        <w:spacing w:after="200" w:line="276"/>
        <w:jc w:val="both"/>
      </w:pPr>
      <w:r>
        <w:rPr>
          <w:sz w:val="22"/>
          <w:szCs w:val="22"/>
        </w:rPr>
        <w:t xml:space="preserve">The purpose of this article is to describe, in a structured and sequential form, the possible trajectories available to an emerging epithelial clone during this early period: from the appearance of a single architecturally inverted cell, through its possible elimination or survival via tissue injury, to the formation of a small stable clone, its progressive divergence from the surrounding synchronized tissue, and ultimately either its dissolution, dormancy, or persistence as a structurally intact but architecturally desynchronized epithelial population — a state that immediately precedes, but is mechanistically distinct from, invasive transformation.</w:t>
      </w:r>
    </w:p>
    <w:p>
      <w:pPr>
        <w:pStyle w:val="Heading1"/>
        <w:spacing w:after="160" w:before="400"/>
      </w:pPr>
      <w:r>
        <w:rPr>
          <w:b/>
          <w:bCs/>
        </w:rPr>
        <w:t xml:space="preserve">2. Definitions and Scope</w:t>
      </w:r>
    </w:p>
    <w:p>
      <w:pPr>
        <w:spacing w:after="200" w:line="276"/>
        <w:jc w:val="both"/>
      </w:pPr>
      <w:r>
        <w:rPr>
          <w:sz w:val="22"/>
          <w:szCs w:val="22"/>
        </w:rPr>
        <w:t xml:space="preserve">The argument developed in this article relies on several terms that are specific to the present model rather than established categories in the tissue-biology or pathology literature. They are collected here for reference; each is also introduced, and where relevant qualified, at its first substantive use in the text below.</w:t>
      </w:r>
    </w:p>
    <w:p>
      <w:pPr>
        <w:pStyle w:val="ListParagraph"/>
        <w:numPr>
          <w:ilvl w:val="0"/>
          <w:numId w:val="1"/>
        </w:numPr>
        <w:spacing w:after="140" w:line="276"/>
        <w:jc w:val="both"/>
      </w:pPr>
      <w:r>
        <w:rPr>
          <w:b/>
          <w:bCs/>
          <w:sz w:val="22"/>
          <w:szCs w:val="22"/>
        </w:rPr>
        <w:t xml:space="preserve">Structural–temporal synchronization — </w:t>
      </w:r>
      <w:r>
        <w:rPr>
          <w:sz w:val="22"/>
          <w:szCs w:val="22"/>
        </w:rPr>
        <w:t xml:space="preserve">the coordinated, though not simultaneous, progression of epithelial cells, the basement membrane, stromal cells, and the extracellular matrix toward a common, functionally compatible architectural state.</w:t>
      </w:r>
    </w:p>
    <w:p>
      <w:pPr>
        <w:pStyle w:val="ListParagraph"/>
        <w:numPr>
          <w:ilvl w:val="0"/>
          <w:numId w:val="1"/>
        </w:numPr>
        <w:spacing w:after="140" w:line="276"/>
        <w:jc w:val="both"/>
      </w:pPr>
      <w:r>
        <w:rPr>
          <w:b/>
          <w:bCs/>
          <w:sz w:val="22"/>
          <w:szCs w:val="22"/>
        </w:rPr>
        <w:t xml:space="preserve">Architecturally inverted cell (also: differentiation-reversed / locally dedifferentiated cell) — </w:t>
      </w:r>
      <w:r>
        <w:rPr>
          <w:sz w:val="22"/>
          <w:szCs w:val="22"/>
        </w:rPr>
        <w:t xml:space="preserve">a cell that remains within its native epithelial compartment but has shifted toward a less differentiated, regenerative state and become partially uncoupled from the surrounding epithelium's differentiation, adhesion, and turnover program.</w:t>
      </w:r>
    </w:p>
    <w:p>
      <w:pPr>
        <w:pStyle w:val="ListParagraph"/>
        <w:numPr>
          <w:ilvl w:val="0"/>
          <w:numId w:val="1"/>
        </w:numPr>
        <w:spacing w:after="140" w:line="276"/>
        <w:jc w:val="both"/>
      </w:pPr>
      <w:r>
        <w:rPr>
          <w:b/>
          <w:bCs/>
          <w:sz w:val="22"/>
          <w:szCs w:val="22"/>
        </w:rPr>
        <w:t xml:space="preserve">Regenerative window — </w:t>
      </w:r>
      <w:r>
        <w:rPr>
          <w:sz w:val="22"/>
          <w:szCs w:val="22"/>
        </w:rPr>
        <w:t xml:space="preserve">the transient period following tissue injury during which reduced local competition allows an inverted cell or small clone to colonize regenerating epithelial territory that it could not have occupied in intact tissue.</w:t>
      </w:r>
    </w:p>
    <w:p>
      <w:pPr>
        <w:pStyle w:val="ListParagraph"/>
        <w:numPr>
          <w:ilvl w:val="0"/>
          <w:numId w:val="1"/>
        </w:numPr>
        <w:spacing w:after="140" w:line="276"/>
        <w:jc w:val="both"/>
      </w:pPr>
      <w:r>
        <w:rPr>
          <w:b/>
          <w:bCs/>
          <w:sz w:val="22"/>
          <w:szCs w:val="22"/>
        </w:rPr>
        <w:t xml:space="preserve">Persistent architectural desynchronization — </w:t>
      </w:r>
      <w:r>
        <w:rPr>
          <w:sz w:val="22"/>
          <w:szCs w:val="22"/>
        </w:rPr>
        <w:t xml:space="preserve">a state in which an expanding clone's differentiation program, and its resulting interactions with the basement membrane, extracellular matrix, and mesenchyme, remain incompatible with those of the surrounding tissue beyond the buffering capacity of local remodeling — without necessarily involving basement-membrane invasion.</w:t>
      </w:r>
    </w:p>
    <w:p>
      <w:pPr>
        <w:pStyle w:val="ListParagraph"/>
        <w:numPr>
          <w:ilvl w:val="0"/>
          <w:numId w:val="1"/>
        </w:numPr>
        <w:spacing w:after="140" w:line="276"/>
        <w:jc w:val="both"/>
      </w:pPr>
      <w:r>
        <w:rPr>
          <w:b/>
          <w:bCs/>
          <w:sz w:val="22"/>
          <w:szCs w:val="22"/>
        </w:rPr>
        <w:t xml:space="preserve">Architectural immune shielding — </w:t>
      </w:r>
      <w:r>
        <w:rPr>
          <w:sz w:val="22"/>
          <w:szCs w:val="22"/>
        </w:rPr>
        <w:t xml:space="preserve">a hypothesis, not an established mechanism, proposing that small clonal mass, basal localization, and preserved epithelial polarity reduce a nascent clone's effective exposure to immune surveillance.</w:t>
      </w:r>
    </w:p>
    <w:p>
      <w:pPr>
        <w:pStyle w:val="ListParagraph"/>
        <w:numPr>
          <w:ilvl w:val="0"/>
          <w:numId w:val="1"/>
        </w:numPr>
        <w:spacing w:after="140" w:line="276"/>
        <w:jc w:val="both"/>
      </w:pPr>
      <w:r>
        <w:rPr>
          <w:b/>
          <w:bCs/>
          <w:sz w:val="22"/>
          <w:szCs w:val="22"/>
        </w:rPr>
        <w:t xml:space="preserve">Functional preservation of the basement membrane — </w:t>
      </w:r>
      <w:r>
        <w:rPr>
          <w:sz w:val="22"/>
          <w:szCs w:val="22"/>
        </w:rPr>
        <w:t xml:space="preserve">the condition assumed throughout this article, in which the basement membrane may undergo local, reversible remodeling or limited discontinuity but retains its role as a compartmental boundary. This is distinguished from the critical, persistent loss of that boundary that defines invasive progression, which lies outside the scope of the present article.</w:t>
      </w:r>
    </w:p>
    <w:p>
      <w:pPr>
        <w:spacing w:after="200" w:line="276"/>
        <w:jc w:val="both"/>
      </w:pPr>
      <w:r>
        <w:rPr>
          <w:sz w:val="22"/>
          <w:szCs w:val="22"/>
        </w:rPr>
        <w:t xml:space="preserve">Two further scope notes bear on how later sections should be read. First, cell-scale competition (a single inverted cell competing against its immediate neighbors, Section 5) and clone-scale competition (an already-established clonal domain competing for territory against the surrounding epithelial field, Section 10) are treated as related but distinct problems, operating at different spatial scales and, typically, at different points in the trajectory. Second, statements about immune non-engagement and dormancy in this article describe a predicted, small-scale, and reversible state specific to early intraepithelial clones; they are not claims about immune evasion in established or disseminated disease, for which a substantial and partly distinct literature already exists.</w:t>
      </w:r>
    </w:p>
    <w:p>
      <w:pPr>
        <w:pStyle w:val="Heading1"/>
        <w:spacing w:after="160" w:before="400"/>
      </w:pPr>
      <w:r>
        <w:rPr>
          <w:b/>
          <w:bCs/>
        </w:rPr>
        <w:t xml:space="preserve">3. Synchronized Tissue Architecture as the Stable State</w:t>
      </w:r>
    </w:p>
    <w:p>
      <w:pPr>
        <w:spacing w:after="200"/>
      </w:pPr>
      <w:r>
        <w:rPr>
          <w:i/>
          <w:iCs/>
          <w:color w:val="555555"/>
          <w:sz w:val="20"/>
          <w:szCs w:val="20"/>
        </w:rPr>
        <w:t xml:space="preserve">(Structural–Temporal Synchronization as the Basis of Stable Tissue Architecture)</w:t>
      </w:r>
    </w:p>
    <w:p>
      <w:pPr>
        <w:spacing w:after="200" w:line="276"/>
        <w:jc w:val="both"/>
      </w:pPr>
      <w:r>
        <w:rPr>
          <w:sz w:val="22"/>
          <w:szCs w:val="22"/>
        </w:rPr>
        <w:t xml:space="preserve">The functional stability of epithelial tissues depends not on epithelial differentiation alone, but on the coordinated structural and temporal synchronization of four interacting tissue compartments: epithelial cells, mesoderm-derived stromal cells (including fibroblasts), the basement membrane, and the surrounding extracellular matrix (ECM). Although each component possesses distinct biological functions and remodeling kinetics, together they form a dynamic structural system that determines tissue organization, polarity, mechanical integrity, and homeostasis. This concept builds upon established principles of epithelial–stromal interaction, basement membrane biology, and extracellular matrix regulation while extending them toward a unified tissue-level model of architectural synchronization [1–4].</w:t>
      </w:r>
    </w:p>
    <w:p>
      <w:pPr>
        <w:spacing w:after="200" w:line="276"/>
        <w:jc w:val="both"/>
      </w:pPr>
      <w:r>
        <w:rPr>
          <w:sz w:val="22"/>
          <w:szCs w:val="22"/>
        </w:rPr>
        <w:t xml:space="preserve">In mature tissues these compartments continuously exchange biochemical, mechanical, and metabolic signals. Their molecular turnover rates are not identical; epithelial cells, basement membrane components, fibroblasts, vascular structures, and ECM proteins are renewed on different time scales. Nevertheless, under physiological conditions these processes remain sufficiently synchronized in both space and time to generate a coherent and functionally compatible tissue architecture. Structural–temporal synchronization therefore does not imply simultaneous molecular replacement, but rather coordinated progression toward a common architectural state.</w:t>
      </w:r>
    </w:p>
    <w:p>
      <w:pPr>
        <w:spacing w:after="200" w:line="276"/>
        <w:jc w:val="both"/>
      </w:pPr>
      <w:r>
        <w:rPr>
          <w:sz w:val="22"/>
          <w:szCs w:val="22"/>
        </w:rPr>
        <w:t xml:space="preserve">The resulting architecture is stable, self-organizing, and self-limiting. It maintains epithelial polarity, appropriate cell adhesion, controlled proliferation, spatial separation of proliferative and differentiated compartments, efficient transport of nutrients and metabolites, and mechanical integration with the surrounding stroma. The basement membrane functions as both a structural interface and a signaling platform linking epithelial and stromal compartments, while fibroblasts continuously remodel the extracellular matrix to preserve tissue integrity and mechanical homeostasis [2–4].</w:t>
      </w:r>
    </w:p>
    <w:p>
      <w:pPr>
        <w:spacing w:after="200" w:line="276"/>
        <w:jc w:val="both"/>
      </w:pPr>
      <w:r>
        <w:rPr>
          <w:sz w:val="22"/>
          <w:szCs w:val="22"/>
        </w:rPr>
        <w:t xml:space="preserve">An important consequence of this synchronized architecture is its capacity for controlled self-repair. During physiological turnover or following limited injury, local synchronization is transiently disrupted. This temporary disturbance activates regenerative programs involving epithelial proliferation and migration, basement membrane reconstruction, stromal remodeling, vascular adaptation, and restoration of tissue mechanics. In successful regeneration these processes progressively converge toward a renewed state of architectural synchronization, after which regenerative activity naturally declines and tissue homeostasis is re-established [5,6].</w:t>
      </w:r>
    </w:p>
    <w:p>
      <w:pPr>
        <w:spacing w:after="200" w:line="276"/>
        <w:jc w:val="both"/>
      </w:pPr>
      <w:r>
        <w:rPr>
          <w:sz w:val="22"/>
          <w:szCs w:val="22"/>
        </w:rPr>
        <w:t xml:space="preserve">Thus, regeneration should not be viewed merely as replacement of lost cells. Rather, it represents the reconstruction of an integrated multicellular architecture in which epithelial cells, stromal cells, the basement membrane, and the extracellular matrix regain functional synchronization. We propose that this synchronized architectural state constitutes the fundamental organizational principle underlying both long-term tissue stability and the intrinsic capacity of epithelial organs to regenerate after injury.</w:t>
      </w:r>
    </w:p>
    <w:p>
      <w:pPr>
        <w:spacing w:after="100" w:before="260"/>
      </w:pPr>
      <w:r>
        <w:rPr>
          <w:b/>
          <w:bCs/>
          <w:sz w:val="21"/>
          <w:szCs w:val="21"/>
        </w:rPr>
        <w:t xml:space="preserve">References</w:t>
      </w:r>
    </w:p>
    <w:p>
      <w:pPr>
        <w:spacing w:after="60"/>
        <w:ind w:left="431" w:hanging="431"/>
      </w:pPr>
      <w:r>
        <w:rPr>
          <w:sz w:val="19"/>
          <w:szCs w:val="19"/>
        </w:rPr>
        <w:t xml:space="preserve">1. Hagios C, Lochter A, Bissell MJ. Tissue architecture: the ultimate regulator of epithelial function? Philos Trans R Soc Lond B Biol Sci. 1998.</w:t>
      </w:r>
    </w:p>
    <w:p>
      <w:pPr>
        <w:spacing w:after="60"/>
        <w:ind w:left="431" w:hanging="431"/>
      </w:pPr>
      <w:r>
        <w:rPr>
          <w:sz w:val="19"/>
          <w:szCs w:val="19"/>
        </w:rPr>
        <w:t xml:space="preserve">2. Yurchenco PD. Basement Membranes: Cell Scaffoldings and Signaling Platforms. Cold Spring Harb Perspect Biol. 2011.</w:t>
      </w:r>
    </w:p>
    <w:p>
      <w:pPr>
        <w:spacing w:after="60"/>
        <w:ind w:left="431" w:hanging="431"/>
      </w:pPr>
      <w:r>
        <w:rPr>
          <w:sz w:val="19"/>
          <w:szCs w:val="19"/>
        </w:rPr>
        <w:t xml:space="preserve">3. Yurchenco PD, Patton BL. Developmental and pathogenic mechanisms of basement membrane assembly. Curr Pharm Des. 2009.</w:t>
      </w:r>
    </w:p>
    <w:p>
      <w:pPr>
        <w:spacing w:after="60"/>
        <w:ind w:left="431" w:hanging="431"/>
      </w:pPr>
      <w:r>
        <w:rPr>
          <w:sz w:val="19"/>
          <w:szCs w:val="19"/>
        </w:rPr>
        <w:t xml:space="preserve">4. Nelson DA, Larsen M. Heterotypic control of basement membrane dynamics during branching morphogenesis. Dev Biol. 2015.</w:t>
      </w:r>
    </w:p>
    <w:p>
      <w:pPr>
        <w:spacing w:after="60"/>
        <w:ind w:left="431" w:hanging="431"/>
      </w:pPr>
      <w:r>
        <w:rPr>
          <w:sz w:val="19"/>
          <w:szCs w:val="19"/>
        </w:rPr>
        <w:t xml:space="preserve">5. Wilson SE, et al. Corneal epithelial basement membrane: structure, function and regeneration. Prog Retin Eye Res. 2020.</w:t>
      </w:r>
    </w:p>
    <w:p>
      <w:pPr>
        <w:spacing w:after="60"/>
        <w:ind w:left="431" w:hanging="431"/>
      </w:pPr>
      <w:r>
        <w:rPr>
          <w:sz w:val="19"/>
          <w:szCs w:val="19"/>
        </w:rPr>
        <w:t xml:space="preserve">6. Legendre A, et al. When proteases reshape barriers: Basement membrane remodelling in development, wound healing and tumour progression. FEBS Journal. 2026.</w:t>
      </w:r>
    </w:p>
    <w:p>
      <w:pPr>
        <w:pStyle w:val="Heading1"/>
        <w:spacing w:after="160" w:before="400"/>
      </w:pPr>
      <w:r>
        <w:rPr>
          <w:b/>
          <w:bCs/>
        </w:rPr>
        <w:t xml:space="preserve">4. Ectopic but Architecturally Synchronized Epithelium</w:t>
      </w:r>
    </w:p>
    <w:p>
      <w:pPr>
        <w:spacing w:after="200"/>
      </w:pPr>
      <w:r>
        <w:rPr>
          <w:i/>
          <w:iCs/>
          <w:color w:val="555555"/>
          <w:sz w:val="20"/>
          <w:szCs w:val="20"/>
        </w:rPr>
        <w:t xml:space="preserve">(Ectopic but Architecturally Synchronized Tissues: Evidence that Anatomical Location Alone Does Not Determine Tissue Stability)</w:t>
      </w:r>
    </w:p>
    <w:p>
      <w:pPr>
        <w:spacing w:after="200" w:line="276"/>
        <w:jc w:val="both"/>
      </w:pPr>
      <w:r>
        <w:rPr>
          <w:sz w:val="22"/>
          <w:szCs w:val="22"/>
        </w:rPr>
        <w:t xml:space="preserve">A central implication of the present hypothesis is that tissue stability depends primarily on structural-temporal synchronization rather than anatomical location. If epithelial cells, basement membrane, stromal cells, and extracellular matrix (ECM) remain mutually compatible, a tissue may preserve long-term structural integrity even outside its normal anatomical site.</w:t>
      </w:r>
    </w:p>
    <w:p>
      <w:pPr>
        <w:spacing w:after="200" w:line="276"/>
        <w:jc w:val="both"/>
      </w:pPr>
      <w:r>
        <w:rPr>
          <w:sz w:val="22"/>
          <w:szCs w:val="22"/>
        </w:rPr>
        <w:t xml:space="preserve">Several well-established pathological conditions illustrate this principle.</w:t>
      </w:r>
    </w:p>
    <w:p>
      <w:pPr>
        <w:spacing w:after="200" w:line="276"/>
        <w:jc w:val="both"/>
      </w:pPr>
      <w:r>
        <w:rPr>
          <w:sz w:val="22"/>
          <w:szCs w:val="22"/>
        </w:rPr>
        <w:t xml:space="preserve">Endometriosis is the best-known example. Endometrial glands and stroma become displaced outside the uterine cavity, yet they frequently preserve their characteristic differentiation, hormonal responsiveness, cyclic remodeling, and tissue architecture for many years. Although located within an ectopic environment, these lesions often behave as relatively stable, self-organized tissue units rather than disordered cellular aggregates [1–4].</w:t>
      </w:r>
    </w:p>
    <w:p>
      <w:pPr>
        <w:spacing w:after="200" w:line="276"/>
        <w:jc w:val="both"/>
      </w:pPr>
      <w:r>
        <w:rPr>
          <w:sz w:val="22"/>
          <w:szCs w:val="22"/>
        </w:rPr>
        <w:t xml:space="preserve">It should be noted that endometriotic lesions are frequently accompanied by local inflammation, fibrosis, altered stromal responsiveness, and disturbed extracellular matrix and hormonal signaling. Their long-term persistence should therefore not be read as evidence of complete architectural synchronization, but rather as an illustration that partial epithelial–stromal compatibility can be sufficient to sustain an organized ectopic tissue unit over prolonged periods.</w:t>
      </w:r>
    </w:p>
    <w:p>
      <w:pPr>
        <w:spacing w:after="200" w:line="276"/>
        <w:jc w:val="both"/>
      </w:pPr>
      <w:r>
        <w:rPr>
          <w:sz w:val="22"/>
          <w:szCs w:val="22"/>
        </w:rPr>
        <w:t xml:space="preserve">A similar phenomenon is observed in endosalpingiosis, in which differentiated fallopian tube-type epithelium develops on the peritoneum, ovary, or other pelvic structures while maintaining its characteristic epithelial phenotype [5,6].</w:t>
      </w:r>
    </w:p>
    <w:p>
      <w:pPr>
        <w:spacing w:after="200" w:line="276"/>
        <w:jc w:val="both"/>
      </w:pPr>
      <w:r>
        <w:rPr>
          <w:sz w:val="22"/>
          <w:szCs w:val="22"/>
        </w:rPr>
        <w:t xml:space="preserve">Likewise, endocervicosis consists of ectopic endocervical-type glandular epithelium, most commonly involving the urinary bladder or adjacent pelvic tissues. Despite its abnormal location, the tissue usually retains the structural and cytological features of normal endocervical mucosa [7,8].</w:t>
      </w:r>
    </w:p>
    <w:p>
      <w:pPr>
        <w:spacing w:after="200" w:line="276"/>
        <w:jc w:val="both"/>
      </w:pPr>
      <w:r>
        <w:rPr>
          <w:sz w:val="22"/>
          <w:szCs w:val="22"/>
        </w:rPr>
        <w:t xml:space="preserve">An even broader example is müllerianosis, in which endometrial, tubal, and endocervical tissues coexist ectopically as an organized Müllerian tissue complex. Rather than representing random cellular displacement, these lesions frequently display coordinated epithelial and stromal architecture resembling miniature ectopic organs [9].</w:t>
      </w:r>
    </w:p>
    <w:p>
      <w:pPr>
        <w:spacing w:after="200" w:line="276"/>
        <w:jc w:val="both"/>
      </w:pPr>
      <w:r>
        <w:rPr>
          <w:sz w:val="22"/>
          <w:szCs w:val="22"/>
        </w:rPr>
        <w:t xml:space="preserve">Beyond gynecology, the general pathological concept of a choristoma—histologically normal tissue located in an abnormal anatomical site—further demonstrates that correct tissue architecture can be maintained independently of anatomical position [10].</w:t>
      </w:r>
    </w:p>
    <w:p>
      <w:pPr>
        <w:spacing w:after="200" w:line="276"/>
        <w:jc w:val="both"/>
      </w:pPr>
      <w:r>
        <w:rPr>
          <w:sz w:val="22"/>
          <w:szCs w:val="22"/>
        </w:rPr>
        <w:t xml:space="preserve">Collectively, these observations indicate that ectopic localization alone does not necessarily produce architectural instability. Long-term tissue persistence appears possible when epithelial differentiation, basement membrane organization, stromal composition, and extracellular matrix remodeling remain sufficiently synchronized.</w:t>
      </w:r>
    </w:p>
    <w:p>
      <w:pPr>
        <w:spacing w:after="200" w:line="276"/>
        <w:jc w:val="both"/>
      </w:pPr>
      <w:r>
        <w:rPr>
          <w:sz w:val="22"/>
          <w:szCs w:val="22"/>
        </w:rPr>
        <w:t xml:space="preserve">Within the framework proposed here, these lesions are best regarded as ectopic tissues sustained by partial, rather than necessarily complete, architectural synchronization. Although their anatomical position is abnormal, the local structural relationships among epithelial cells, basement membrane, mesenchymal cells, and extracellular matrix remain compatible enough — even if imperfectly so — to support stable tissue organization, physiological regeneration, and long-term tissue maintenance.</w:t>
      </w:r>
    </w:p>
    <w:p>
      <w:pPr>
        <w:spacing w:after="200" w:line="276"/>
        <w:jc w:val="both"/>
      </w:pPr>
      <w:r>
        <w:rPr>
          <w:sz w:val="22"/>
          <w:szCs w:val="22"/>
        </w:rPr>
        <w:t xml:space="preserve">This leads to a broader biological principle:</w:t>
      </w:r>
    </w:p>
    <w:p>
      <w:pPr>
        <w:spacing w:after="200" w:line="276"/>
        <w:jc w:val="both"/>
      </w:pPr>
      <w:r>
        <w:rPr>
          <w:sz w:val="22"/>
          <w:szCs w:val="22"/>
        </w:rPr>
        <w:t xml:space="preserve">The primary determinant of tissue stability is not anatomical location itself, but the degree of structural-temporal synchronization between epithelial cells, basement membrane, stromal cells, and the extracellular matrix. Anatomically ectopic tissues may remain stable if this synchronization is preserved, whereas anatomically normal tissues may become unstable when persistent architectural desynchronization develops.</w:t>
      </w:r>
    </w:p>
    <w:p>
      <w:pPr>
        <w:spacing w:after="200" w:line="276"/>
        <w:jc w:val="both"/>
      </w:pPr>
      <w:r>
        <w:rPr>
          <w:sz w:val="22"/>
          <w:szCs w:val="22"/>
        </w:rPr>
        <w:t xml:space="preserve">This distinction provides an important conceptual foundation for the present hypothesis. The pathological consequences proposed in this model arise not simply from ectopic localization, but from the emergence of persistent architectural desynchronization, in which coordinated interactions among epithelial cells, basement membrane, stromal cells, and extracellular matrix progressively fail to converge toward a stable architectural state.</w:t>
      </w:r>
    </w:p>
    <w:p>
      <w:pPr>
        <w:spacing w:after="100" w:before="260"/>
      </w:pPr>
      <w:r>
        <w:rPr>
          <w:b/>
          <w:bCs/>
          <w:sz w:val="21"/>
          <w:szCs w:val="21"/>
        </w:rPr>
        <w:t xml:space="preserve">References</w:t>
      </w:r>
    </w:p>
    <w:p>
      <w:pPr>
        <w:spacing w:after="60"/>
        <w:ind w:left="431" w:hanging="431"/>
      </w:pPr>
      <w:r>
        <w:rPr>
          <w:sz w:val="19"/>
          <w:szCs w:val="19"/>
        </w:rPr>
        <w:t xml:space="preserve">1. Giudice LC, Kao LC. Endometriosis. Lancet. 2004;364:1789–1799.</w:t>
      </w:r>
    </w:p>
    <w:p>
      <w:pPr>
        <w:spacing w:after="60"/>
        <w:ind w:left="431" w:hanging="431"/>
      </w:pPr>
      <w:r>
        <w:rPr>
          <w:sz w:val="19"/>
          <w:szCs w:val="19"/>
        </w:rPr>
        <w:t xml:space="preserve">2. Bulun SE. Endometriosis. N Engl J Med. 2009;360:268–279.</w:t>
      </w:r>
    </w:p>
    <w:p>
      <w:pPr>
        <w:spacing w:after="60"/>
        <w:ind w:left="431" w:hanging="431"/>
      </w:pPr>
      <w:r>
        <w:rPr>
          <w:sz w:val="19"/>
          <w:szCs w:val="19"/>
        </w:rPr>
        <w:t xml:space="preserve">3. Zondervan KT, Becker CM, Missmer SA. Endometriosis. N Engl J Med. 2020;382:1244–1256.</w:t>
      </w:r>
    </w:p>
    <w:p>
      <w:pPr>
        <w:spacing w:after="60"/>
        <w:ind w:left="431" w:hanging="431"/>
      </w:pPr>
      <w:r>
        <w:rPr>
          <w:sz w:val="19"/>
          <w:szCs w:val="19"/>
        </w:rPr>
        <w:t xml:space="preserve">4. Horne AW, Missmer SA. Pathophysiology, diagnosis and management of endometriosis. BMJ. 2022;379:e070750.</w:t>
      </w:r>
    </w:p>
    <w:p>
      <w:pPr>
        <w:spacing w:after="60"/>
        <w:ind w:left="431" w:hanging="431"/>
      </w:pPr>
      <w:r>
        <w:rPr>
          <w:sz w:val="19"/>
          <w:szCs w:val="19"/>
        </w:rPr>
        <w:t xml:space="preserve">5. McCluggage WG. Myths about endosalpingiosis, endocervicosis and endometriosis. Histopathology. 2012;60:174–192.</w:t>
      </w:r>
    </w:p>
    <w:p>
      <w:pPr>
        <w:spacing w:after="60"/>
        <w:ind w:left="431" w:hanging="431"/>
      </w:pPr>
      <w:r>
        <w:rPr>
          <w:sz w:val="19"/>
          <w:szCs w:val="19"/>
        </w:rPr>
        <w:t xml:space="preserve">6. Batt RE, Yeh J. Müllerianosis: four developmental müllerian diseases. Reprod Sci. 2013;20:1030–1037.</w:t>
      </w:r>
    </w:p>
    <w:p>
      <w:pPr>
        <w:spacing w:after="60"/>
        <w:ind w:left="431" w:hanging="431"/>
      </w:pPr>
      <w:r>
        <w:rPr>
          <w:sz w:val="19"/>
          <w:szCs w:val="19"/>
        </w:rPr>
        <w:t xml:space="preserve">7. Young RH, Clement PB. Endocervicosis and related müllerian lesions of the urinary bladder. Modern Pathology. 1996;9:731–737.</w:t>
      </w:r>
    </w:p>
    <w:p>
      <w:pPr>
        <w:spacing w:after="60"/>
        <w:ind w:left="431" w:hanging="431"/>
      </w:pPr>
      <w:r>
        <w:rPr>
          <w:sz w:val="19"/>
          <w:szCs w:val="19"/>
        </w:rPr>
        <w:t xml:space="preserve">8. Clement PB, Young RH. Müllerian lesions of the urinary bladder: clinical and pathological features. Adv Anat Pathol. 1999;6:297–310.</w:t>
      </w:r>
    </w:p>
    <w:p>
      <w:pPr>
        <w:spacing w:after="60"/>
        <w:ind w:left="431" w:hanging="431"/>
      </w:pPr>
      <w:r>
        <w:rPr>
          <w:sz w:val="19"/>
          <w:szCs w:val="19"/>
        </w:rPr>
        <w:t xml:space="preserve">9. Batt RE, Yeh J. Müllerianosis: theory and clinicopathologic correlations. Reproductive Sciences. 2013;20:1030–1037.</w:t>
      </w:r>
    </w:p>
    <w:p>
      <w:pPr>
        <w:spacing w:after="60"/>
        <w:ind w:left="431" w:hanging="431"/>
      </w:pPr>
      <w:r>
        <w:rPr>
          <w:sz w:val="19"/>
          <w:szCs w:val="19"/>
        </w:rPr>
        <w:t xml:space="preserve">10. Rosai J. Rosai and Ackerman's Surgical Pathology. 11th ed. Elsevier; 2018. Chapter: Choristomas and Hamartomas.</w:t>
      </w:r>
    </w:p>
    <w:p>
      <w:pPr>
        <w:pStyle w:val="Heading1"/>
        <w:spacing w:after="160" w:before="400"/>
      </w:pPr>
      <w:r>
        <w:rPr>
          <w:b/>
          <w:bCs/>
        </w:rPr>
        <w:t xml:space="preserve">5. Appearance of an Inverted Epithelial Cell (Single-Cell Competition Before Clonal Establishment)</w:t>
      </w:r>
    </w:p>
    <w:p>
      <w:pPr>
        <w:spacing w:after="200"/>
      </w:pPr>
      <w:r>
        <w:rPr>
          <w:i/>
          <w:iCs/>
          <w:color w:val="555555"/>
          <w:sz w:val="20"/>
          <w:szCs w:val="20"/>
        </w:rPr>
        <w:t xml:space="preserve">(Inverted Epithelial Cells and Early Cell Competition)</w:t>
      </w:r>
    </w:p>
    <w:p>
      <w:pPr>
        <w:spacing w:after="200" w:line="276"/>
        <w:jc w:val="both"/>
      </w:pPr>
      <w:r>
        <w:rPr>
          <w:sz w:val="22"/>
          <w:szCs w:val="22"/>
        </w:rPr>
        <w:t xml:space="preserve">The opposite situation arises when epithelial cells do not change their anatomical position but instead undergo partial loss of differentiation while remaining surrounded by a normally organized epithelium.</w:t>
      </w:r>
    </w:p>
    <w:p>
      <w:pPr>
        <w:spacing w:after="200" w:line="276"/>
        <w:jc w:val="both"/>
      </w:pPr>
      <w:r>
        <w:rPr>
          <w:sz w:val="22"/>
          <w:szCs w:val="22"/>
        </w:rPr>
        <w:t xml:space="preserve">An architecturally inverted epithelial cell is defined here as a cell that remains within its native epithelial compartment but has shifted toward a less differentiated or regenerative state, becoming partially uncoupled from the differentiation, adhesion, and turnover program of the surrounding mature epithelium. The term architecturally inverted is used throughout this article as a working, model-specific label rather than an established pathological category; related expressions such as differentiation-reversed or locally dedifferentiated epithelial cell describe the same phenomenon and may be preferable in more conservative usage.</w:t>
      </w:r>
    </w:p>
    <w:p>
      <w:pPr>
        <w:spacing w:after="200" w:line="276"/>
        <w:jc w:val="both"/>
      </w:pPr>
      <w:r>
        <w:rPr>
          <w:sz w:val="22"/>
          <w:szCs w:val="22"/>
        </w:rPr>
        <w:t xml:space="preserve">This section considers competition acting on a single altered cell prior to clonal establishment. The later, distinct problem of competition between already-established clonal domains — operating at the scale of tissue territory rather than of an individual cell — is addressed separately in Section 10.</w:t>
      </w:r>
    </w:p>
    <w:p>
      <w:pPr>
        <w:spacing w:after="200" w:line="276"/>
        <w:jc w:val="both"/>
      </w:pPr>
      <w:r>
        <w:rPr>
          <w:sz w:val="22"/>
          <w:szCs w:val="22"/>
        </w:rPr>
        <w:t xml:space="preserve">Such cells may acquire a more primitive or regenerative phenotype, reduce expression of differentiation-associated proteins, weaken their functional integration with neighboring epithelial cells, and transiently alter their interactions with the basement membrane and extracellular matrix. At this stage they do not yet constitute a stable clone. Rather, they represent isolated architecturally inverted cells embedded within an otherwise synchronized epithelial tissue.</w:t>
      </w:r>
    </w:p>
    <w:p>
      <w:pPr>
        <w:spacing w:after="200" w:line="276"/>
        <w:jc w:val="both"/>
      </w:pPr>
      <w:r>
        <w:rPr>
          <w:sz w:val="22"/>
          <w:szCs w:val="22"/>
        </w:rPr>
        <w:t xml:space="preserve">The surrounding mature epithelium is not a passive environment. Under physiological conditions, epithelial cells continuously compete for limited space, access to the basement membrane, nutrients, oxygen, growth factors, and mechanical stability. Cells that maintain normal differentiation and tissue integration generally possess a competitive advantage over isolated cells that have partially lost their differentiated phenotype. Consequently, many such cells are eliminated before they are able to establish persistent clonal expansion. This elimination may occur through cell competition, apical extrusion, apoptosis, or displacement from the proliferative compartment, thereby preserving tissue integrity and epithelial homeostasis.</w:t>
      </w:r>
    </w:p>
    <w:p>
      <w:pPr>
        <w:spacing w:after="200" w:line="276"/>
        <w:jc w:val="both"/>
      </w:pPr>
      <w:r>
        <w:rPr>
          <w:sz w:val="22"/>
          <w:szCs w:val="22"/>
        </w:rPr>
        <w:t xml:space="preserve">Recent experimental studies further demonstrate that the surrounding normal epithelium itself can eliminate newly emerging mutant or premalignant clones. In the mouse esophagus, most microscopic neoplastic lesions disappear because neighboring epithelial clones possessing higher relative fitness outcompete them for occupancy of the basal compartment and tissue space. These observations indicate that early clonal survival depends not only on intrinsic genetic alterations but also on the competitive relationship between emerging cells and the surrounding synchronized tissue.</w:t>
      </w:r>
    </w:p>
    <w:p>
      <w:pPr>
        <w:spacing w:after="200" w:line="276"/>
        <w:jc w:val="both"/>
      </w:pPr>
      <w:r>
        <w:rPr>
          <w:sz w:val="22"/>
          <w:szCs w:val="22"/>
        </w:rPr>
        <w:t xml:space="preserve">Within the present framework, this competition represents the first protective barrier against architectural desynchronization. As long as synchronized epithelial cells retain superior competitive fitness, isolated inverted cells are removed and tissue architecture is restored. Persistent architectural desynchronization becomes possible only when an inverted cell or a small group of cells acquires sufficient competitive advantage to resist elimination, remain attached to the tissue, and initiate stable clonal expansion.</w:t>
      </w:r>
    </w:p>
    <w:p>
      <w:pPr>
        <w:spacing w:after="200" w:line="276"/>
        <w:jc w:val="both"/>
      </w:pPr>
      <w:r>
        <w:rPr>
          <w:sz w:val="22"/>
          <w:szCs w:val="22"/>
        </w:rPr>
        <w:t xml:space="preserve">Thus, the transition from a single inverted cell to a persistent clone is proposed to depend not solely on genetic alterations but on the balance between cellular competitiveness and the synchronizing capacity of the surrounding tissue architecture.</w:t>
      </w:r>
    </w:p>
    <w:p>
      <w:pPr>
        <w:spacing w:after="100" w:before="260"/>
      </w:pPr>
      <w:r>
        <w:rPr>
          <w:b/>
          <w:bCs/>
          <w:sz w:val="21"/>
          <w:szCs w:val="21"/>
        </w:rPr>
        <w:t xml:space="preserve">References</w:t>
      </w:r>
    </w:p>
    <w:p>
      <w:pPr>
        <w:spacing w:after="60"/>
        <w:ind w:left="431" w:hanging="431"/>
      </w:pPr>
      <w:r>
        <w:rPr>
          <w:sz w:val="19"/>
          <w:szCs w:val="19"/>
        </w:rPr>
        <w:t xml:space="preserve">1. van Neerven SM, Vermeulen L. Cell competition in development, homeostasis and cancer. Nat Rev Mol Cell Biol. 2023;24:221–236.</w:t>
      </w:r>
    </w:p>
    <w:p>
      <w:pPr>
        <w:spacing w:after="60"/>
        <w:ind w:left="431" w:hanging="431"/>
      </w:pPr>
      <w:r>
        <w:rPr>
          <w:sz w:val="19"/>
          <w:szCs w:val="19"/>
        </w:rPr>
        <w:t xml:space="preserve">2. Vincent JP, Fletcher AG, Baena-López LA. Mechanisms and mechanics of cell competition in epithelia. Nat Rev Mol Cell Biol. 2013;14:581–591.</w:t>
      </w:r>
    </w:p>
    <w:p>
      <w:pPr>
        <w:spacing w:after="60"/>
        <w:ind w:left="431" w:hanging="431"/>
      </w:pPr>
      <w:r>
        <w:rPr>
          <w:sz w:val="19"/>
          <w:szCs w:val="19"/>
        </w:rPr>
        <w:t xml:space="preserve">3. Eisenhoffer GT, Rosenblatt J. Bringing balance by force: live cell extrusion controls epithelial cell numbers. Trends Cell Biol. 2013;23:185–192.</w:t>
      </w:r>
    </w:p>
    <w:p>
      <w:pPr>
        <w:spacing w:after="60"/>
        <w:ind w:left="431" w:hanging="431"/>
      </w:pPr>
      <w:r>
        <w:rPr>
          <w:sz w:val="19"/>
          <w:szCs w:val="19"/>
        </w:rPr>
        <w:t xml:space="preserve">4. Colom B, Herms A, Hall MWJ, et al. Mutant clones in normal epithelium outcompete and eliminate emerging tumours. Nature. 2021;598:510–514.</w:t>
      </w:r>
    </w:p>
    <w:p>
      <w:pPr>
        <w:pStyle w:val="Heading1"/>
        <w:spacing w:after="160" w:before="400"/>
      </w:pPr>
      <w:r>
        <w:rPr>
          <w:b/>
          <w:bCs/>
        </w:rPr>
        <w:t xml:space="preserve">6. Regeneration Creates a Window for Clonal Establishment</w:t>
      </w:r>
    </w:p>
    <w:p>
      <w:pPr>
        <w:spacing w:after="200"/>
      </w:pPr>
      <w:r>
        <w:rPr>
          <w:i/>
          <w:iCs/>
          <w:color w:val="555555"/>
          <w:sz w:val="20"/>
          <w:szCs w:val="20"/>
        </w:rPr>
        <w:t xml:space="preserve">(Tissue Injury Creates a Window for Clonal Establishment)</w:t>
      </w:r>
    </w:p>
    <w:p>
      <w:pPr>
        <w:spacing w:after="200" w:line="276"/>
        <w:jc w:val="both"/>
      </w:pPr>
      <w:r>
        <w:rPr>
          <w:sz w:val="22"/>
          <w:szCs w:val="22"/>
        </w:rPr>
        <w:t xml:space="preserve">Under physiological conditions, inverted epithelial cells remain at a competitive disadvantage. They are surrounded by mature, architecturally synchronized epithelial cells that possess superior access to tissue space, basement membrane attachment, nutrients, growth factors, and mechanical stability. Consequently, most inverted cells are eliminated before they are able to establish a persistent clone through mechanisms including cell competition, apoptosis, apical extrusion, or displacement from the proliferative compartment.</w:t>
      </w:r>
    </w:p>
    <w:p>
      <w:pPr>
        <w:spacing w:after="200" w:line="276"/>
        <w:jc w:val="both"/>
      </w:pPr>
      <w:r>
        <w:rPr>
          <w:sz w:val="22"/>
          <w:szCs w:val="22"/>
        </w:rPr>
        <w:t xml:space="preserve">The biological situation changes fundamentally following local tissue injury.</w:t>
      </w:r>
    </w:p>
    <w:p>
      <w:pPr>
        <w:spacing w:after="200" w:line="276"/>
        <w:jc w:val="both"/>
      </w:pPr>
      <w:r>
        <w:rPr>
          <w:sz w:val="22"/>
          <w:szCs w:val="22"/>
        </w:rPr>
        <w:t xml:space="preserve">Damage to the epithelium results in partial loss of epithelial coverage, local remodeling of the extracellular matrix, activation of fibroblasts and other mesenchymal cells, inflammatory signaling, and initiation of tissue regeneration. The basement membrane itself may undergo local, reversible remodeling or limited, transient discontinuity during this process, without necessarily incurring the persistent loss of compartmental integrity that defines invasive progression; that later, critical form of basement-membrane failure is treated in this article as a distinct and separate transition, outside its present scope.</w:t>
      </w:r>
    </w:p>
    <w:p>
      <w:pPr>
        <w:spacing w:after="200" w:line="276"/>
        <w:jc w:val="both"/>
      </w:pPr>
      <w:r>
        <w:rPr>
          <w:sz w:val="22"/>
          <w:szCs w:val="22"/>
        </w:rPr>
        <w:t xml:space="preserve">If inverted epithelial cells are present adjacent to the injured area, they may colonize the regenerating surface simultaneously with normal epithelial progenitors. Their subsequent fate is therefore determined not only by their intrinsic biological properties but also by their ability to participate in tissue reconstruction.</w:t>
      </w:r>
    </w:p>
    <w:p>
      <w:pPr>
        <w:spacing w:after="200" w:line="276"/>
        <w:jc w:val="both"/>
      </w:pPr>
      <w:r>
        <w:rPr>
          <w:sz w:val="22"/>
          <w:szCs w:val="22"/>
        </w:rPr>
        <w:t xml:space="preserve">Within the proposed model, tissue injury temporarily changes the rules of epithelial competition. In intact epithelium, inverted cells are subjected primarily to negative selection by surrounding synchronized cells. During regeneration, however, a transient regenerative niche emerges in which these cells may escape early elimination and establish an expanding clone before normal competitive homeostasis has been restored.</w:t>
      </w:r>
    </w:p>
    <w:p>
      <w:pPr>
        <w:spacing w:after="200" w:line="276"/>
        <w:jc w:val="both"/>
      </w:pPr>
      <w:r>
        <w:rPr>
          <w:sz w:val="22"/>
          <w:szCs w:val="22"/>
        </w:rPr>
        <w:t xml:space="preserve">At this stage, the long-term fate of the newly established clone depends on coordinated synchronization among four major tissue components:</w:t>
      </w:r>
    </w:p>
    <w:p>
      <w:pPr>
        <w:pStyle w:val="ListParagraph"/>
        <w:numPr>
          <w:ilvl w:val="0"/>
          <w:numId w:val="1"/>
        </w:numPr>
        <w:spacing w:after="100" w:line="276"/>
      </w:pPr>
      <w:r>
        <w:t xml:space="preserve">epithelial cells;</w:t>
      </w:r>
    </w:p>
    <w:p>
      <w:pPr>
        <w:pStyle w:val="ListParagraph"/>
        <w:numPr>
          <w:ilvl w:val="0"/>
          <w:numId w:val="1"/>
        </w:numPr>
        <w:spacing w:after="100" w:line="276"/>
      </w:pPr>
      <w:r>
        <w:t xml:space="preserve">mesenchymal cells, including fibroblasts;</w:t>
      </w:r>
    </w:p>
    <w:p>
      <w:pPr>
        <w:pStyle w:val="ListParagraph"/>
        <w:numPr>
          <w:ilvl w:val="0"/>
          <w:numId w:val="1"/>
        </w:numPr>
        <w:spacing w:after="100" w:line="276"/>
      </w:pPr>
      <w:r>
        <w:t xml:space="preserve">the basement membrane;</w:t>
      </w:r>
    </w:p>
    <w:p>
      <w:pPr>
        <w:pStyle w:val="ListParagraph"/>
        <w:numPr>
          <w:ilvl w:val="0"/>
          <w:numId w:val="1"/>
        </w:numPr>
        <w:spacing w:after="100" w:line="276"/>
      </w:pPr>
      <w:r>
        <w:t xml:space="preserve">the extracellular matrix.</w:t>
      </w:r>
    </w:p>
    <w:p>
      <w:pPr>
        <w:spacing w:after="200" w:line="276"/>
        <w:jc w:val="both"/>
      </w:pPr>
      <w:r>
        <w:rPr>
          <w:sz w:val="22"/>
          <w:szCs w:val="22"/>
        </w:rPr>
        <w:t xml:space="preserve">If these components progressively become synchronized, regeneration culminates in the formation of a stable tissue architecture capable of maintaining long-term homeostasis. Even a clone initially derived from inverted epithelial cells may become incorporated into a structurally organized tissue and eventually acquire a stable differentiated phenotype.</w:t>
      </w:r>
    </w:p>
    <w:p>
      <w:pPr>
        <w:spacing w:after="200" w:line="276"/>
        <w:jc w:val="both"/>
      </w:pPr>
      <w:r>
        <w:rPr>
          <w:sz w:val="22"/>
          <w:szCs w:val="22"/>
        </w:rPr>
        <w:t xml:space="preserve">Conversely, if synchronization remains incomplete, the regenerating tissue enters a state of persistent architectural desynchronization. In this state, epithelial cells continue to reside within an incompletely organized microenvironment characterized by ongoing matrix remodeling, altered cell–matrix interactions, and prolonged regenerative plasticity. Such conditions may increase the probability of clonal persistence, additional evolutionary adaptation, and eventual neoplastic progression.</w:t>
      </w:r>
    </w:p>
    <w:p>
      <w:pPr>
        <w:spacing w:after="200" w:line="276"/>
        <w:jc w:val="both"/>
      </w:pPr>
      <w:r>
        <w:rPr>
          <w:sz w:val="22"/>
          <w:szCs w:val="22"/>
        </w:rPr>
        <w:t xml:space="preserve">In this framework, tissue injury is not regarded as a direct cause of carcinogenesis. Rather, its principal role is to transiently remove the spatial constraints imposed by the surrounding synchronized epithelium, thereby creating an opportunity for otherwise disadvantaged inverted cells to establish a clone. The subsequent biological outcome depends primarily on whether the expanding clone successfully re-establishes architectural synchronization with the surrounding mesenchyme, basement membrane, and extracellular matrix.</w:t>
      </w:r>
    </w:p>
    <w:p>
      <w:pPr>
        <w:spacing w:after="200" w:line="276"/>
        <w:jc w:val="both"/>
      </w:pPr>
      <w:r>
        <w:rPr>
          <w:sz w:val="22"/>
          <w:szCs w:val="22"/>
        </w:rPr>
        <w:t xml:space="preserve">Accordingly, regeneration represents a second selective barrier in tissue homeostasis. The first barrier consists of cell competition within intact epithelium, which normally eliminates isolated inverted cells. The second barrier is architectural synchronization during tissue repair, which determines whether a newly formed clone is successfully integrated into normal tissue, eliminated during remodeling, or progresses toward persistent architectural desynchronization and continued clonal expansion.</w:t>
      </w:r>
    </w:p>
    <w:p>
      <w:pPr>
        <w:spacing w:after="100" w:before="260"/>
      </w:pPr>
      <w:r>
        <w:rPr>
          <w:b/>
          <w:bCs/>
          <w:sz w:val="21"/>
          <w:szCs w:val="21"/>
        </w:rPr>
        <w:t xml:space="preserve">References</w:t>
      </w:r>
    </w:p>
    <w:p>
      <w:pPr>
        <w:spacing w:after="60"/>
        <w:ind w:left="431" w:hanging="431"/>
      </w:pPr>
      <w:r>
        <w:rPr>
          <w:sz w:val="19"/>
          <w:szCs w:val="19"/>
        </w:rPr>
        <w:t xml:space="preserve">1. Gurtner GC, Werner S, Barrandon Y, Longaker MT. Wound repair and regeneration. Nature. 2008;453:314–321.</w:t>
      </w:r>
    </w:p>
    <w:p>
      <w:pPr>
        <w:spacing w:after="60"/>
        <w:ind w:left="431" w:hanging="431"/>
      </w:pPr>
      <w:r>
        <w:rPr>
          <w:sz w:val="19"/>
          <w:szCs w:val="19"/>
        </w:rPr>
        <w:t xml:space="preserve">2. Eming SA, Martin P, Tomic-Canic M. Wound repair and regeneration: mechanisms, signaling, and translation. Sci Transl Med. 2014;6(265):265sr6.</w:t>
      </w:r>
    </w:p>
    <w:p>
      <w:pPr>
        <w:spacing w:after="60"/>
        <w:ind w:left="431" w:hanging="431"/>
      </w:pPr>
      <w:r>
        <w:rPr>
          <w:sz w:val="19"/>
          <w:szCs w:val="19"/>
        </w:rPr>
        <w:t xml:space="preserve">3. van Neerven SM, Vermeulen L. Cell competition in development, homeostasis and cancer. Nat Rev Mol Cell Biol. 2023;24:221–236.</w:t>
      </w:r>
    </w:p>
    <w:p>
      <w:pPr>
        <w:spacing w:after="60"/>
        <w:ind w:left="431" w:hanging="431"/>
      </w:pPr>
      <w:r>
        <w:rPr>
          <w:sz w:val="19"/>
          <w:szCs w:val="19"/>
        </w:rPr>
        <w:t xml:space="preserve">4. Colom B, Herms A, Hall MWJ, et al. Mutant clones in normal epithelium outcompete and eliminate emerging tumours. Nature. 2021;598:510–514.</w:t>
      </w:r>
    </w:p>
    <w:p>
      <w:pPr>
        <w:spacing w:after="60"/>
        <w:ind w:left="431" w:hanging="431"/>
      </w:pPr>
      <w:r>
        <w:rPr>
          <w:sz w:val="19"/>
          <w:szCs w:val="19"/>
        </w:rPr>
        <w:t xml:space="preserve">5. Lu P, Weaver VM, Werb Z. The extracellular matrix: a dynamic niche in cancer progression. J Cell Biol. 2012;196:395–406.</w:t>
      </w:r>
    </w:p>
    <w:p>
      <w:pPr>
        <w:spacing w:after="60"/>
        <w:ind w:left="431" w:hanging="431"/>
      </w:pPr>
      <w:r>
        <w:rPr>
          <w:sz w:val="19"/>
          <w:szCs w:val="19"/>
        </w:rPr>
        <w:t xml:space="preserve">6. Pickup MW, Mouw JK, Weaver VM. The extracellular matrix modulates the hallmarks of cancer. EMBO Rep. 2014;15:1243–1253.</w:t>
      </w:r>
    </w:p>
    <w:p>
      <w:pPr>
        <w:spacing w:after="60"/>
        <w:ind w:left="431" w:hanging="431"/>
      </w:pPr>
      <w:r>
        <w:rPr>
          <w:sz w:val="19"/>
          <w:szCs w:val="19"/>
        </w:rPr>
        <w:t xml:space="preserve">7. Yurchenco PD. Basement membranes: cell scaffoldings and signaling platforms. Cold Spring Harb Perspect Biol. 2011;3:a004911.</w:t>
      </w:r>
    </w:p>
    <w:p>
      <w:pPr>
        <w:spacing w:after="60"/>
        <w:ind w:left="431" w:hanging="431"/>
      </w:pPr>
      <w:r>
        <w:rPr>
          <w:sz w:val="19"/>
          <w:szCs w:val="19"/>
        </w:rPr>
        <w:t xml:space="preserve">8. Bissell MJ, Hines WC. Why don't we get more cancer? A proposed role of the microenvironment in restraining cancer progression. Nat Med. 2011;17:320–329.</w:t>
      </w:r>
    </w:p>
    <w:p>
      <w:pPr>
        <w:spacing w:after="60"/>
        <w:ind w:left="431" w:hanging="431"/>
      </w:pPr>
      <w:r>
        <w:rPr>
          <w:sz w:val="19"/>
          <w:szCs w:val="19"/>
        </w:rPr>
        <w:t xml:space="preserve">9. Dvorak HF. Tumors: wounds that do not heal. N Engl J Med. 1986;315:1650–1659.</w:t>
      </w:r>
    </w:p>
    <w:p>
      <w:pPr>
        <w:spacing w:after="60"/>
        <w:ind w:left="431" w:hanging="431"/>
      </w:pPr>
      <w:r>
        <w:rPr>
          <w:sz w:val="19"/>
          <w:szCs w:val="19"/>
        </w:rPr>
        <w:t xml:space="preserve">10. Schäfer M, Werner S. Cancer as an overhealing wound: an old hypothesis revisited. Nat Rev Mol Cell Biol. 2008;9:628–638.</w:t>
      </w:r>
    </w:p>
    <w:p>
      <w:pPr>
        <w:pStyle w:val="Heading1"/>
        <w:spacing w:after="160" w:before="400"/>
      </w:pPr>
      <w:r>
        <w:rPr>
          <w:b/>
          <w:bCs/>
        </w:rPr>
        <w:t xml:space="preserve">7. Formation of a Small Clone</w:t>
      </w:r>
    </w:p>
    <w:p>
      <w:pPr>
        <w:spacing w:after="200" w:line="276"/>
        <w:jc w:val="both"/>
      </w:pPr>
      <w:r>
        <w:rPr>
          <w:sz w:val="22"/>
          <w:szCs w:val="22"/>
        </w:rPr>
        <w:t xml:space="preserve">Following successful colonization of the regenerating epithelial surface, the inverted cell population may consolidate into a small but persistent clone. At this early stage the clone remains embedded within an epithelium whose basement membrane is structurally intact, and its small mass, preserved epithelial localization, and limited tissue disturbance may be insufficient to generate a sustained or biologically decisive immune response.</w:t>
      </w:r>
    </w:p>
    <w:p>
      <w:pPr>
        <w:spacing w:after="200" w:line="276"/>
        <w:jc w:val="both"/>
      </w:pPr>
      <w:r>
        <w:rPr>
          <w:sz w:val="22"/>
          <w:szCs w:val="22"/>
        </w:rPr>
        <w:t xml:space="preserve">The dominant selective pressure acting on the clone is therefore not immune surveillance but local cellular competition — for basal attachment, for diffusible resources, and for physical space — conducted against the neighboring regenerating and mature epithelial populations. Because the basement membrane remains functionally continuous, the clone is at this stage anatomically confined to the epithelial compartment, and its interaction with the underlying stroma is still mediated through an essentially normal interface.</w:t>
      </w:r>
    </w:p>
    <w:p>
      <w:pPr>
        <w:spacing w:after="200" w:line="276"/>
        <w:jc w:val="both"/>
      </w:pPr>
      <w:r>
        <w:rPr>
          <w:sz w:val="22"/>
          <w:szCs w:val="22"/>
        </w:rPr>
        <w:t xml:space="preserve">The clone's subsequent trajectory, described in the sections that follow, depends on how this local competitive balance evolves as the clone grows and on whether its differentiation program remains compatible with that of the surrounding synchronized tissue.</w:t>
      </w:r>
    </w:p>
    <w:p>
      <w:pPr>
        <w:pStyle w:val="Heading1"/>
        <w:spacing w:after="160" w:before="400"/>
      </w:pPr>
      <w:r>
        <w:rPr>
          <w:b/>
          <w:bCs/>
        </w:rPr>
        <w:t xml:space="preserve">8. Progressive Architectural Desynchronization</w:t>
      </w:r>
    </w:p>
    <w:p>
      <w:pPr>
        <w:spacing w:after="200"/>
      </w:pPr>
      <w:r>
        <w:rPr>
          <w:i/>
          <w:iCs/>
          <w:color w:val="555555"/>
          <w:sz w:val="20"/>
          <w:szCs w:val="20"/>
        </w:rPr>
        <w:t xml:space="preserve">(Expansion of the Inverted Clone and Progressive Epithelial–Mesenchymal Desynchronization)</w:t>
      </w:r>
    </w:p>
    <w:p>
      <w:pPr>
        <w:spacing w:after="200" w:line="276"/>
        <w:jc w:val="both"/>
      </w:pPr>
      <w:r>
        <w:rPr>
          <w:sz w:val="22"/>
          <w:szCs w:val="22"/>
        </w:rPr>
        <w:t xml:space="preserve">Following successful establishment during tissue regeneration, the inverted epithelial population may develop into a persistent clone that coexists with the surrounding differentiated epithelium. At this stage, the clone is no longer an isolated population of atypical cells but becomes a stable structural component of the tissue.</w:t>
      </w:r>
    </w:p>
    <w:p>
      <w:pPr>
        <w:spacing w:after="200" w:line="276"/>
        <w:jc w:val="both"/>
      </w:pPr>
      <w:r>
        <w:rPr>
          <w:sz w:val="22"/>
          <w:szCs w:val="22"/>
        </w:rPr>
        <w:t xml:space="preserve">Initially, such a clone may remain morphologically inconspicuous because the existing basement membrane and stromal architecture were established under the influence of the surrounding differentiated epithelium. As the clone expands, however, the balance between the epithelial compartment and the underlying mesenchymal microenvironment gradually changes.</w:t>
      </w:r>
    </w:p>
    <w:p>
      <w:pPr>
        <w:spacing w:after="200" w:line="276"/>
        <w:jc w:val="both"/>
      </w:pPr>
      <w:r>
        <w:rPr>
          <w:sz w:val="22"/>
          <w:szCs w:val="22"/>
        </w:rPr>
        <w:t xml:space="preserve">The expanding clone follows a differentiation program that differs from that of the surrounding mature epithelium. Consequently, its interactions with the basement membrane and extracellular matrix also become progressively different. Altered expression of extracellular matrix proteins, basement membrane components, integrins, matrix receptors, proteases, cytokines, and growth factors may gradually diverge from the differentiation program maintained by neighboring fibroblasts and other mesenchymal cells. This process is consistent with the concept of reciprocal epithelial–stromal communication that governs tissue homeostasis and repair rather than with a defect of any single molecular component of the extracellular matrix [1–6].</w:t>
      </w:r>
    </w:p>
    <w:p>
      <w:pPr>
        <w:spacing w:after="200" w:line="276"/>
        <w:jc w:val="both"/>
      </w:pPr>
      <w:r>
        <w:rPr>
          <w:sz w:val="22"/>
          <w:szCs w:val="22"/>
        </w:rPr>
        <w:t xml:space="preserve">Within the present hypothesis, this stage represents the onset of epithelial–mesenchymal chemical desynchronization.</w:t>
      </w:r>
    </w:p>
    <w:p>
      <w:pPr>
        <w:spacing w:after="200" w:line="276"/>
        <w:jc w:val="both"/>
      </w:pPr>
      <w:r>
        <w:rPr>
          <w:sz w:val="22"/>
          <w:szCs w:val="22"/>
        </w:rPr>
        <w:t xml:space="preserve">Although epithelial and mesenchymal cells continue to communicate, they progressively operate according to different differentiation programs. As the clone enlarges, this mismatch becomes increasingly difficult to compensate. The basement membrane assembled at the epithelial–stromal interface may therefore become compositionally transitional or functionally incomplete, not because one specific basement membrane protein is absent, but because epithelial and mesenchymal cells no longer produce fully compatible sets of interacting extracellular components.</w:t>
      </w:r>
    </w:p>
    <w:p>
      <w:pPr>
        <w:spacing w:after="200" w:line="276"/>
        <w:jc w:val="both"/>
      </w:pPr>
      <w:r>
        <w:rPr>
          <w:sz w:val="22"/>
          <w:szCs w:val="22"/>
        </w:rPr>
        <w:t xml:space="preserve">This progressive desynchronization may lead to:</w:t>
      </w:r>
    </w:p>
    <w:p>
      <w:pPr>
        <w:pStyle w:val="ListParagraph"/>
        <w:numPr>
          <w:ilvl w:val="0"/>
          <w:numId w:val="1"/>
        </w:numPr>
        <w:spacing w:after="100" w:line="276"/>
      </w:pPr>
      <w:r>
        <w:t xml:space="preserve">heterogeneous or incomplete basement membrane assembly;</w:t>
      </w:r>
    </w:p>
    <w:p>
      <w:pPr>
        <w:pStyle w:val="ListParagraph"/>
        <w:numPr>
          <w:ilvl w:val="0"/>
          <w:numId w:val="1"/>
        </w:numPr>
        <w:spacing w:after="100" w:line="276"/>
      </w:pPr>
      <w:r>
        <w:t xml:space="preserve">altered integrin–ligand interactions;</w:t>
      </w:r>
    </w:p>
    <w:p>
      <w:pPr>
        <w:pStyle w:val="ListParagraph"/>
        <w:numPr>
          <w:ilvl w:val="0"/>
          <w:numId w:val="1"/>
        </w:numPr>
        <w:spacing w:after="100" w:line="276"/>
      </w:pPr>
      <w:r>
        <w:t xml:space="preserve">imbalance between extracellular matrix synthesis and degradation;</w:t>
      </w:r>
    </w:p>
    <w:p>
      <w:pPr>
        <w:pStyle w:val="ListParagraph"/>
        <w:numPr>
          <w:ilvl w:val="0"/>
          <w:numId w:val="1"/>
        </w:numPr>
        <w:spacing w:after="100" w:line="276"/>
      </w:pPr>
      <w:r>
        <w:t xml:space="preserve">persistent matrix remodeling;</w:t>
      </w:r>
    </w:p>
    <w:p>
      <w:pPr>
        <w:pStyle w:val="ListParagraph"/>
        <w:numPr>
          <w:ilvl w:val="0"/>
          <w:numId w:val="1"/>
        </w:numPr>
        <w:spacing w:after="100" w:line="276"/>
      </w:pPr>
      <w:r>
        <w:t xml:space="preserve">altered extracellular matrix organization;</w:t>
      </w:r>
    </w:p>
    <w:p>
      <w:pPr>
        <w:pStyle w:val="ListParagraph"/>
        <w:numPr>
          <w:ilvl w:val="0"/>
          <w:numId w:val="1"/>
        </w:numPr>
        <w:spacing w:after="100" w:line="276"/>
      </w:pPr>
      <w:r>
        <w:t xml:space="preserve">disturbed mechanical coupling between epithelium and stroma.</w:t>
      </w:r>
    </w:p>
    <w:p>
      <w:pPr>
        <w:spacing w:after="200" w:line="276"/>
        <w:jc w:val="both"/>
      </w:pPr>
      <w:r>
        <w:rPr>
          <w:sz w:val="22"/>
          <w:szCs w:val="22"/>
        </w:rPr>
        <w:t xml:space="preserve">These alterations are proposed to emerge as a systems-level consequence of progressive epithelial–mesenchymal desynchronization rather than as primary defects of individual extracellular matrix molecules.</w:t>
      </w:r>
    </w:p>
    <w:p>
      <w:pPr>
        <w:spacing w:after="200" w:line="276"/>
        <w:jc w:val="both"/>
      </w:pPr>
      <w:r>
        <w:rPr>
          <w:sz w:val="22"/>
          <w:szCs w:val="22"/>
        </w:rPr>
        <w:t xml:space="preserve">As long as the clone remains small, the surrounding synchronized tissue may compensate for these differences and preserve normal tissue architecture. However, once the clone exceeds a critical size, its cumulative biochemical influence may surpass the buffering capacity of the surrounding tissue. At this point, the clone increasingly modifies its own extracellular environment through reciprocal interactions with fibroblasts, inflammatory cells, and the extracellular matrix, promoting persistent remodeling of the epithelial–stromal interface [3–8].</w:t>
      </w:r>
    </w:p>
    <w:p>
      <w:pPr>
        <w:spacing w:after="200" w:line="276"/>
        <w:jc w:val="both"/>
      </w:pPr>
      <w:r>
        <w:rPr>
          <w:sz w:val="22"/>
          <w:szCs w:val="22"/>
        </w:rPr>
        <w:t xml:space="preserve">Within this framework, tissue organization undergoes a fundamental transition. During the earliest stages, clonal survival is determined primarily by competition between individual epithelial cells. Following successful expansion, the dominant process shifts toward reciprocal remodeling between the epithelial clone and the surrounding mesenchyme. The biological outcome is therefore determined not only by the intrinsic properties of the clone but also by its ability—or inability—to establish a new synchronized relationship with the basement membrane and stromal extracellular matrix.</w:t>
      </w:r>
    </w:p>
    <w:p>
      <w:pPr>
        <w:spacing w:after="100" w:before="260"/>
      </w:pPr>
      <w:r>
        <w:rPr>
          <w:b/>
          <w:bCs/>
          <w:sz w:val="21"/>
          <w:szCs w:val="21"/>
        </w:rPr>
        <w:t xml:space="preserve">References</w:t>
      </w:r>
    </w:p>
    <w:p>
      <w:pPr>
        <w:spacing w:after="60"/>
        <w:ind w:left="431" w:hanging="431"/>
      </w:pPr>
      <w:r>
        <w:rPr>
          <w:sz w:val="19"/>
          <w:szCs w:val="19"/>
        </w:rPr>
        <w:t xml:space="preserve">1. Bissell MJ, Hall HG, Parry G. How does the extracellular matrix direct gene expression? J Theor Biol. 1982;99:31–68.</w:t>
      </w:r>
    </w:p>
    <w:p>
      <w:pPr>
        <w:spacing w:after="60"/>
        <w:ind w:left="431" w:hanging="431"/>
      </w:pPr>
      <w:r>
        <w:rPr>
          <w:sz w:val="19"/>
          <w:szCs w:val="19"/>
        </w:rPr>
        <w:t xml:space="preserve">2. Bissell MJ, Hines WC. Why don't we get more cancer? A proposed role of the microenvironment in restraining cancer progression. Nat Med. 2011;17:320–329.</w:t>
      </w:r>
    </w:p>
    <w:p>
      <w:pPr>
        <w:spacing w:after="60"/>
        <w:ind w:left="431" w:hanging="431"/>
      </w:pPr>
      <w:r>
        <w:rPr>
          <w:sz w:val="19"/>
          <w:szCs w:val="19"/>
        </w:rPr>
        <w:t xml:space="preserve">3. Lu P, Weaver VM, Werb Z. The extracellular matrix: a dynamic niche in cancer progression. J Cell Biol. 2012;196:395–406.</w:t>
      </w:r>
    </w:p>
    <w:p>
      <w:pPr>
        <w:spacing w:after="60"/>
        <w:ind w:left="431" w:hanging="431"/>
      </w:pPr>
      <w:r>
        <w:rPr>
          <w:sz w:val="19"/>
          <w:szCs w:val="19"/>
        </w:rPr>
        <w:t xml:space="preserve">4. Pickup MW, Mouw JK, Weaver VM. The extracellular matrix modulates the hallmarks of cancer. EMBO Rep. 2014;15:1243–1253.</w:t>
      </w:r>
    </w:p>
    <w:p>
      <w:pPr>
        <w:spacing w:after="60"/>
        <w:ind w:left="431" w:hanging="431"/>
      </w:pPr>
      <w:r>
        <w:rPr>
          <w:sz w:val="19"/>
          <w:szCs w:val="19"/>
        </w:rPr>
        <w:t xml:space="preserve">5. Hynes RO. The extracellular matrix: not just pretty fibrils. Science. 2009;326:1216–1219.</w:t>
      </w:r>
    </w:p>
    <w:p>
      <w:pPr>
        <w:spacing w:after="60"/>
        <w:ind w:left="431" w:hanging="431"/>
      </w:pPr>
      <w:r>
        <w:rPr>
          <w:sz w:val="19"/>
          <w:szCs w:val="19"/>
        </w:rPr>
        <w:t xml:space="preserve">6. Walker C, Mojares E, Del Río Hernández A. Role of extracellular matrix in development and cancer progression. Int J Mol Sci. 2018;19:3028.</w:t>
      </w:r>
    </w:p>
    <w:p>
      <w:pPr>
        <w:spacing w:after="60"/>
        <w:ind w:left="431" w:hanging="431"/>
      </w:pPr>
      <w:r>
        <w:rPr>
          <w:sz w:val="19"/>
          <w:szCs w:val="19"/>
        </w:rPr>
        <w:t xml:space="preserve">7. Winkler J, Abisoye-Ogunniyan A, Metcalf KJ, Werb Z. Concepts of extracellular matrix remodelling in tumour progression and metastasis. Nat Commun. 2020;11:5120.</w:t>
      </w:r>
    </w:p>
    <w:p>
      <w:pPr>
        <w:spacing w:after="60"/>
        <w:ind w:left="431" w:hanging="431"/>
      </w:pPr>
      <w:r>
        <w:rPr>
          <w:sz w:val="19"/>
          <w:szCs w:val="19"/>
        </w:rPr>
        <w:t xml:space="preserve">8. Robertson-Tessi M, Gillies RJ, Gatenby RA, Anderson ARA. Impact of metabolic heterogeneity on tumor growth, invasion, and treatment outcomes. Cancer Res. 2015;75:1567–1579.</w:t>
      </w:r>
    </w:p>
    <w:p>
      <w:pPr>
        <w:pStyle w:val="Heading1"/>
        <w:spacing w:after="160" w:before="400"/>
      </w:pPr>
      <w:r>
        <w:rPr>
          <w:b/>
          <w:bCs/>
        </w:rPr>
        <w:t xml:space="preserve">9. Dormant Cells and Local Immune Silence</w:t>
      </w:r>
    </w:p>
    <w:p>
      <w:pPr>
        <w:spacing w:after="200"/>
      </w:pPr>
      <w:r>
        <w:rPr>
          <w:i/>
          <w:iCs/>
          <w:color w:val="555555"/>
          <w:sz w:val="20"/>
          <w:szCs w:val="20"/>
        </w:rPr>
        <w:t xml:space="preserve">(Dormant Cells, Architectural Shielding, and Early Immune Invisibility)</w:t>
      </w:r>
    </w:p>
    <w:p>
      <w:pPr>
        <w:spacing w:after="200" w:line="276"/>
        <w:jc w:val="both"/>
      </w:pPr>
      <w:r>
        <w:rPr>
          <w:sz w:val="22"/>
          <w:szCs w:val="22"/>
        </w:rPr>
        <w:t xml:space="preserve">Following successful establishment of a small clone, not all reversed epithelial cells necessarily remain proliferative. A fraction of the population may enter a dormant or reserve-like state characterized by prolonged survival, low proliferative activity, and the capacity to re-enter the cell cycle when environmental conditions become favorable.</w:t>
      </w:r>
    </w:p>
    <w:p>
      <w:pPr>
        <w:spacing w:after="200" w:line="276"/>
        <w:jc w:val="both"/>
      </w:pPr>
      <w:r>
        <w:rPr>
          <w:sz w:val="22"/>
          <w:szCs w:val="22"/>
        </w:rPr>
        <w:t xml:space="preserve">Dormant cells are widely recognized as an important component of cancer biology. Experimental and clinical evidence indicates that quiescent tumor cells can survive for prolonged periods, resist conventional therapies, and serve as a source of later tumor recurrence or renewed clonal expansion. In the present model, however, dormancy is interpreted primarily as an architectural rather than purely cell-autonomous phenomenon.</w:t>
      </w:r>
    </w:p>
    <w:p>
      <w:pPr>
        <w:spacing w:after="200" w:line="276"/>
        <w:jc w:val="both"/>
      </w:pPr>
      <w:r>
        <w:rPr>
          <w:sz w:val="22"/>
          <w:szCs w:val="22"/>
        </w:rPr>
        <w:t xml:space="preserve">Within a synchronized epithelial tissue, dormant cells are not freely exposed to the immune system. Instead, they remain embedded inside an organized epithelial architecture, attached to the basement membrane and surrounded by neighboring epithelial cells. Consequently, only a very limited fraction of their surface is directly exposed to immune cells or interstitial fluids.</w:t>
      </w:r>
    </w:p>
    <w:p>
      <w:pPr>
        <w:spacing w:after="200" w:line="276"/>
        <w:jc w:val="both"/>
      </w:pPr>
      <w:r>
        <w:rPr>
          <w:sz w:val="22"/>
          <w:szCs w:val="22"/>
        </w:rPr>
        <w:t xml:space="preserve">Their biological "visibility" is therefore constrained by several structural factors:</w:t>
      </w:r>
    </w:p>
    <w:p>
      <w:pPr>
        <w:pStyle w:val="ListParagraph"/>
        <w:numPr>
          <w:ilvl w:val="0"/>
          <w:numId w:val="1"/>
        </w:numPr>
        <w:spacing w:after="100" w:line="276"/>
      </w:pPr>
      <w:r>
        <w:t xml:space="preserve">their extremely small absolute number;</w:t>
      </w:r>
    </w:p>
    <w:p>
      <w:pPr>
        <w:pStyle w:val="ListParagraph"/>
        <w:numPr>
          <w:ilvl w:val="0"/>
          <w:numId w:val="1"/>
        </w:numPr>
        <w:spacing w:after="100" w:line="276"/>
      </w:pPr>
      <w:r>
        <w:t xml:space="preserve">localization within the basal epithelial compartment;</w:t>
      </w:r>
    </w:p>
    <w:p>
      <w:pPr>
        <w:pStyle w:val="ListParagraph"/>
        <w:numPr>
          <w:ilvl w:val="0"/>
          <w:numId w:val="1"/>
        </w:numPr>
        <w:spacing w:after="100" w:line="276"/>
      </w:pPr>
      <w:r>
        <w:t xml:space="preserve">preservation of epithelial polarity and tissue architecture;</w:t>
      </w:r>
    </w:p>
    <w:p>
      <w:pPr>
        <w:pStyle w:val="ListParagraph"/>
        <w:numPr>
          <w:ilvl w:val="0"/>
          <w:numId w:val="1"/>
        </w:numPr>
        <w:spacing w:after="100" w:line="276"/>
      </w:pPr>
      <w:r>
        <w:t xml:space="preserve">limited exposed cellular surface;</w:t>
      </w:r>
    </w:p>
    <w:p>
      <w:pPr>
        <w:pStyle w:val="ListParagraph"/>
        <w:numPr>
          <w:ilvl w:val="0"/>
          <w:numId w:val="1"/>
        </w:numPr>
        <w:spacing w:after="100" w:line="276"/>
      </w:pPr>
      <w:r>
        <w:t xml:space="preserve">absence of significant tissue destruction or inflammatory signaling;</w:t>
      </w:r>
    </w:p>
    <w:p>
      <w:pPr>
        <w:pStyle w:val="ListParagraph"/>
        <w:numPr>
          <w:ilvl w:val="0"/>
          <w:numId w:val="1"/>
        </w:numPr>
        <w:spacing w:after="100" w:line="276"/>
      </w:pPr>
      <w:r>
        <w:t xml:space="preserve">minimal release of damage-associated molecular patterns (DAMPs);</w:t>
      </w:r>
    </w:p>
    <w:p>
      <w:pPr>
        <w:pStyle w:val="ListParagraph"/>
        <w:numPr>
          <w:ilvl w:val="0"/>
          <w:numId w:val="1"/>
        </w:numPr>
        <w:spacing w:after="100" w:line="276"/>
      </w:pPr>
      <w:r>
        <w:t xml:space="preserve">low metabolic activity and reduced production of stress-associated molecules.</w:t>
      </w:r>
    </w:p>
    <w:p>
      <w:pPr>
        <w:spacing w:after="200" w:line="276"/>
        <w:jc w:val="both"/>
      </w:pPr>
      <w:r>
        <w:rPr>
          <w:sz w:val="22"/>
          <w:szCs w:val="22"/>
        </w:rPr>
        <w:t xml:space="preserve">Under these conditions, the earliest dormant cells are unlikely to generate sufficient local disturbance to initiate a robust immune response. Their persistence is therefore determined primarily by local tissue architecture rather than by immune escape mechanisms.</w:t>
      </w:r>
    </w:p>
    <w:p>
      <w:pPr>
        <w:spacing w:after="200" w:line="276"/>
        <w:jc w:val="both"/>
      </w:pPr>
      <w:r>
        <w:rPr>
          <w:sz w:val="22"/>
          <w:szCs w:val="22"/>
        </w:rPr>
        <w:t xml:space="preserve">We provisionally refer to this predicted reduction in effective immune exposure as architectural immune shielding — a hypothesis of the present model rather than an established mechanism. Immune invisibility is considered to arise not because dormant cells actively suppress immune recognition, but because their anatomical localization and extremely small interacting surface are predicted to limit effective immune surveillance.</w:t>
      </w:r>
    </w:p>
    <w:p>
      <w:pPr>
        <w:spacing w:after="200" w:line="276"/>
        <w:jc w:val="both"/>
      </w:pPr>
      <w:r>
        <w:rPr>
          <w:sz w:val="22"/>
          <w:szCs w:val="22"/>
        </w:rPr>
        <w:t xml:space="preserve">As the clone enlarges, this architectural protection progressively decreases. Increasing clone size expands the total interface between altered cells and the surrounding tissue, increases metabolic activity, promotes extracellular matrix remodeling, and enhances the probability of releasing inflammatory mediators and neoantigens. Stromal activation, vascular remodeling, and recruitment of immune cells consequently become progressively more important determinants of clonal fate.</w:t>
      </w:r>
    </w:p>
    <w:p>
      <w:pPr>
        <w:spacing w:after="200" w:line="276"/>
        <w:jc w:val="both"/>
      </w:pPr>
      <w:r>
        <w:rPr>
          <w:sz w:val="22"/>
          <w:szCs w:val="22"/>
        </w:rPr>
        <w:t xml:space="preserve">Dormancy therefore represents a dynamic equilibrium between two opposing processes. On one side, synchronized tissue architecture maintains structural concealment and suppresses unnecessary immune activation. On the other, progressive architectural desynchronization and increasing clonal mass gradually expose the clone to immune surveillance and stromal regulation.</w:t>
      </w:r>
    </w:p>
    <w:p>
      <w:pPr>
        <w:spacing w:after="200" w:line="276"/>
        <w:jc w:val="both"/>
      </w:pPr>
      <w:r>
        <w:rPr>
          <w:sz w:val="22"/>
          <w:szCs w:val="22"/>
        </w:rPr>
        <w:t xml:space="preserve">It should be emphasized that most direct experimental and clinical evidence for cancer-cell dormancy concerns disseminated tumor cells at distant sites rather than small clones retained within an intact epithelial compartment. This literature therefore supports the general plausibility of prolonged cellular quiescence, but it does not by itself establish the architectural shielding mechanism proposed here, which remains a prediction of the model rather than a demonstrated phenomenon.</w:t>
      </w:r>
    </w:p>
    <w:p>
      <w:pPr>
        <w:spacing w:after="200" w:line="276"/>
        <w:jc w:val="both"/>
      </w:pPr>
      <w:r>
        <w:rPr>
          <w:sz w:val="22"/>
          <w:szCs w:val="22"/>
        </w:rPr>
        <w:t xml:space="preserve">In this model, dormant cells are not passive survivors but constitute a long-lived reserve population capable of sustaining future clonal evolution whenever regenerative activation, tissue injury, or alterations of epithelial–stromal synchronization recreate permissive architectural conditions.</w:t>
      </w:r>
    </w:p>
    <w:p>
      <w:pPr>
        <w:spacing w:after="100" w:before="260"/>
      </w:pPr>
      <w:r>
        <w:rPr>
          <w:b/>
          <w:bCs/>
          <w:sz w:val="21"/>
          <w:szCs w:val="21"/>
        </w:rPr>
        <w:t xml:space="preserve">References</w:t>
      </w:r>
    </w:p>
    <w:p>
      <w:pPr>
        <w:spacing w:after="60"/>
        <w:ind w:left="431" w:hanging="431"/>
      </w:pPr>
      <w:r>
        <w:rPr>
          <w:sz w:val="19"/>
          <w:szCs w:val="19"/>
        </w:rPr>
        <w:t xml:space="preserve">1. Aguirre-Ghiso JA. Models, mechanisms and clinical evidence for cancer dormancy. Nat Rev Cancer. 2007;7:834–846.</w:t>
      </w:r>
    </w:p>
    <w:p>
      <w:pPr>
        <w:spacing w:after="60"/>
        <w:ind w:left="431" w:hanging="431"/>
      </w:pPr>
      <w:r>
        <w:rPr>
          <w:sz w:val="19"/>
          <w:szCs w:val="19"/>
        </w:rPr>
        <w:t xml:space="preserve">2. Phan TG, Croucher PI. The dormant cancer cell life cycle. Nat Rev Cancer. 2020;20:398–411.</w:t>
      </w:r>
    </w:p>
    <w:p>
      <w:pPr>
        <w:spacing w:after="60"/>
        <w:ind w:left="431" w:hanging="431"/>
      </w:pPr>
      <w:r>
        <w:rPr>
          <w:sz w:val="19"/>
          <w:szCs w:val="19"/>
        </w:rPr>
        <w:t xml:space="preserve">3. Sosa MS, Bragado P, Aguirre-Ghiso JA. Mechanisms of disseminated cancer cell dormancy: an awakening field. Nat Rev Cancer. 2014;14:611–622.</w:t>
      </w:r>
    </w:p>
    <w:p>
      <w:pPr>
        <w:spacing w:after="60"/>
        <w:ind w:left="431" w:hanging="431"/>
      </w:pPr>
      <w:r>
        <w:rPr>
          <w:sz w:val="19"/>
          <w:szCs w:val="19"/>
        </w:rPr>
        <w:t xml:space="preserve">4. van Neerven SM, Vermeulen L. Cell competition in development, homeostasis and cancer. Nat Rev Mol Cell Biol. 2023;24:221–236.</w:t>
      </w:r>
    </w:p>
    <w:p>
      <w:pPr>
        <w:spacing w:after="60"/>
        <w:ind w:left="431" w:hanging="431"/>
      </w:pPr>
      <w:r>
        <w:rPr>
          <w:sz w:val="19"/>
          <w:szCs w:val="19"/>
        </w:rPr>
        <w:t xml:space="preserve">5. Colom B, Herms A, Hall MWJ, et al. Mutant clones in normal epithelium outcompete and eliminate emerging tumours. Nature. 2021;598:510–514.</w:t>
      </w:r>
    </w:p>
    <w:p>
      <w:pPr>
        <w:spacing w:after="60"/>
        <w:ind w:left="431" w:hanging="431"/>
      </w:pPr>
      <w:r>
        <w:rPr>
          <w:sz w:val="19"/>
          <w:szCs w:val="19"/>
        </w:rPr>
        <w:t xml:space="preserve">6. Schreiber RD, Old LJ, Smyth MJ. Cancer immunoediting: integrating immunity's roles in cancer suppression and promotion. Science. 2011;331:1565–1570.</w:t>
      </w:r>
    </w:p>
    <w:p>
      <w:pPr>
        <w:spacing w:after="60"/>
        <w:ind w:left="431" w:hanging="431"/>
      </w:pPr>
      <w:r>
        <w:rPr>
          <w:sz w:val="19"/>
          <w:szCs w:val="19"/>
        </w:rPr>
        <w:t xml:space="preserve">7. Binnewies M, Roberts EW, Kersten K, et al. Understanding the tumor immune microenvironment (TIME) for effective therapy. Nat Med. 2018;24:541–550.</w:t>
      </w:r>
    </w:p>
    <w:p>
      <w:pPr>
        <w:pStyle w:val="Heading1"/>
        <w:spacing w:after="160" w:before="400"/>
      </w:pPr>
      <w:r>
        <w:rPr>
          <w:b/>
          <w:bCs/>
        </w:rPr>
        <w:t xml:space="preserve">10. Clonal Competition Before Basement Membrane Failure (Interclonal Competition After Clonal Establishment)</w:t>
      </w:r>
    </w:p>
    <w:p>
      <w:pPr>
        <w:spacing w:after="200"/>
      </w:pPr>
      <w:r>
        <w:rPr>
          <w:i/>
          <w:iCs/>
          <w:color w:val="555555"/>
          <w:sz w:val="20"/>
          <w:szCs w:val="20"/>
        </w:rPr>
        <w:t xml:space="preserve">(Progressive Superficial Clonal Growth without Critical Basement-Membrane Disruption)</w:t>
      </w:r>
    </w:p>
    <w:p>
      <w:pPr>
        <w:spacing w:after="200" w:line="276"/>
        <w:jc w:val="both"/>
      </w:pPr>
      <w:r>
        <w:rPr>
          <w:sz w:val="22"/>
          <w:szCs w:val="22"/>
        </w:rPr>
        <w:t xml:space="preserve">The competitive dynamics considered in this section operate at the scale of an already-established clonal domain rather than a single cell, and are therefore distinct from — though continuous with — the single-cell competition described in Section 5.</w:t>
      </w:r>
    </w:p>
    <w:p>
      <w:pPr>
        <w:spacing w:after="200" w:line="276"/>
        <w:jc w:val="both"/>
      </w:pPr>
      <w:r>
        <w:rPr>
          <w:sz w:val="22"/>
          <w:szCs w:val="22"/>
        </w:rPr>
        <w:t xml:space="preserve">If a small epithelial clone escapes early elimination, its initial persistence and expansion do not necessarily require critical disruption of the basement membrane. The clone may spread laterally within the epithelial compartment while the basement membrane remains sufficiently continuous to preserve the general separation between the epithelium and the underlying stroma.</w:t>
      </w:r>
    </w:p>
    <w:p>
      <w:pPr>
        <w:spacing w:after="200" w:line="276"/>
        <w:jc w:val="both"/>
      </w:pPr>
      <w:r>
        <w:rPr>
          <w:sz w:val="22"/>
          <w:szCs w:val="22"/>
        </w:rPr>
        <w:t xml:space="preserve">At this stage, clonal growth is predominantly superficial. Clonal cells compete with neighboring epithelial populations for basal-surface occupancy, access to nutrients and growth factors, mechanical stability, and available tissue area. Expansion may occur through progressive replacement, displacement, differentiation imbalance, or competitive elimination of adjacent cells.</w:t>
      </w:r>
    </w:p>
    <w:p>
      <w:pPr>
        <w:spacing w:after="200" w:line="276"/>
        <w:jc w:val="both"/>
      </w:pPr>
      <w:r>
        <w:rPr>
          <w:sz w:val="22"/>
          <w:szCs w:val="22"/>
        </w:rPr>
        <w:t xml:space="preserve">The basement membrane should not be regarded as completely unchanged. It may undergo local remodeling, altered protein deposition, limited proteolysis, receptor–ligand mismatch, or changes in mechanical coupling. However, these changes remain below the threshold of critical architectural failure. The basement membrane continues to function as a compartmental boundary, and the clone remains non-invasive.</w:t>
      </w:r>
    </w:p>
    <w:p>
      <w:pPr>
        <w:spacing w:after="200" w:line="276"/>
        <w:jc w:val="both"/>
      </w:pPr>
      <w:r>
        <w:rPr>
          <w:sz w:val="22"/>
          <w:szCs w:val="22"/>
        </w:rPr>
        <w:t xml:space="preserve">This distinction is biologically important. Intraepithelial neoplasia and carcinoma in situ may occupy a substantial epithelial area while remaining confined above an essentially intact basement membrane. Breaching the basement membrane represents a separate transition to stromal invasion rather than a prerequisite for early clonal persistence or lateral epithelial expansion.</w:t>
      </w:r>
    </w:p>
    <w:p>
      <w:pPr>
        <w:spacing w:after="200" w:line="276"/>
        <w:jc w:val="both"/>
      </w:pPr>
      <w:r>
        <w:rPr>
          <w:sz w:val="22"/>
          <w:szCs w:val="22"/>
        </w:rPr>
        <w:t xml:space="preserve">Several trajectories are possible.</w:t>
      </w:r>
    </w:p>
    <w:p>
      <w:pPr>
        <w:pStyle w:val="Heading3"/>
        <w:spacing w:after="120" w:before="260"/>
      </w:pPr>
      <w:r>
        <w:rPr>
          <w:b/>
          <w:bCs/>
        </w:rPr>
        <w:t xml:space="preserve">10.1 Clonal elimination</w:t>
      </w:r>
    </w:p>
    <w:p>
      <w:pPr>
        <w:spacing w:after="200" w:line="276"/>
        <w:jc w:val="both"/>
      </w:pPr>
      <w:r>
        <w:rPr>
          <w:sz w:val="22"/>
          <w:szCs w:val="22"/>
        </w:rPr>
        <w:t xml:space="preserve">The surrounding synchronized epithelium may retain a higher relative fitness and progressively eliminate the emerging clone. Clonal cells may undergo apoptosis, terminal differentiation, apical extrusion, or displacement from the basal proliferative compartment.</w:t>
      </w:r>
    </w:p>
    <w:p>
      <w:pPr>
        <w:spacing w:after="200" w:line="276"/>
        <w:jc w:val="both"/>
      </w:pPr>
      <w:r>
        <w:rPr>
          <w:sz w:val="22"/>
          <w:szCs w:val="22"/>
        </w:rPr>
        <w:t xml:space="preserve">Experimental models demonstrate that normal or competing mutant epithelial clones can eliminate newly arising premalignant lesions through competition for basal territory. Thus, possession of an oncogenic alteration does not guarantee long-term clonal survival.</w:t>
      </w:r>
    </w:p>
    <w:p>
      <w:pPr>
        <w:pStyle w:val="Heading3"/>
        <w:spacing w:after="120" w:before="260"/>
      </w:pPr>
      <w:r>
        <w:rPr>
          <w:b/>
          <w:bCs/>
        </w:rPr>
        <w:t xml:space="preserve">10.2 Dynamic clonal stability</w:t>
      </w:r>
    </w:p>
    <w:p>
      <w:pPr>
        <w:spacing w:after="200" w:line="276"/>
        <w:jc w:val="both"/>
      </w:pPr>
      <w:r>
        <w:rPr>
          <w:sz w:val="22"/>
          <w:szCs w:val="22"/>
        </w:rPr>
        <w:t xml:space="preserve">The clone may persist within a mosaic epithelium without continuous net expansion. Cell production within the clone is balanced by differentiation, extrusion, apoptosis, and competitive loss at its borders.</w:t>
      </w:r>
    </w:p>
    <w:p>
      <w:pPr>
        <w:spacing w:after="200" w:line="276"/>
        <w:jc w:val="both"/>
      </w:pPr>
      <w:r>
        <w:rPr>
          <w:sz w:val="22"/>
          <w:szCs w:val="22"/>
        </w:rPr>
        <w:t xml:space="preserve">Such a clone may remain detectable for a prolonged period while occupying a relatively stable territory. Its persistence represents dynamic equilibrium rather than true cellular inactivity. The epithelial field remains mosaic, with neighboring clones continuously competing for space and attachment to the basal compartment.</w:t>
      </w:r>
    </w:p>
    <w:p>
      <w:pPr>
        <w:pStyle w:val="Heading3"/>
        <w:spacing w:after="120" w:before="260"/>
      </w:pPr>
      <w:r>
        <w:rPr>
          <w:b/>
          <w:bCs/>
        </w:rPr>
        <w:t xml:space="preserve">10.3 Progressive superficial expansion</w:t>
      </w:r>
    </w:p>
    <w:p>
      <w:pPr>
        <w:spacing w:after="200" w:line="276"/>
        <w:jc w:val="both"/>
      </w:pPr>
      <w:r>
        <w:rPr>
          <w:sz w:val="22"/>
          <w:szCs w:val="22"/>
        </w:rPr>
        <w:t xml:space="preserve">A clone with increased relative fitness may gradually occupy a larger epithelial area while remaining above an essentially continuous basement membrane.</w:t>
      </w:r>
    </w:p>
    <w:p>
      <w:pPr>
        <w:spacing w:after="200" w:line="276"/>
        <w:jc w:val="both"/>
      </w:pPr>
      <w:r>
        <w:rPr>
          <w:sz w:val="22"/>
          <w:szCs w:val="22"/>
        </w:rPr>
        <w:t xml:space="preserve">This trajectory may be favored by:</w:t>
      </w:r>
    </w:p>
    <w:p>
      <w:pPr>
        <w:pStyle w:val="ListParagraph"/>
        <w:numPr>
          <w:ilvl w:val="0"/>
          <w:numId w:val="1"/>
        </w:numPr>
        <w:spacing w:after="100" w:line="276"/>
      </w:pPr>
      <w:r>
        <w:t xml:space="preserve">increased proliferative persistence;</w:t>
      </w:r>
    </w:p>
    <w:p>
      <w:pPr>
        <w:pStyle w:val="ListParagraph"/>
        <w:numPr>
          <w:ilvl w:val="0"/>
          <w:numId w:val="1"/>
        </w:numPr>
        <w:spacing w:after="100" w:line="276"/>
      </w:pPr>
      <w:r>
        <w:t xml:space="preserve">reduced probability of terminal differentiation;</w:t>
      </w:r>
    </w:p>
    <w:p>
      <w:pPr>
        <w:pStyle w:val="ListParagraph"/>
        <w:numPr>
          <w:ilvl w:val="0"/>
          <w:numId w:val="1"/>
        </w:numPr>
        <w:spacing w:after="100" w:line="276"/>
      </w:pPr>
      <w:r>
        <w:t xml:space="preserve">resistance to apoptosis or extrusion;</w:t>
      </w:r>
    </w:p>
    <w:p>
      <w:pPr>
        <w:pStyle w:val="ListParagraph"/>
        <w:numPr>
          <w:ilvl w:val="0"/>
          <w:numId w:val="1"/>
        </w:numPr>
        <w:spacing w:after="100" w:line="276"/>
      </w:pPr>
      <w:r>
        <w:t xml:space="preserve">improved attachment to the basement membrane;</w:t>
      </w:r>
    </w:p>
    <w:p>
      <w:pPr>
        <w:pStyle w:val="ListParagraph"/>
        <w:numPr>
          <w:ilvl w:val="0"/>
          <w:numId w:val="1"/>
        </w:numPr>
        <w:spacing w:after="100" w:line="276"/>
      </w:pPr>
      <w:r>
        <w:t xml:space="preserve">more efficient use of glucose, oxygen, or local growth signals;</w:t>
      </w:r>
    </w:p>
    <w:p>
      <w:pPr>
        <w:pStyle w:val="ListParagraph"/>
        <w:numPr>
          <w:ilvl w:val="0"/>
          <w:numId w:val="1"/>
        </w:numPr>
        <w:spacing w:after="100" w:line="276"/>
      </w:pPr>
      <w:r>
        <w:t xml:space="preserve">altered mechanical interaction with neighboring cells;</w:t>
      </w:r>
    </w:p>
    <w:p>
      <w:pPr>
        <w:pStyle w:val="ListParagraph"/>
        <w:numPr>
          <w:ilvl w:val="0"/>
          <w:numId w:val="1"/>
        </w:numPr>
        <w:spacing w:after="100" w:line="276"/>
      </w:pPr>
      <w:r>
        <w:t xml:space="preserve">competitive displacement of adjacent epithelial populations.</w:t>
      </w:r>
    </w:p>
    <w:p>
      <w:pPr>
        <w:spacing w:after="200" w:line="276"/>
        <w:jc w:val="both"/>
      </w:pPr>
      <w:r>
        <w:rPr>
          <w:sz w:val="22"/>
          <w:szCs w:val="22"/>
        </w:rPr>
        <w:t xml:space="preserve">Expansion in this phase occurs primarily within the epithelial plane. The clone enlarges through lateral territorial capture rather than through immediate downward invasion.</w:t>
      </w:r>
    </w:p>
    <w:p>
      <w:pPr>
        <w:pStyle w:val="Heading3"/>
        <w:spacing w:after="120" w:before="260"/>
      </w:pPr>
      <w:r>
        <w:rPr>
          <w:b/>
          <w:bCs/>
        </w:rPr>
        <w:t xml:space="preserve">10.4 Regeneration-assisted expansion</w:t>
      </w:r>
    </w:p>
    <w:p>
      <w:pPr>
        <w:spacing w:after="200" w:line="276"/>
        <w:jc w:val="both"/>
      </w:pPr>
      <w:r>
        <w:rPr>
          <w:sz w:val="22"/>
          <w:szCs w:val="22"/>
        </w:rPr>
        <w:t xml:space="preserve">Repeated injury introduces a different clonal environment. Tissue damage may temporarily remove differentiated cells, create unoccupied epithelial surface, weaken local competition, and activate matrix and stromal remodeling.</w:t>
      </w:r>
    </w:p>
    <w:p>
      <w:pPr>
        <w:spacing w:after="200" w:line="276"/>
        <w:jc w:val="both"/>
      </w:pPr>
      <w:r>
        <w:rPr>
          <w:sz w:val="22"/>
          <w:szCs w:val="22"/>
        </w:rPr>
        <w:t xml:space="preserve">A clone located near the damaged region may then expand into newly available territory without first displacing a fully established epithelial population. Regeneration can therefore convert a strongly competitive environment into a temporarily permissive one.</w:t>
      </w:r>
    </w:p>
    <w:p>
      <w:pPr>
        <w:spacing w:after="200" w:line="276"/>
        <w:jc w:val="both"/>
      </w:pPr>
      <w:r>
        <w:rPr>
          <w:sz w:val="22"/>
          <w:szCs w:val="22"/>
        </w:rPr>
        <w:t xml:space="preserve">Wound-healing studies demonstrate that epithelial injury can produce large, punctuated clonal expansions by allowing surviving founder cells to repopulate damaged territory. The resulting expansion may initially be neutral with respect to genotype, but clones possessing greater regenerative fitness may exploit this opportunity more effectively.</w:t>
      </w:r>
    </w:p>
    <w:p>
      <w:pPr>
        <w:spacing w:after="200" w:line="276"/>
        <w:jc w:val="both"/>
      </w:pPr>
      <w:r>
        <w:rPr>
          <w:sz w:val="22"/>
          <w:szCs w:val="22"/>
        </w:rPr>
        <w:t xml:space="preserve">Repeated injury may consequently promote stepwise superficial growth: injury creates vacant territory; surviving clones expand into that territory; epithelial density is restored; competition resumes; and a subsequent injury creates another opportunity for territorial capture.</w:t>
      </w:r>
    </w:p>
    <w:p>
      <w:pPr>
        <w:pStyle w:val="Heading3"/>
        <w:spacing w:after="120" w:before="260"/>
      </w:pPr>
      <w:r>
        <w:rPr>
          <w:b/>
          <w:bCs/>
        </w:rPr>
        <w:t xml:space="preserve">10.5 Transition toward persistent architectural desynchronization</w:t>
      </w:r>
    </w:p>
    <w:p>
      <w:pPr>
        <w:spacing w:after="200" w:line="276"/>
        <w:jc w:val="both"/>
      </w:pPr>
      <w:r>
        <w:rPr>
          <w:sz w:val="22"/>
          <w:szCs w:val="22"/>
        </w:rPr>
        <w:t xml:space="preserve">As the clone expands, its interaction with the basement membrane, neighboring epithelial cells, and stromal compartment may become progressively less compatible.</w:t>
      </w:r>
    </w:p>
    <w:p>
      <w:pPr>
        <w:spacing w:after="200" w:line="276"/>
        <w:jc w:val="both"/>
      </w:pPr>
      <w:r>
        <w:rPr>
          <w:sz w:val="22"/>
          <w:szCs w:val="22"/>
        </w:rPr>
        <w:t xml:space="preserve">Local basement-membrane remodeling may increase even while overall continuity is preserved. Receptor distribution, hemidesmosomal organization, matrix composition, epithelial polarity, and mechanical coupling may increasingly diverge from those of the surrounding mature epithelium.</w:t>
      </w:r>
    </w:p>
    <w:p>
      <w:pPr>
        <w:spacing w:after="200" w:line="276"/>
        <w:jc w:val="both"/>
      </w:pPr>
      <w:r>
        <w:rPr>
          <w:sz w:val="22"/>
          <w:szCs w:val="22"/>
        </w:rPr>
        <w:t xml:space="preserve">The clone may therefore remain anatomically non-invasive while becoming architecturally desynchronized. This creates an intermediate state between normal epithelial mosaicism and true stromal invasion.</w:t>
      </w:r>
    </w:p>
    <w:p>
      <w:pPr>
        <w:spacing w:after="200" w:line="276"/>
        <w:jc w:val="both"/>
      </w:pPr>
      <w:r>
        <w:rPr>
          <w:sz w:val="22"/>
          <w:szCs w:val="22"/>
        </w:rPr>
        <w:t xml:space="preserve">The principal selective pressures during this period arise from:</w:t>
      </w:r>
    </w:p>
    <w:p>
      <w:pPr>
        <w:pStyle w:val="ListParagraph"/>
        <w:numPr>
          <w:ilvl w:val="0"/>
          <w:numId w:val="1"/>
        </w:numPr>
        <w:spacing w:after="100" w:line="276"/>
      </w:pPr>
      <w:r>
        <w:t xml:space="preserve">competition with neighboring epithelial cells;</w:t>
      </w:r>
    </w:p>
    <w:p>
      <w:pPr>
        <w:pStyle w:val="ListParagraph"/>
        <w:numPr>
          <w:ilvl w:val="0"/>
          <w:numId w:val="1"/>
        </w:numPr>
        <w:spacing w:after="100" w:line="276"/>
      </w:pPr>
      <w:r>
        <w:t xml:space="preserve">access to basal attachment sites;</w:t>
      </w:r>
    </w:p>
    <w:p>
      <w:pPr>
        <w:pStyle w:val="ListParagraph"/>
        <w:numPr>
          <w:ilvl w:val="0"/>
          <w:numId w:val="1"/>
        </w:numPr>
        <w:spacing w:after="100" w:line="276"/>
      </w:pPr>
      <w:r>
        <w:t xml:space="preserve">availability of space and metabolic resources;</w:t>
      </w:r>
    </w:p>
    <w:p>
      <w:pPr>
        <w:pStyle w:val="ListParagraph"/>
        <w:numPr>
          <w:ilvl w:val="0"/>
          <w:numId w:val="1"/>
        </w:numPr>
        <w:spacing w:after="100" w:line="276"/>
      </w:pPr>
      <w:r>
        <w:t xml:space="preserve">resistance to extrusion and differentiation;</w:t>
      </w:r>
    </w:p>
    <w:p>
      <w:pPr>
        <w:pStyle w:val="ListParagraph"/>
        <w:numPr>
          <w:ilvl w:val="0"/>
          <w:numId w:val="1"/>
        </w:numPr>
        <w:spacing w:after="100" w:line="276"/>
      </w:pPr>
      <w:r>
        <w:t xml:space="preserve">compatibility with the existing basement membrane;</w:t>
      </w:r>
    </w:p>
    <w:p>
      <w:pPr>
        <w:pStyle w:val="ListParagraph"/>
        <w:numPr>
          <w:ilvl w:val="0"/>
          <w:numId w:val="1"/>
        </w:numPr>
        <w:spacing w:after="100" w:line="276"/>
      </w:pPr>
      <w:r>
        <w:t xml:space="preserve">frequency and spatial distribution of tissue injury;</w:t>
      </w:r>
    </w:p>
    <w:p>
      <w:pPr>
        <w:pStyle w:val="ListParagraph"/>
        <w:numPr>
          <w:ilvl w:val="0"/>
          <w:numId w:val="1"/>
        </w:numPr>
        <w:spacing w:after="100" w:line="276"/>
      </w:pPr>
      <w:r>
        <w:t xml:space="preserve">capacity to exploit regenerative territory.</w:t>
      </w:r>
    </w:p>
    <w:p>
      <w:pPr>
        <w:spacing w:after="200" w:line="276"/>
        <w:jc w:val="both"/>
      </w:pPr>
      <w:r>
        <w:rPr>
          <w:sz w:val="22"/>
          <w:szCs w:val="22"/>
        </w:rPr>
        <w:t xml:space="preserve">Critical basement-membrane disruption should therefore be regarded as a later and distinct transition. Early clonal evolution may consist of prolonged elimination, dynamic stability, mosaic coexistence, or progressive superficial expansion within the epithelial compartment while the basement membrane remains sufficiently intact to prevent invasion.</w:t>
      </w:r>
    </w:p>
    <w:p>
      <w:pPr>
        <w:spacing w:after="100" w:before="260"/>
      </w:pPr>
      <w:r>
        <w:rPr>
          <w:b/>
          <w:bCs/>
          <w:sz w:val="21"/>
          <w:szCs w:val="21"/>
        </w:rPr>
        <w:t xml:space="preserve">References</w:t>
      </w:r>
    </w:p>
    <w:p>
      <w:pPr>
        <w:spacing w:after="60"/>
        <w:ind w:left="431" w:hanging="431"/>
      </w:pPr>
      <w:r>
        <w:rPr>
          <w:sz w:val="19"/>
          <w:szCs w:val="19"/>
        </w:rPr>
        <w:t xml:space="preserve">1. Colom B, Alcolea MP, Piedrafita G, et al. Spatial competition shapes the dynamic mutational landscape of normal esophageal epithelium. Nat Genet. 2020;52:604–614.</w:t>
      </w:r>
    </w:p>
    <w:p>
      <w:pPr>
        <w:spacing w:after="60"/>
        <w:ind w:left="431" w:hanging="431"/>
      </w:pPr>
      <w:r>
        <w:rPr>
          <w:sz w:val="19"/>
          <w:szCs w:val="19"/>
        </w:rPr>
        <w:t xml:space="preserve">2. Colom B, Herms A, Hall MWJ, et al. Mutant clones in normal epithelium outcompete and eliminate emerging tumours. Nature. 2021;598:510–514.</w:t>
      </w:r>
    </w:p>
    <w:p>
      <w:pPr>
        <w:spacing w:after="60"/>
        <w:ind w:left="431" w:hanging="431"/>
      </w:pPr>
      <w:r>
        <w:rPr>
          <w:sz w:val="19"/>
          <w:szCs w:val="19"/>
        </w:rPr>
        <w:t xml:space="preserve">3. Martincorena I, Fowler JC, Wabik A, et al. Somatic mutant clones colonize the human esophagus with age. Science. 2018;362:911–917.</w:t>
      </w:r>
    </w:p>
    <w:p>
      <w:pPr>
        <w:spacing w:after="60"/>
        <w:ind w:left="431" w:hanging="431"/>
      </w:pPr>
      <w:r>
        <w:rPr>
          <w:sz w:val="19"/>
          <w:szCs w:val="19"/>
        </w:rPr>
        <w:t xml:space="preserve">4. Martincorena I, Roshan A, Gerstung M, et al. High burden and pervasive positive selection of somatic mutations in normal human skin. Science. 2015;348:880–886.</w:t>
      </w:r>
    </w:p>
    <w:p>
      <w:pPr>
        <w:spacing w:after="60"/>
        <w:ind w:left="431" w:hanging="431"/>
      </w:pPr>
      <w:r>
        <w:rPr>
          <w:sz w:val="19"/>
          <w:szCs w:val="19"/>
        </w:rPr>
        <w:t xml:space="preserve">5. Kon S, Ishibashi K, Katoh H, et al. Cell competition with normal epithelial cells promotes apical extrusion of transformed cells through metabolic changes. Nat Cell Biol. 2017;19:530–541.</w:t>
      </w:r>
    </w:p>
    <w:p>
      <w:pPr>
        <w:spacing w:after="60"/>
        <w:ind w:left="431" w:hanging="431"/>
      </w:pPr>
      <w:r>
        <w:rPr>
          <w:sz w:val="19"/>
          <w:szCs w:val="19"/>
        </w:rPr>
        <w:t xml:space="preserve">6. Eisenhoffer GT, Loftus PD, Yoshigi M, et al. Crowding induces live cell extrusion to maintain homeostatic cell numbers in epithelia. Nature. 2012;484:546–549.</w:t>
      </w:r>
    </w:p>
    <w:p>
      <w:pPr>
        <w:spacing w:after="60"/>
        <w:ind w:left="431" w:hanging="431"/>
      </w:pPr>
      <w:r>
        <w:rPr>
          <w:sz w:val="19"/>
          <w:szCs w:val="19"/>
        </w:rPr>
        <w:t xml:space="preserve">7. Liu CY, Girish N, Gomez ML, et al. Wound-healing plasticity enables clonal expansion of founder cells in regenerating intestinal epithelium. Cell Stem Cell. 2023;30:1672–1687.e8.</w:t>
      </w:r>
    </w:p>
    <w:p>
      <w:pPr>
        <w:spacing w:after="60"/>
        <w:ind w:left="431" w:hanging="431"/>
      </w:pPr>
      <w:r>
        <w:rPr>
          <w:sz w:val="19"/>
          <w:szCs w:val="19"/>
        </w:rPr>
        <w:t xml:space="preserve">8. McGinn J, Mariani SA, Fiore VF, et al. A biomechanical switch regulates the transition towards homeostasis in oesophageal epithelium. Nat Cell Biol. 2021;23:511–525.</w:t>
      </w:r>
    </w:p>
    <w:p>
      <w:pPr>
        <w:spacing w:after="60"/>
        <w:ind w:left="431" w:hanging="431"/>
      </w:pPr>
      <w:r>
        <w:rPr>
          <w:sz w:val="19"/>
          <w:szCs w:val="19"/>
        </w:rPr>
        <w:t xml:space="preserve">9. McCandless JR, et al. A human xenograft model for testing early events of epithelial neoplastic progression. Carcinogenesis. 1997;18:1841–1848.</w:t>
      </w:r>
    </w:p>
    <w:p>
      <w:pPr>
        <w:spacing w:after="60"/>
        <w:ind w:left="431" w:hanging="431"/>
      </w:pPr>
      <w:r>
        <w:rPr>
          <w:sz w:val="19"/>
          <w:szCs w:val="19"/>
        </w:rPr>
        <w:t xml:space="preserve">10. Rush D, Hyjek E, Baergen RN, Soslow RA. Detection of microinvasion in vulvar and cervical intraepithelial neoplasia using double immunostaining for cytokeratin and basement-membrane components. Arch Pathol Lab Med. 2005;129:747–753.</w:t>
      </w:r>
    </w:p>
    <w:p>
      <w:pPr>
        <w:spacing w:after="60"/>
        <w:ind w:left="431" w:hanging="431"/>
      </w:pPr>
      <w:r>
        <w:rPr>
          <w:sz w:val="19"/>
          <w:szCs w:val="19"/>
        </w:rPr>
        <w:t xml:space="preserve">11. International Agency for Research on Cancer. Biological processes in cancer development: invasion through the basement membrane and progression from intraepithelial to invasive carcinoma. In: World Cancer Report. Lyon: IARC; 2008.</w:t>
      </w:r>
    </w:p>
    <w:p>
      <w:pPr>
        <w:spacing w:after="60"/>
        <w:ind w:left="431" w:hanging="431"/>
      </w:pPr>
      <w:r>
        <w:rPr>
          <w:sz w:val="19"/>
          <w:szCs w:val="19"/>
        </w:rPr>
        <w:t xml:space="preserve">12. Yurchenco PD. Basement membranes: cell scaffoldings and signaling platforms. Cold Spring Harb Perspect Biol. 2011;3:a004911.</w:t>
      </w:r>
    </w:p>
    <w:p>
      <w:pPr>
        <w:pStyle w:val="Heading1"/>
        <w:spacing w:after="160" w:before="400"/>
      </w:pPr>
      <w:r>
        <w:rPr>
          <w:b/>
          <w:bCs/>
        </w:rPr>
        <w:t xml:space="preserve">11. Possible Developmental Trajectories</w:t>
      </w:r>
    </w:p>
    <w:p>
      <w:pPr>
        <w:spacing w:after="200" w:line="276"/>
        <w:jc w:val="both"/>
      </w:pPr>
      <w:r>
        <w:rPr>
          <w:sz w:val="22"/>
          <w:szCs w:val="22"/>
        </w:rPr>
        <w:t xml:space="preserve">The trajectories described in the preceding sections can be summarized schematically (Figure 1). Beginning with a single architecturally inverted cell embedded in a synchronized epithelium, the pathway bifurcates first at the level of cell competition (elimination versus survival adjacent to injury), and again after regeneration-assisted clonal establishment, where the small clone may be eliminated, persist as a stable mosaic element, enter dormancy under architectural immune shielding, or expand progressively along the epithelial surface. Progressive expansion converges on a single decision point — whether the enlarging clone re-establishes synchronization with the basement membrane, extracellular matrix, and mesenchyme, or instead enters a state of persistent architectural desynchronization that constitutes the substrate for later neoplastic progression.</w:t>
      </w:r>
    </w:p>
    <w:p>
      <w:pPr>
        <w:spacing w:after="200" w:before="200"/>
        <w:jc w:val="center"/>
      </w:pPr>
      <w:r>
        <w:drawing>
          <wp:inline distT="0" distB="0" distL="0" distR="0">
            <wp:extent cx="4476750" cy="547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5476875"/>
                    </a:xfrm>
                    <a:prstGeom prst="rect">
                      <a:avLst/>
                    </a:prstGeom>
                  </pic:spPr>
                </pic:pic>
              </a:graphicData>
            </a:graphic>
          </wp:inline>
        </w:drawing>
      </w:r>
    </w:p>
    <w:p>
      <w:pPr>
        <w:pStyle w:val="Heading1"/>
        <w:spacing w:after="160" w:before="400"/>
      </w:pPr>
      <w:r>
        <w:rPr>
          <w:b/>
          <w:bCs/>
        </w:rPr>
        <w:t xml:space="preserve">12. Testable Predictions</w:t>
      </w:r>
    </w:p>
    <w:p>
      <w:pPr>
        <w:spacing w:after="200" w:line="276"/>
        <w:jc w:val="both"/>
      </w:pPr>
      <w:r>
        <w:rPr>
          <w:sz w:val="22"/>
          <w:szCs w:val="22"/>
        </w:rPr>
        <w:t xml:space="preserve">The framework developed above is only useful to the extent that it generates claims that could, in principle, be shown to be wrong. The predictions below are organized from the most directly testable to the most integrative, and are stated as predictions of the present model rather than as established findings. Several restate, in falsifiable form, points argued qualitatively in earlier sections; where a prediction as originally conceived was found to overreach the available evidence or to conflict with an earlier qualification in this article, it has been narrowed accordingly.</w:t>
      </w:r>
    </w:p>
    <w:p>
      <w:pPr>
        <w:pStyle w:val="Heading3"/>
        <w:spacing w:after="120" w:before="260"/>
      </w:pPr>
      <w:r>
        <w:rPr>
          <w:b/>
          <w:bCs/>
        </w:rPr>
        <w:t xml:space="preserve">Prediction 1. Size-dependent architectural buffering</w:t>
      </w:r>
    </w:p>
    <w:p>
      <w:pPr>
        <w:spacing w:after="200" w:line="276"/>
        <w:jc w:val="both"/>
      </w:pPr>
      <w:r>
        <w:rPr>
          <w:sz w:val="22"/>
          <w:szCs w:val="22"/>
        </w:rPr>
        <w:t xml:space="preserve">Small architecturally inverted clones will often remain phenotypically silent because the surrounding synchronized tissue compensates for local architectural mismatch (Section 8). Only once a clone exceeds a critical size should epithelial–mesenchymal desynchronization become self-amplifying. Architectural instability is therefore predicted to exhibit threshold behavior — markers of basement-membrane and stromal remodeling should remain near baseline until a critical clone size is crossed, rather than increasing in proportion to clone size throughout.</w:t>
      </w:r>
    </w:p>
    <w:p>
      <w:pPr>
        <w:pStyle w:val="Heading3"/>
        <w:spacing w:after="120" w:before="260"/>
      </w:pPr>
      <w:r>
        <w:rPr>
          <w:b/>
          <w:bCs/>
        </w:rPr>
        <w:t xml:space="preserve">Prediction 2. Regeneration increases clonal establishment independently of mutation supply</w:t>
      </w:r>
    </w:p>
    <w:p>
      <w:pPr>
        <w:spacing w:after="200" w:line="276"/>
        <w:jc w:val="both"/>
      </w:pPr>
      <w:r>
        <w:rPr>
          <w:sz w:val="22"/>
          <w:szCs w:val="22"/>
        </w:rPr>
        <w:t xml:space="preserve">Repeated tissue injury is predicted to increase the probability that an already-present inverted cell establishes a persistent clone, through the transient removal of spatial competition during regeneration (Section 6), independently of any concurrent change in mutation rate from proliferation or oxidative stress. This is a narrower claim than “injury does not affect mutation supply”: injury may well increase mutation supply through additional divisions, but the model predicts a measurable establishment effect over and above that route — for example, an increase in clone number without a proportional increase in mutational burden per clone.</w:t>
      </w:r>
    </w:p>
    <w:p>
      <w:pPr>
        <w:pStyle w:val="Heading3"/>
        <w:spacing w:after="120" w:before="260"/>
      </w:pPr>
      <w:r>
        <w:rPr>
          <w:b/>
          <w:bCs/>
        </w:rPr>
        <w:t xml:space="preserve">Prediction 3. Architectural synchronization predicts outcome better than proliferation alone</w:t>
      </w:r>
    </w:p>
    <w:p>
      <w:pPr>
        <w:spacing w:after="200" w:line="276"/>
        <w:jc w:val="both"/>
      </w:pPr>
      <w:r>
        <w:rPr>
          <w:sz w:val="22"/>
          <w:szCs w:val="22"/>
        </w:rPr>
        <w:t xml:space="preserve">Two epithelial lesions with comparable proliferative indices (e.g., similar Ki-67 fractions) are predicted to diverge in outcome according to whether epithelial–mesenchymal synchronization is restored or remains disrupted. If correct, markers of architectural compatibility (basement-membrane composition, integrin–ligand matching, stromal remodeling activity) should carry independent, and potentially greater, prognostic value than proliferation markers alone.</w:t>
      </w:r>
    </w:p>
    <w:p>
      <w:pPr>
        <w:pStyle w:val="Heading3"/>
        <w:spacing w:after="120" w:before="260"/>
      </w:pPr>
      <w:r>
        <w:rPr>
          <w:b/>
          <w:bCs/>
        </w:rPr>
        <w:t xml:space="preserve">Prediction 4. Ectopic-lesion stability tracks degree of synchronization, not just persistence</w:t>
      </w:r>
    </w:p>
    <w:p>
      <w:pPr>
        <w:spacing w:after="200" w:line="276"/>
        <w:jc w:val="both"/>
      </w:pPr>
      <w:r>
        <w:rPr>
          <w:sz w:val="22"/>
          <w:szCs w:val="22"/>
        </w:rPr>
        <w:t xml:space="preserve">Long-standing ectopic tissues such as endometriosis, endosalpingiosis, and endocervicosis are predicted to show a graded, rather than all-or-none, relationship between the degree of epithelial–stromal architectural coordination they retain and their clinical stability and longevity — consistent with the partial-synchronization view of these lesions adopted in Section 4, rather than with a claim that ectopic tissues are fully synchronized as such. Better-coordinated lesions should be more stable; the model does not predict that anatomical displacement alone is either sufficient or insufficient for instability, only that the degree of local compatibility is what carries the predictive weight.</w:t>
      </w:r>
    </w:p>
    <w:p>
      <w:pPr>
        <w:pStyle w:val="Heading3"/>
        <w:spacing w:after="120" w:before="260"/>
      </w:pPr>
      <w:r>
        <w:rPr>
          <w:b/>
          <w:bCs/>
        </w:rPr>
        <w:t xml:space="preserve">Prediction 5. Regeneration acts as a probabilistic gate, not a direct cause</w:t>
      </w:r>
    </w:p>
    <w:p>
      <w:pPr>
        <w:spacing w:after="200" w:line="276"/>
        <w:jc w:val="both"/>
      </w:pPr>
      <w:r>
        <w:rPr>
          <w:sz w:val="22"/>
          <w:szCs w:val="22"/>
        </w:rPr>
        <w:t xml:space="preserve">Regeneration is predicted not to determine clonal fate directly. Instead, each regenerative episode should transiently redistribute the relative probabilities of the competing developmental trajectories described in Section 11 (elimination, dormancy, mosaic stability, progressive expansion) without fixing which trajectory a given clone will follow. This reframes injury as a probabilistic modifier of trajectory weights rather than as a cause of carcinogenesis in the direct sense.</w:t>
      </w:r>
    </w:p>
    <w:p>
      <w:pPr>
        <w:pStyle w:val="Heading3"/>
        <w:spacing w:after="120" w:before="260"/>
      </w:pPr>
      <w:r>
        <w:rPr>
          <w:b/>
          <w:bCs/>
        </w:rPr>
        <w:t xml:space="preserve">Prediction 6. Dormant cells localize to architecturally protected niches</w:t>
      </w:r>
    </w:p>
    <w:p>
      <w:pPr>
        <w:spacing w:after="200" w:line="276"/>
        <w:jc w:val="both"/>
      </w:pPr>
      <w:r>
        <w:rPr>
          <w:sz w:val="22"/>
          <w:szCs w:val="22"/>
        </w:rPr>
        <w:t xml:space="preserve">Dormant or reserve-like cells are predicted to persist preferentially in epithelial regions that maximize architectural shielding as defined in Section 9 (basal localization, minimal exposed surface, low local tissue disturbance) rather than in regions of highest local proliferation. This predicts a measurable spatial association between markers of quiescence and markers of architectural concealment, independent of proliferative activity in the surrounding field.</w:t>
      </w:r>
    </w:p>
    <w:p>
      <w:pPr>
        <w:pStyle w:val="Heading3"/>
        <w:spacing w:after="120" w:before="260"/>
      </w:pPr>
      <w:r>
        <w:rPr>
          <w:b/>
          <w:bCs/>
        </w:rPr>
        <w:t xml:space="preserve">Prediction 7. Tissues differ in resynchronization capacity</w:t>
      </w:r>
    </w:p>
    <w:p>
      <w:pPr>
        <w:spacing w:after="200" w:line="276"/>
        <w:jc w:val="both"/>
      </w:pPr>
      <w:r>
        <w:rPr>
          <w:sz w:val="22"/>
          <w:szCs w:val="22"/>
        </w:rPr>
        <w:t xml:space="preserve">Organs and epithelial types are predicted to differ in how efficiently they restore epithelial–stromal synchronization after injury, and tissues with more efficient resynchronization should show a lower incidence of persistent architectural desynchronization despite comparable regenerative turnover. Testing this prediction requires an operational measure of resynchronization efficiency, such as the time required after experimental injury for basement-membrane composition and epithelial–stromal marker expression to return to their pre-injury baseline; tissues with shorter normalization times would be predicted to show lower rates of persistent desynchronization.</w:t>
      </w:r>
    </w:p>
    <w:p>
      <w:pPr>
        <w:pStyle w:val="Heading3"/>
        <w:spacing w:after="120" w:before="260"/>
      </w:pPr>
      <w:r>
        <w:rPr>
          <w:b/>
          <w:bCs/>
        </w:rPr>
        <w:t xml:space="preserve">Prediction 8. Architectural desynchronization precedes basement-membrane failure</w:t>
      </w:r>
    </w:p>
    <w:p>
      <w:pPr>
        <w:spacing w:after="200" w:line="276"/>
        <w:jc w:val="both"/>
      </w:pPr>
      <w:r>
        <w:rPr>
          <w:sz w:val="22"/>
          <w:szCs w:val="22"/>
        </w:rPr>
        <w:t xml:space="preserve">Markers of epithelial–mesenchymal architectural desynchronization — altered integrin–ligand pairing, heterogeneous basement-membrane composition, imbalance between matrix synthesis and degradation — are predicted to become detectable before the critical, persistent disruption of basement-membrane continuity that defines invasive progression (Section 10). If confirmed, such markers would identify a pre-invasive window with potential diagnostic value, independent of and prior to the anatomical evidence of invasion itself.</w:t>
      </w:r>
    </w:p>
    <w:p>
      <w:pPr>
        <w:spacing w:after="200" w:line="276"/>
        <w:jc w:val="both"/>
      </w:pPr>
      <w:r>
        <w:rPr>
          <w:sz w:val="22"/>
          <w:szCs w:val="22"/>
        </w:rPr>
        <w:t xml:space="preserve">Taken together, these predictions share a common structure: none of them treats architecture as determining a single outcome. Instead, each treats tissue architecture as continuously redistributing the probabilities among several possible developmental trajectories — stable mosaicism, prolonged dormancy, architectural resynchronization, progressive superficial expansion, or, in a minority of cases, transition toward malignant transformation — rather than selecting one trajectory outright. On this reading, cancer is one possible trajectory among several available to an architecturally desynchronized clone, not the inevitable consequence of desynchronization itself; this probabilistic framing is the thesis that Predictions 1, 3, 5, 6, and 8 are, collectively, designed to put at risk.</w:t>
      </w:r>
    </w:p>
    <w:p>
      <w:pPr>
        <w:pStyle w:val="Heading1"/>
        <w:spacing w:after="160" w:before="400"/>
      </w:pPr>
      <w:r>
        <w:rPr>
          <w:b/>
          <w:bCs/>
        </w:rPr>
        <w:t xml:space="preserve">13. Discussion</w:t>
      </w:r>
    </w:p>
    <w:p>
      <w:pPr>
        <w:spacing w:after="200" w:line="276"/>
        <w:jc w:val="both"/>
      </w:pPr>
      <w:r>
        <w:rPr>
          <w:sz w:val="22"/>
          <w:szCs w:val="22"/>
        </w:rPr>
        <w:t xml:space="preserve">The central argument of this article is that, prior to the critical disruption of the basement membrane and prior to substantial engagement of the immune system, the fate of an emerging epithelial clone is governed primarily by tissue architecture, local cellular dynamics, competition for epithelial territory, tissue regeneration, and the degree of synchronization maintained among the epithelium, the basement membrane, the extracellular matrix, and the mesenchyme.</w:t>
      </w:r>
    </w:p>
    <w:p>
      <w:pPr>
        <w:spacing w:after="200" w:line="276"/>
        <w:jc w:val="both"/>
      </w:pPr>
      <w:r>
        <w:rPr>
          <w:sz w:val="22"/>
          <w:szCs w:val="22"/>
        </w:rPr>
        <w:t xml:space="preserve">This framing has several implications. First, it reframes early carcinogenesis as fundamentally a problem of tissue architecture rather than a purely cell-intrinsic, mutation-driven process: an architecturally inverted cell carrying an oncogenic alteration is not thereby guaranteed clonal persistence, and a synchronized surrounding tissue can eliminate such cells regardless of genotype, as demonstrated experimentally in models of clonal competition in the esophagus and skin. Second, it identifies tissue injury and regeneration — rather than mutation acquisition itself — as the more proximate gatekeeper of clonal establishment, by transiently suspending the competitive disadvantage that inverted cells otherwise face. Third, it locates the earliest phase of immune evasion not in active immunosuppressive signaling by the clone, but in a passive, predicted architectural shielding conferred by small clonal mass, basal localization, and preserved epithelial polarity — a distinction with implications for when and how immunosurveillance mechanisms can be expected to become relevant. Finally, the model draws a conceptual boundary between architectural desynchronization and basement-membrane invasion: a clone may occupy a substantial epithelial territory, and may already be biochemically and structurally divergent from its surrounding tissue, while remaining non-invasive in the strict anatomical sense — consistent with the recognized long, often indolent natural history of intraepithelial neoplasia and carcinoma in situ.</w:t>
      </w:r>
    </w:p>
    <w:p>
      <w:pPr>
        <w:spacing w:after="200" w:line="276"/>
        <w:jc w:val="both"/>
      </w:pPr>
      <w:r>
        <w:rPr>
          <w:sz w:val="22"/>
          <w:szCs w:val="22"/>
        </w:rPr>
        <w:t xml:space="preserve">The model's novelty can be located at three levels. At the temporal level, it isolates a pre-immune, pre-invasive interval that is usually collapsed into either “initiation” or “early neoplasia” without being treated as a distinct selective regime in its own right. At the spatial level, it treats epithelial territory and basal-membrane attachment as themselves limiting, competable resources, so that clonal fate depends on access to space and not on proliferative or survival advantage alone. At the architectural level, it makes the degree of synchronization between an expanding clone and its basement membrane, extracellular matrix, and mesenchyme — rather than genotype alone — the variable that determines whether the clone regresses, stabilizes, or drifts toward a state that precedes invasion.</w:t>
      </w:r>
    </w:p>
    <w:p>
      <w:pPr>
        <w:spacing w:after="200" w:line="276"/>
        <w:jc w:val="both"/>
      </w:pPr>
      <w:r>
        <w:rPr>
          <w:sz w:val="22"/>
          <w:szCs w:val="22"/>
        </w:rPr>
        <w:t xml:space="preserve">The model is intended to sit alongside, rather than replace, several established frameworks. It shares its emphasis on relative fitness and territorial competition with cell-competition models, but extends the competing unit from single cells to an expanding clonal domain and its stromal interface. It overlaps with field cancerization in describing a tissue-wide predisposing state, but focuses on architectural compatibility rather than on the accumulation of shared mutations across a field. It is close in spirit to tissue organization field theory, which likewise treats the tissue, rather than the single cell, as the primary unit of carcinogenic causation; the present model narrows that broader claim to a specific, potentially testable architectural variable — epithelial–stromal synchronization — and to a bounded early interval. It builds on wound-healing and regeneration models of clonal expansion by proposing a specific reason injury is permissive (a transient reduction in spatial competition) rather than treating injury only as a generic proliferative stimulus. Finally, it is consistent with ecological models of clonal selection within a tissue, in which a niche's carrying capacity, rather than mutation alone, filters which clones persist.</w:t>
      </w:r>
    </w:p>
    <w:p>
      <w:pPr>
        <w:spacing w:after="200" w:line="276"/>
        <w:jc w:val="both"/>
      </w:pPr>
      <w:r>
        <w:rPr>
          <w:sz w:val="22"/>
          <w:szCs w:val="22"/>
        </w:rPr>
        <w:t xml:space="preserve">The model is necessarily schematic. It does not specify the molecular determinants that tip a given clone toward elimination, dormancy, mosaic stability, or progressive expansion, nor does it address the transition to true stromal invasion, which we regard as a distinct and later process. In particular, architectural immune shielding and the persistence of dormant intraepithelial clones are treated here as predictions of the model rather than as demonstrated mechanisms, and the boundary between local, reversible basement-membrane remodeling and its critical, persistent failure will require independent operational criteria before it can be tested empirically. The model's value, if any, lies in offering an explicit conceptual scaffold — architectural synchronization as the organizing variable — against which these later, more molecularly detailed questions can be posed.</w:t>
      </w:r>
    </w:p>
    <w:p>
      <w:pPr>
        <w:pStyle w:val="Heading1"/>
        <w:spacing w:after="160" w:before="400"/>
      </w:pPr>
      <w:r>
        <w:rPr>
          <w:b/>
          <w:bCs/>
        </w:rPr>
        <w:t xml:space="preserve">14. Conclusion</w:t>
      </w:r>
    </w:p>
    <w:p>
      <w:pPr>
        <w:spacing w:after="200" w:line="276"/>
        <w:jc w:val="both"/>
      </w:pPr>
      <w:r>
        <w:rPr>
          <w:sz w:val="22"/>
          <w:szCs w:val="22"/>
        </w:rPr>
        <w:t xml:space="preserve">Within the scope of this model, the earliest selective factor shaping the fate of an emerging clone appears to be neither the immune system nor invasion, but architectural competition within the epithelium itself. Before the basement membrane undergoes critical, persistent disruption, the evolution of an emerging clone is governed by the interplay between cellular competitiveness, tissue regeneration, and the degree to which the clone remains synchronized with the basement membrane, the extracellular matrix, and the surrounding mesenchyme. It is this early architectural stage that shapes the trajectories available to the clone going forward — clonal elimination, dynamic stability, superficial expansion, prolonged dormancy, or a transition toward progressive architectural desynchronization.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41e81c69cfc50489d3eda686ff15458574d661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2026-08-06T07:26:46.852Z</dcterms:created>
  <dcterms:modified xsi:type="dcterms:W3CDTF">2026-08-06T07:26:46.865Z</dcterms:modified>
</cp:coreProperties>
</file>

<file path=docProps/custom.xml><?xml version="1.0" encoding="utf-8"?>
<Properties xmlns="http://schemas.openxmlformats.org/officeDocument/2006/custom-properties" xmlns:vt="http://schemas.openxmlformats.org/officeDocument/2006/docPropsVTypes"/>
</file>