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left"/>
      </w:pPr>
      <w:r>
        <w:rPr>
          <w:b/>
          <w:bCs/>
          <w:sz w:val="30"/>
          <w:szCs w:val="30"/>
        </w:rPr>
        <w:t xml:space="preserve">The Glucose Limit of Avascular Growth: Functional versus Structural Resource Constraints at the Scale of the Microvascular Unit</w:t>
      </w:r>
    </w:p>
    <w:p>
      <w:pPr>
        <w:pStyle w:val="Heading1"/>
        <w:spacing w:after="160" w:before="320"/>
      </w:pPr>
      <w:r>
        <w:rPr>
          <w:b/>
          <w:bCs/>
        </w:rPr>
        <w:t xml:space="preserve">1. The unresolved scale problem in avascular tumor dormancy</w:t>
      </w:r>
    </w:p>
    <w:p>
      <w:pPr>
        <w:spacing w:after="200" w:line="276"/>
      </w:pPr>
      <w:r>
        <w:t xml:space="preserve">Since Folkman's foundational work, avascular tumor nodules and micrometastases are consistently reported to arrest growth at a characteristic diameter on the order of 1–2 mm before angiogenesis permits further expansion </w:t>
      </w:r>
      <w:r>
        <w:t xml:space="preserve">[1–4]</w:t>
      </w:r>
      <w:r>
        <w:t xml:space="preserve">. This limit has been reproduced across markedly different experimental systems — isolated perfused organs, the anterior chamber of the eye, the chick chorioallantoic membrane, and intracerebral glioma implants — with reported ceilings clustering tightly around 1 mm, and rarely exceeding 2 mm, before the tissue either remains dormant or develops peripheral neovascularization </w:t>
      </w:r>
      <w:r>
        <w:t xml:space="preserve">[1–4]</w:t>
      </w:r>
      <w:r>
        <w:t xml:space="preserve">.</w:t>
      </w:r>
    </w:p>
    <w:p>
      <w:pPr>
        <w:spacing w:after="200" w:line="276"/>
      </w:pPr>
      <w:r>
        <w:t xml:space="preserve">The standard mechanistic account attributes this ceiling to diffusion-limited oxygen delivery, following the classical Krogh cylinder model </w:t>
      </w:r>
      <w:r>
        <w:t xml:space="preserve">[5,6]</w:t>
      </w:r>
      <w:r>
        <w:t xml:space="preserve">: a single capillary can support viable tissue only within a radius of roughly 40–200 μm, depending on tissue type and metabolic demand </w:t>
      </w:r>
      <w:r>
        <w:t xml:space="preserve">[6,7]</w:t>
      </w:r>
      <w:r>
        <w:t xml:space="preserve">. This account, however, does not close the scale gap on its own. A single-capillary diffusion radius of 100–200 μm predicts an avascular ceiling on the order of 0.2–0.4 mm — smaller than the empirically observed 1–2 mm by roughly an order of magnitude. Something other than diffusion from the nearest single vessel must be setting the larger, observed scale.</w:t>
      </w:r>
    </w:p>
    <w:p>
      <w:pPr>
        <w:pStyle w:val="Heading1"/>
        <w:spacing w:after="160" w:before="320"/>
      </w:pPr>
      <w:r>
        <w:rPr>
          <w:b/>
          <w:bCs/>
        </w:rPr>
        <w:t xml:space="preserve">2. Oxygen as a function-type constraint: short range, steep gradient</w:t>
      </w:r>
    </w:p>
    <w:p>
      <w:pPr>
        <w:spacing w:after="200" w:line="276"/>
      </w:pPr>
      <w:r>
        <w:t xml:space="preserve">Oxygen delivery to tissue is properly described not by the diffusion coefficient alone but by the balance between diffusive supply and the local rate of consumption — a Thiele-modulus-type relationship. Oxidative phosphorylation is a continuous, non-deferrable demand: it cannot be stockpiled against, and the dissolved oxygen reservoir available at any point in the interstitium is small relative to the rate at which respiring tissue withdraws it. This combination — high, uninterruptible demand against a thin local reservoir — produces the short, steep depletion profile captured by the Krogh model </w:t>
      </w:r>
      <w:r>
        <w:t xml:space="preserve">[5–7]</w:t>
      </w:r>
      <w:r>
        <w:t xml:space="preserve">.</w:t>
      </w:r>
    </w:p>
    <w:p>
      <w:pPr>
        <w:spacing w:after="200" w:line="276"/>
      </w:pPr>
      <w:r>
        <w:t xml:space="preserve">It is also now recognized that the single-capillary Krogh cylinder understates the real oxygenation picture, because in resting tissue a non-trivial fraction of local oxygenation derives from the feeding </w:t>
      </w:r>
      <w:r>
        <w:rPr>
          <w:i/>
          <w:iCs/>
        </w:rPr>
        <w:t xml:space="preserve">arteriole</w:t>
      </w:r>
      <w:r>
        <w:t xml:space="preserve"> itself, not only from the downstream capillary bed — oxygen diffuses out of arteriolar walls over distances comparable to or exceeding the intercapillary spacing </w:t>
      </w:r>
      <w:r>
        <w:t xml:space="preserve">[8]</w:t>
      </w:r>
      <w:r>
        <w:t xml:space="preserve">. This observation is the first indication that the functionally relevant unit of oxygen supply is not the isolated capillary but a coordinated structure: the </w:t>
      </w:r>
      <w:r>
        <w:rPr>
          <w:i/>
          <w:iCs/>
        </w:rPr>
        <w:t xml:space="preserve">microvascular unit</w:t>
      </w:r>
      <w:r>
        <w:t xml:space="preserve"> — a terminal arteriole together with the capillary bed it feeds. In skeletal muscle this unit has been described as comprising a terminal arteriole and roughly 10–20 dependent capillaries, whose flow is coordinately regulated by the tone of the feeding arteriole </w:t>
      </w:r>
      <w:r>
        <w:t xml:space="preserve">[9]</w:t>
      </w:r>
      <w:r>
        <w:t xml:space="preserve">; comparable coordinated units, with variable capillary counts, are reported in other tissues </w:t>
      </w:r>
      <w:r>
        <w:t xml:space="preserve">[9]</w:t>
      </w:r>
      <w:r>
        <w:t xml:space="preserve">. Even accounting for this coordinated unit, however, oxygen delivery still becomes limiting close to its historically reported range — hypoxia and loss of proliferative capacity are consistently observed within roughly 100–200 μm of the nearest vessel </w:t>
      </w:r>
      <w:r>
        <w:t xml:space="preserve">[7,10]</w:t>
      </w:r>
      <w:r>
        <w:t xml:space="preserve">, well short of the ~1 mm scale of the unit itself.</w:t>
      </w:r>
    </w:p>
    <w:p>
      <w:pPr>
        <w:pStyle w:val="Heading1"/>
        <w:spacing w:after="160" w:before="320"/>
      </w:pPr>
      <w:r>
        <w:rPr>
          <w:b/>
          <w:bCs/>
        </w:rPr>
        <w:t xml:space="preserve">3. Glucose as a structure-type constraint: long range, shallow gradient</w:t>
      </w:r>
    </w:p>
    <w:p>
      <w:pPr>
        <w:spacing w:after="200" w:line="276"/>
      </w:pPr>
      <w:r>
        <w:t xml:space="preserve">Glucose transport across the same tissue volume behaves differently, and not in the direction a naive comparison of diffusion coefficients would predict. Directly measured glucose diffusion coefficients in multicellular tumor spheroids are one to two orders of magnitude </w:t>
      </w:r>
      <w:r>
        <w:rPr>
          <w:i/>
          <w:iCs/>
        </w:rPr>
        <w:t xml:space="preserve">lower</w:t>
      </w:r>
      <w:r>
        <w:t xml:space="preserve"> than the diffusion coefficient of oxygen in tissue — on the order of 2×10⁻⁷ to 1×10⁻⁶ cm²/s for glucose </w:t>
      </w:r>
      <w:r>
        <w:t xml:space="preserve">[11,12]</w:t>
      </w:r>
      <w:r>
        <w:t xml:space="preserve">, against roughly 1.5–2×10⁻⁵ cm²/s typically cited for oxygen. If diffusivity alone set the effective range, glucose should be exhausted at a shorter distance from the feeding vessel than oxygen, not a longer one.</w:t>
      </w:r>
    </w:p>
    <w:p>
      <w:pPr>
        <w:spacing w:after="200" w:line="276"/>
      </w:pPr>
      <w:r>
        <w:t xml:space="preserve">Empirically, the opposite is reported. At distances from the feeding vasculature where oxygen has already become limiting (on the order of 100–150 μm), glucose supply is described as essentially unaffected, attributed to a combination of a much larger circulating and interstitial concentration reserve and facilitated transport at the cell membrane via GLUT carriers, which lowers the effective resistance to uptake independently of bulk extracellular diffusivity </w:t>
      </w:r>
      <w:r>
        <w:t xml:space="preserve">[13]</w:t>
      </w:r>
      <w:r>
        <w:t xml:space="preserve">; direct spheroid studies likewise report that glucose and oxygen limitation are not interchangeable and can be experimentally dissociated, with central necrosis occurring under conditions where oxygen but not glucose is limiting, and vice versa </w:t>
      </w:r>
      <w:r>
        <w:t xml:space="preserve">[12]</w:t>
      </w:r>
      <w:r>
        <w:t xml:space="preserve">.</w:t>
      </w:r>
    </w:p>
    <w:p>
      <w:pPr>
        <w:spacing w:after="200" w:line="276"/>
      </w:pPr>
      <w:r>
        <w:t xml:space="preserve">The physical reading of this asymmetry parallels the biological distinction proposed here. Oxygen consumption is overwhelmingly committed to a single, continuous, real-time function — the terminal step of oxidative phosphorylation — against a minimal local reservoir, producing the short, steep, "function-type" depletion profile of Section 2. Glucose, by contrast, is drawn down for two purposes that are not exclusively bound to real-time energetic turnover: storage (as glycogen) and biosynthesis (nucleotide, lipid, and amino-acid precursors via glycolytic branch points and the pentose phosphate pathway) — that is, </w:t>
      </w:r>
      <w:r>
        <w:rPr>
          <w:i/>
          <w:iCs/>
        </w:rPr>
        <w:t xml:space="preserve">structure and remodeling</w:t>
      </w:r>
      <w:r>
        <w:t xml:space="preserve"> rather than immediate function. A demand that is partly deferrable and partly channeled into biosynthetic stock, drawing on a comparatively large reservoir with an actively assisted uptake step, produces a shallower, longer-range depletion profile than a demand that must be satisfied continuously from a thin, unassisted diffusive supply.</w:t>
      </w:r>
    </w:p>
    <w:p>
      <w:pPr>
        <w:pStyle w:val="Heading1"/>
        <w:spacing w:after="160" w:before="320"/>
      </w:pPr>
      <w:r>
        <w:rPr>
          <w:b/>
          <w:bCs/>
        </w:rPr>
        <w:t xml:space="preserve">4. The 1 mm ceiling as a glucose limit at the scale of the microvascular unit</w:t>
      </w:r>
    </w:p>
    <w:p>
      <w:pPr>
        <w:spacing w:after="200" w:line="276"/>
      </w:pPr>
      <w:r>
        <w:t xml:space="preserve">Reframed this way, the classical 1–2 mm avascular ceiling is better explained as a </w:t>
      </w:r>
      <w:r>
        <w:rPr>
          <w:i/>
          <w:iCs/>
        </w:rPr>
        <w:t xml:space="preserve">glucose</w:t>
      </w:r>
      <w:r>
        <w:t xml:space="preserve"> limit operating at the scale of the full microvascular unit (terminal arteriole plus its dependent capillary bed and draining venules), rather than an oxygen limit operating at the scale of a single capillary. The oxygen radius (~100–200 μm) is real, but it marks only the boundary past which oxidative metabolism becomes impossible within the unit — it does not mark the boundary past which the tissue becomes non-viable. Glucose, sustained by the unit's larger effective reservoir and its longer effective range, can in principle continue to support a glycolytically-adapted cell population out to the edge of the unit itself, a scale on the order of 1 mm — matching, rather than falling an order of magnitude short of, the observed avascular ceiling </w:t>
      </w:r>
      <w:r>
        <w:t xml:space="preserve">[1–4,9]</w:t>
      </w:r>
      <w:r>
        <w:t xml:space="preserve">.</w:t>
      </w:r>
    </w:p>
    <w:p>
      <w:pPr>
        <w:spacing w:after="200" w:line="276"/>
      </w:pPr>
      <w:r>
        <w:t xml:space="preserve">On this reading, the interior of an avascular nodule approaching its ceiling is expected to be oxygen-limited well before it is glucose-limited: a hypoxic, but not yet glucose-starved, core. This is consistent with the well-established observation that hypoxic tumor regions upregulate glycolytic and glucose-transport machinery (HIF-1α–driven GLUT1, hexokinase, and related targets) as a survival adaptation </w:t>
      </w:r>
      <w:r>
        <w:t xml:space="preserve">[10]</w:t>
      </w:r>
      <w:r>
        <w:t xml:space="preserve"> — the aerobic-glycolytic (Warburg) phenotype is, in this framing, not merely a metabolic inefficiency but the specific adaptation required for a cell population to keep growing once it has crossed the oxygen radius but has not yet reached the glucose radius of its microvascular unit.</w:t>
      </w:r>
    </w:p>
    <w:p>
      <w:pPr>
        <w:pStyle w:val="Heading1"/>
        <w:spacing w:after="160" w:before="320"/>
      </w:pPr>
      <w:r>
        <w:rPr>
          <w:b/>
          <w:bCs/>
        </w:rPr>
        <w:t xml:space="preserve">5. Implications for a structural growth-ceiling model</w:t>
      </w:r>
    </w:p>
    <w:p>
      <w:pPr>
        <w:spacing w:after="200" w:line="276"/>
      </w:pPr>
      <w:r>
        <w:t xml:space="preserve">For a model in which clonal expansion is limited by a fixed-maximum basal or microvascular influx rather than by an internal cell-autonomous checkpoint, this distinction matters directly: the relevant ceiling on clonal growth is set by the glucose-supply radius of the local microvascular unit, not by the (shorter) oxygen radius of the nearest single vessel. A checkpoint-bypassed, glycolytically-shifted clone is therefore expected to be able to occupy the full oxygen-hypoxic core of a microvascular unit while remaining glucose-supplied, and to encounter a hard growth ceiling only once it approaches the outer, glucose-defined boundary of that unit — at which point the outcome bifurcates, on the same logic as classical angiogenic dormancy </w:t>
      </w:r>
      <w:r>
        <w:t xml:space="preserve">[2,3]</w:t>
      </w:r>
      <w:r>
        <w:t xml:space="preserve">: a slow approach to the ceiling permits stabilization at a bounded, non-growing size, while overshoot relative to the diffusion/consumption balance of the unit permits collapse of the clone rather than a graded plateau.</w:t>
      </w:r>
    </w:p>
    <w:p>
      <w:pPr>
        <w:spacing w:after="200" w:line="276"/>
      </w:pPr>
      <w:r>
        <w:t xml:space="preserve">Two points in this argument rest on secondary or incompletely verified sourcing and should be checked against primary literature before this section is finalized: (i) the specific claim that glucose supply is unaffected at 100–150 μm where oxygen is already limiting is drawn here from a patent document citing Gillies and Gatenby rather than from their primary publications directly </w:t>
      </w:r>
      <w:r>
        <w:t xml:space="preserve">[13]</w:t>
      </w:r>
      <w:r>
        <w:t xml:space="preserve">; (ii) the "10–20 capillaries per terminal arteriole" figure for the microvascular unit is drawn from a secondary compilation and should be traced to its original physiological source before being cited as an established quantity </w:t>
      </w:r>
      <w:r>
        <w:t xml:space="preserve">[9]</w:t>
      </w:r>
      <w:r>
        <w:t xml:space="preserve">.</w:t>
      </w:r>
    </w:p>
    <w:p>
      <w:pPr>
        <w:pStyle w:val="Heading1"/>
        <w:spacing w:after="160" w:before="320"/>
      </w:pPr>
      <w:r>
        <w:rPr>
          <w:b/>
          <w:bCs/>
        </w:rPr>
        <w:t xml:space="preserve">References</w:t>
      </w:r>
    </w:p>
    <w:p>
      <w:pPr>
        <w:spacing w:after="200" w:line="276"/>
      </w:pPr>
      <w:r>
        <w:t xml:space="preserve">1. Algire GH, Chalkley HW, Legallais FY, Park HD. Vascular reactions of normal and malignant tissues in vivo. J Natl Cancer Inst. 1945;6:73–85.</w:t>
      </w:r>
    </w:p>
    <w:p>
      <w:pPr>
        <w:spacing w:after="200" w:line="276"/>
      </w:pPr>
      <w:r>
        <w:t xml:space="preserve">2. Folkman J, Cole P, Zimmerman S. Tumor behavior in isolated perfused organs: in vitro growth and metastasis of biopsy material in rabbit thyroid and canine intestinal segment. Ann Surg. 1966;164(3):491–502.</w:t>
      </w:r>
    </w:p>
    <w:p>
      <w:pPr>
        <w:spacing w:after="200" w:line="276"/>
      </w:pPr>
      <w:r>
        <w:t xml:space="preserve">3. Gimbrone MW Jr, Leapman SB, Cotran RS, Folkman J. Tumor dormancy in vivo by prevention of neovascularization. J Exp Med. 1972;136(2):261–276.</w:t>
      </w:r>
    </w:p>
    <w:p>
      <w:pPr>
        <w:spacing w:after="200" w:line="276"/>
      </w:pPr>
      <w:r>
        <w:t xml:space="preserve">4. Knighton D, Ausprunk D, Tapper D, Folkman J. Avascular and vascular phases of tumour growth in the chick embryo. Br J Cancer. 1977;35(3):347–356. Comparable early avascular size ceilings (~1 mm) are also reported for intracerebral glioma implants — verify original source (cf. Deane &amp; Lantos, cited secondarily in ref. [9]).</w:t>
      </w:r>
    </w:p>
    <w:p>
      <w:pPr>
        <w:spacing w:after="200" w:line="276"/>
      </w:pPr>
      <w:r>
        <w:t xml:space="preserve">5. Krogh A. The number and distribution of capillaries in muscles with calculations of the oxygen pressure head necessary for supplying the tissue. J Physiol. 1919;52(6):409–415.</w:t>
      </w:r>
    </w:p>
    <w:p>
      <w:pPr>
        <w:spacing w:after="200" w:line="276"/>
      </w:pPr>
      <w:r>
        <w:t xml:space="preserve">6. Role of microvessels in oxygen supply to tissue [review discussing extensions of the Krogh cylinder model to arteriolar and network-level oxygen supply]. Verify original author/journal before final citation.</w:t>
      </w:r>
    </w:p>
    <w:p>
      <w:pPr>
        <w:spacing w:after="200" w:line="276"/>
      </w:pPr>
      <w:r>
        <w:t xml:space="preserve">7. Theoretical model of oxygen transport in skeletal muscle under conditions of high oxygen demand, showing capillary PO₂ influenced by arteriolar diffusion at distances of 100 μm or more. J Appl Physiol. Verify original author/volume/year before final citation.</w:t>
      </w:r>
    </w:p>
    <w:p>
      <w:pPr>
        <w:spacing w:after="200" w:line="276"/>
      </w:pPr>
      <w:r>
        <w:t xml:space="preserve">8. [Same source as ref. 7 — arteriolar contribution to local oxygenation at distances ≥100 μm.]</w:t>
      </w:r>
    </w:p>
    <w:p>
      <w:pPr>
        <w:spacing w:after="200" w:line="276"/>
      </w:pPr>
      <w:r>
        <w:t xml:space="preserve">9. Postcapillary venule / microcirculation reference describing the terminal-arteriole–capillary "microvascular unit" (~10–20 capillaries per terminal arteriole in skeletal muscle). Secondary compilation — trace to primary physiological source before final citation.</w:t>
      </w:r>
    </w:p>
    <w:p>
      <w:pPr>
        <w:spacing w:after="200" w:line="276"/>
      </w:pPr>
      <w:r>
        <w:t xml:space="preserve">10. Modeling tumor cell adaptations to hypoxia in multicellular tumor spheroids [review noting the ~200 μm oxygen diffusion limit and HIF-driven glycolytic/GLUT1 adaptation in hypoxic tumor regions]. Verify original author/journal before final citation.</w:t>
      </w:r>
    </w:p>
    <w:p>
      <w:pPr>
        <w:spacing w:after="200" w:line="276"/>
      </w:pPr>
      <w:r>
        <w:t xml:space="preserve">11. Casciari JJ, Sotirchos SV, Sutherland RM. Glucose diffusivity in multicellular tumor spheroids. Cancer Res. 1988;48(14):3905–3909.</w:t>
      </w:r>
    </w:p>
    <w:p>
      <w:pPr>
        <w:spacing w:after="200" w:line="276"/>
      </w:pPr>
      <w:r>
        <w:t xml:space="preserve">12. Mueller-Klieser W, Freyer JP, Sutherland RM. Influence of glucose and oxygen supply conditions on the oxygenation of multicellular spheroids. Br J Cancer. 1986;53(3):345–353.</w:t>
      </w:r>
    </w:p>
    <w:p>
      <w:pPr>
        <w:spacing w:after="200" w:line="276"/>
      </w:pPr>
      <w:r>
        <w:t xml:space="preserve">13. Gillies RJ, Gatenby RA, as cited in: Targeted treatment of anaerobic cancer [patent document], regarding the ~100–150 μm distance at which oxygen but not glucose supply becomes diffusion-limited. Primary Gillies/Gatenby publication(s) to be identified and cited directly before final submission.</w:t>
      </w:r>
    </w:p>
    <w:p>
      <w:pPr>
        <w:spacing w:before="300"/>
      </w:pPr>
      <w:r>
        <w:rPr>
          <w:i/>
          <w:iCs/>
          <w:sz w:val="20"/>
          <w:szCs w:val="20"/>
        </w:rPr>
        <w:t xml:space="preserve">Editorial note: references 6–10 and 13 are drawn from search-engine snippets rather than fully resolved primary sources and are flagged in-line above; they should be traced to their original publications (author, journal, volume, year, pages) before this section is submitted anywhere. References 1–5, 11, and 12 have complete bibliographic details as retrieved and are ready for use.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2026-08-08T06:50:27.641Z</dcterms:created>
  <dcterms:modified xsi:type="dcterms:W3CDTF">2026-08-08T06:50:27.641Z</dcterms:modified>
</cp:coreProperties>
</file>

<file path=docProps/custom.xml><?xml version="1.0" encoding="utf-8"?>
<Properties xmlns="http://schemas.openxmlformats.org/officeDocument/2006/custom-properties" xmlns:vt="http://schemas.openxmlformats.org/officeDocument/2006/docPropsVTypes"/>
</file>