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rFonts w:ascii="Times New Roman" w:cs="Times New Roman" w:eastAsia="Times New Roman" w:hAnsi="Times New Roman"/>
          <w:b/>
          <w:bCs/>
          <w:sz w:val="32"/>
          <w:szCs w:val="32"/>
        </w:rPr>
        <w:t xml:space="preserve">The Primary Energetic Filter</w:t>
      </w:r>
    </w:p>
    <w:p>
      <w:pPr>
        <w:pStyle w:val="Heading2"/>
        <w:spacing w:after="120" w:before="200"/>
      </w:pPr>
      <w:r>
        <w:rPr>
          <w:rFonts w:ascii="Times New Roman" w:cs="Times New Roman" w:eastAsia="Times New Roman" w:hAnsi="Times New Roman"/>
          <w:b/>
          <w:bCs/>
          <w:sz w:val="26"/>
          <w:szCs w:val="26"/>
        </w:rPr>
        <w:t xml:space="preserve">1. The elementary unit: physiological domain versus computational approximation</w:t>
      </w:r>
    </w:p>
    <w:p>
      <w:pPr>
        <w:spacing w:after="160" w:line="276"/>
        <w:jc w:val="both"/>
      </w:pPr>
      <w:r>
        <w:rPr>
          <w:rFonts w:ascii="Times New Roman" w:cs="Times New Roman" w:eastAsia="Times New Roman" w:hAnsi="Times New Roman"/>
          <w:sz w:val="24"/>
          <w:szCs w:val="24"/>
        </w:rPr>
        <w:t xml:space="preserve">The minimal unit of analysis is not a patch of epithelium as such, but a connected complex: epithelium → basement membrane → ECM/stroma → microcirculation. Two levels of this definition should be kept explicitly distinct. The physiological unit is the microvascular (trophic) domain: a piece of tissue served by one terminal-arteriole + capillaries + venule complex, together with the adjacent stroma and basement membrane; such a unit is a recognized structure in microcirculation physiology — all capillaries fed by one terminal arteriole and drained by one venule are defined as a microvascular unit (MVU), the smallest functional unit of blood-flow regulation [3]. The computational approximation is a cube (voxel) on the order of 1×1×1 mm, by which this domain is represented in the model for discretization convenience. The two levels should not be conflated: the cube is not an anatomical structure but a way of representing the domain in computation, and the figure of 1 mm along each dimension is an order-of-magnitude rounding, not a measured tissue property.</w:t>
      </w:r>
    </w:p>
    <w:p>
      <w:pPr>
        <w:spacing w:after="160" w:line="276"/>
        <w:jc w:val="both"/>
      </w:pPr>
      <w:r>
        <w:rPr>
          <w:rFonts w:ascii="Times New Roman" w:cs="Times New Roman" w:eastAsia="Times New Roman" w:hAnsi="Times New Roman"/>
          <w:sz w:val="24"/>
          <w:szCs w:val="24"/>
        </w:rPr>
        <w:t xml:space="preserve">The domain comprises four obligatory components: (1) the epithelial sheet itself, roughly 1 mm² in area, (2) the basement membrane — a thin acellular layer (collagen IV, laminin) physically separating the epithelium from the underlying tissue, (3) the immediately adjacent ECM — the papillary layer of the lamina propria, where the capillary network itself resides, and (4) the mesodermal cells of that layer — fibroblasts and resident stromal cells that form and maintain the matrix [1,2].</w:t>
      </w:r>
    </w:p>
    <w:p>
      <w:pPr>
        <w:spacing w:after="160" w:line="276"/>
        <w:jc w:val="both"/>
      </w:pPr>
      <w:r>
        <w:rPr>
          <w:rFonts w:ascii="Times New Roman" w:cs="Times New Roman" w:eastAsia="Times New Roman" w:hAnsi="Times New Roman"/>
          <w:sz w:val="24"/>
          <w:szCs w:val="24"/>
        </w:rPr>
        <w:t xml:space="preserve">The capillary loops themselves lie anatomically shallow — directly beneath the basement membrane, in the superficial (papillary) layer of the stroma, typically within the first 100–150 µm of the epithelium [2,4] — whereas the feeding arteriole and draining venule run deeper, in the reticular layer. The rounded figure of 1 mm in vertical extent in the computational approximation therefore sets not the depth of the capillary network itself (which is markedly thinner), but the order of magnitude of the whole trophic volume — together with the supplying and draining vessel trunks and a stromal layer sufficient to accommodate them.</w:t>
      </w:r>
    </w:p>
    <w:p>
      <w:pPr>
        <w:spacing w:after="160" w:line="276"/>
        <w:jc w:val="both"/>
      </w:pPr>
      <w:r>
        <w:rPr>
          <w:rFonts w:ascii="Times New Roman" w:cs="Times New Roman" w:eastAsia="Times New Roman" w:hAnsi="Times New Roman"/>
          <w:sz w:val="24"/>
          <w:szCs w:val="24"/>
        </w:rPr>
        <w:t xml:space="preserve">The key consequence of including the ECM and mesodermal cells in the unit of analysis: the barrier between the epithelial and stromal compartments (the basement membrane) and the very possibility of its remodeling (by resident fibroblasts and via MMPs) become part of the unit's definition rather than a factor external to it — which is necessary for the later treatment of matrix remodeling as part of the established-clone mechanism (see §7).</w:t>
      </w:r>
    </w:p>
    <w:p>
      <w:pPr>
        <w:pStyle w:val="Heading2"/>
        <w:spacing w:after="120" w:before="200"/>
      </w:pPr>
      <w:r>
        <w:rPr>
          <w:rFonts w:ascii="Times New Roman" w:cs="Times New Roman" w:eastAsia="Times New Roman" w:hAnsi="Times New Roman"/>
          <w:b/>
          <w:bCs/>
          <w:sz w:val="26"/>
          <w:szCs w:val="26"/>
        </w:rPr>
        <w:t xml:space="preserve">2. The energetic budget: a model parameter, not an established physiological fact</w:t>
      </w:r>
    </w:p>
    <w:p>
      <w:pPr>
        <w:spacing w:after="160" w:line="276"/>
        <w:jc w:val="both"/>
      </w:pPr>
      <w:r>
        <w:rPr>
          <w:rFonts w:ascii="Times New Roman" w:cs="Times New Roman" w:eastAsia="Times New Roman" w:hAnsi="Times New Roman"/>
          <w:sz w:val="24"/>
          <w:szCs w:val="24"/>
        </w:rPr>
        <w:t xml:space="preserve">The system at rest is set in the model not with a margin, but at the very edge: the available glucose covers exactly the maintenance of differentiated cells and their renewal by reserve cells through division, with no surplus. This is a starting postulate of the parameterization, not an independently established physiological fact. The feasibility condition for this renewal follows from the kinetics: the reserve-cell fraction must be at least the ratio of cell-cycle time to differentiated-cell lifespan (T_cycle/τ). With the parameters used (15 h cycle, 6-day lifespan) this ratio is 15/144 ≈ 10.4%, against a reserve fraction of 10% set in the model; at this baseline parameterization the model sits at the edge of feasibility, with a minimal proliferative margin.</w:t>
      </w:r>
    </w:p>
    <w:p>
      <w:pPr>
        <w:spacing w:after="160" w:line="276"/>
        <w:jc w:val="both"/>
      </w:pPr>
      <w:r>
        <w:rPr>
          <w:rFonts w:ascii="Times New Roman" w:cs="Times New Roman" w:eastAsia="Times New Roman" w:hAnsi="Times New Roman"/>
          <w:sz w:val="24"/>
          <w:szCs w:val="24"/>
        </w:rPr>
        <w:t xml:space="preserve">The distinction is worth stressing: this is a statement about a minimal proliferative reserve under the given parameters, not about zero energetic reserve in the tissue as such. It rests on the cell-replacement budget (how many divisions are needed to keep up with attrition), not directly on the metabolic budget (whether the incoming glucose is sufficient to cover the energy expenditure of all cells with margin) being tuned the same way — the coincidence of these two budgets in the model is a consequence of the chosen parameters, not an independently demonstrated fact. The order of magnitude of the reserve fraction itself is nonetheless plausible: in the epidermis, stem cells make up around 10% of the basal-layer population [5], and the existence of a separate, normally near-non-cycling reserve stem-cell pool alongside the actively dividing one is an established concept in the intestinal epithelium [6].</w:t>
      </w:r>
    </w:p>
    <w:p>
      <w:pPr>
        <w:pStyle w:val="Heading2"/>
        <w:spacing w:after="120" w:before="200"/>
      </w:pPr>
      <w:r>
        <w:rPr>
          <w:rFonts w:ascii="Times New Roman" w:cs="Times New Roman" w:eastAsia="Times New Roman" w:hAnsi="Times New Roman"/>
          <w:b/>
          <w:bCs/>
          <w:sz w:val="26"/>
          <w:szCs w:val="26"/>
        </w:rPr>
        <w:t xml:space="preserve">3. Glucose as the modeled resource with a distinctive buffering property</w:t>
      </w:r>
    </w:p>
    <w:p>
      <w:pPr>
        <w:spacing w:after="160" w:line="276"/>
        <w:jc w:val="both"/>
      </w:pPr>
      <w:r>
        <w:rPr>
          <w:rFonts w:ascii="Times New Roman" w:cs="Times New Roman" w:eastAsia="Times New Roman" w:hAnsi="Times New Roman"/>
          <w:sz w:val="24"/>
          <w:szCs w:val="24"/>
        </w:rPr>
        <w:t xml:space="preserve">Glucose is taken in the model as the primary modeled energetic resource — not because it is assumed to be a more limiting substrate than oxygen, but because, unlike oxygen, its cellular availability is coupled to a substantial intracellular storage compartment: glycogen. Oxygen in this sense is predominantly a flow: the cell has no comparable oxygen buffer, and a local shortfall translates into a deficit almost immediately. Glucose is flow and store at once, and it is precisely the existence of a storage form that turns an instantaneous shortfall in supply into a question of how long it takes the cell to exhaust its buffer, rather than into immediate death. It is this property of glucose, not an assumed absolute priority over oxygen, that makes possible the temporal filter described in §5 and §7.</w:t>
      </w:r>
    </w:p>
    <w:p>
      <w:pPr>
        <w:pStyle w:val="Heading2"/>
        <w:spacing w:after="120" w:before="200"/>
      </w:pPr>
      <w:r>
        <w:rPr>
          <w:rFonts w:ascii="Times New Roman" w:cs="Times New Roman" w:eastAsia="Times New Roman" w:hAnsi="Times New Roman"/>
          <w:b/>
          <w:bCs/>
          <w:sz w:val="26"/>
          <w:szCs w:val="26"/>
        </w:rPr>
        <w:t xml:space="preserve">4. Reversion as a background stochastic process</w:t>
      </w:r>
    </w:p>
    <w:p>
      <w:pPr>
        <w:spacing w:after="160" w:line="276"/>
        <w:jc w:val="both"/>
      </w:pPr>
      <w:r>
        <w:rPr>
          <w:rFonts w:ascii="Times New Roman" w:cs="Times New Roman" w:eastAsia="Times New Roman" w:hAnsi="Times New Roman"/>
          <w:sz w:val="24"/>
          <w:szCs w:val="24"/>
        </w:rPr>
        <w:t xml:space="preserve">During cell division, daughter cells with a lower level of differentiation arise rarely but continuously. This is not an event induced by injury but unconditional background noise of the system: environmental conditions act as a selecting filter only after reversion has already occurred, not as its inducer. A caveat from the literature: the great majority of direct observations of epithelial cell dedifferentiation are responses to injury or to loss of the stem-cell pool [7]; a background component that does not require injury has been modeled theoretically as one of several independent mechanisms of cell-type switching, alongside induction and regulation [8], but no direct measurement of the background reversion rate in undisturbed epithelium was found in the literature.</w:t>
      </w:r>
    </w:p>
    <w:p>
      <w:pPr>
        <w:spacing w:after="160" w:line="276"/>
        <w:jc w:val="both"/>
      </w:pPr>
      <w:r>
        <w:rPr>
          <w:rFonts w:ascii="Times New Roman" w:cs="Times New Roman" w:eastAsia="Times New Roman" w:hAnsi="Times New Roman"/>
          <w:sz w:val="24"/>
          <w:szCs w:val="24"/>
        </w:rPr>
        <w:t xml:space="preserve">A practical consequence for the model follows from this: it does not need a high background reversion frequency to be meaningful. Given the very large number of divisions accumulating in a tissue over years, even a very rare event can be biologically significant. The central parameter of the model is therefore better treated not as a single 'true' value of the per-division reversion probability (P_rev/division), but as a range to be swept over several orders of magnitude — this converts the absence of an experimental estimate from a shortcoming of the model into one of its testable, tunable parameters.</w:t>
      </w:r>
    </w:p>
    <w:p>
      <w:pPr>
        <w:pStyle w:val="Heading2"/>
        <w:spacing w:after="120" w:before="200"/>
      </w:pPr>
      <w:r>
        <w:rPr>
          <w:rFonts w:ascii="Times New Roman" w:cs="Times New Roman" w:eastAsia="Times New Roman" w:hAnsi="Times New Roman"/>
          <w:b/>
          <w:bCs/>
          <w:sz w:val="26"/>
          <w:szCs w:val="26"/>
        </w:rPr>
        <w:t xml:space="preserve">5. Glycogen asymmetry: a hypothesis of a non-monotonic relationship</w:t>
      </w:r>
    </w:p>
    <w:p>
      <w:pPr>
        <w:spacing w:after="160" w:line="276"/>
        <w:jc w:val="both"/>
      </w:pPr>
      <w:r>
        <w:rPr>
          <w:rFonts w:ascii="Times New Roman" w:cs="Times New Roman" w:eastAsia="Times New Roman" w:hAnsi="Times New Roman"/>
          <w:sz w:val="24"/>
          <w:szCs w:val="24"/>
        </w:rPr>
        <w:t xml:space="preserve">The relationship between the depth of dedifferentiation and glycogen storage is not the simple 'the less differentiated the cell, the less glycogen it holds.' Over the interval from the mature differentiated cell to the moderately dedifferentiated reverted cell (reserve-cell level), the store does fall — and this is directly borne out on the very tissue modeled here by more than a century of clinical practice: glycogen content in cervical squamous epithelium cells decreases with increasing anaplasia, an observation from 1928 that underlies the Schiller/Lugol test [9] and remains the standard of colposcopy — mature, glycogen-rich stratified epithelium stains dark brown with iodine, whereas dysplastic and immature metaplastic epithelium is glycogen-poor and iodine-negative [10,11]. Moreover, the cervical reserve cells themselves are not an abstraction of the model but a specific, well-characterized histological population (subcolumnar p63/CK17-positive reserve cells of the transformation zone), regarded in the literature as the cell of origin of squamous metaplasia and as a target of HPV infection [12,13,14].</w:t>
      </w:r>
    </w:p>
    <w:p>
      <w:pPr>
        <w:spacing w:after="160" w:line="276"/>
        <w:jc w:val="both"/>
      </w:pPr>
      <w:r>
        <w:rPr>
          <w:rFonts w:ascii="Times New Roman" w:cs="Times New Roman" w:eastAsia="Times New Roman" w:hAnsi="Times New Roman"/>
          <w:sz w:val="24"/>
          <w:szCs w:val="24"/>
        </w:rPr>
        <w:t xml:space="preserve">At a deeper stage of dedifferentiation the direction appears to reverse: in undifferentiated human pluripotent stem cells (hPSCs), glycogen content is markedly higher than in their differentiated derivatives, and even higher than published levels in cancer cell lines [15]. This observation raises the possibility of a non-monotonic (U-shaped) relationship between depth of dedifferentiation and glycogen store — but it should be flagged precisely as a hypothesis, not as an established regularity. The three anchor points (mature cervical epithelium, dysplastic/metaplastic cervical epithelium, cultured hPSCs) come from entirely different biological systems, and there is no direct basis for automatically arranging them on one continuous axis 'mature → reserve-like → pluripotent': glycogen content is determined not only by depth of differentiation but also by tissue type, hormonal status, glucose availability, HIF signaling, proliferation rate, and other factors that are not matched across these three systems.</w:t>
      </w:r>
    </w:p>
    <w:p>
      <w:pPr>
        <w:spacing w:after="160" w:line="276"/>
        <w:jc w:val="both"/>
      </w:pPr>
      <w:r>
        <w:rPr>
          <w:rFonts w:ascii="Times New Roman" w:cs="Times New Roman" w:eastAsia="Times New Roman" w:hAnsi="Times New Roman"/>
          <w:sz w:val="24"/>
          <w:szCs w:val="24"/>
        </w:rPr>
        <w:t xml:space="preserve">The proposed axis variable for this hypothesis is the cell's degree of autonomy from continuous external glucose supply. A cell that remains within perfused tissue (reserve-cell-level reversion) continues to receive glucose externally and can afford a smaller buffer — hence the fall in glycogen over this interval. A cell dedifferentiated deeply enough to functionally approach a state that does not presuppose a continuous external supply channel presumably reverts to a strategy of a large self-contained store. This is a prediction still to be tested at intermediate stages of dedifferentiation, not an established fact.</w:t>
      </w:r>
    </w:p>
    <w:p>
      <w:pPr>
        <w:pStyle w:val="Heading2"/>
        <w:spacing w:after="120" w:before="200"/>
      </w:pPr>
      <w:r>
        <w:rPr>
          <w:rFonts w:ascii="Times New Roman" w:cs="Times New Roman" w:eastAsia="Times New Roman" w:hAnsi="Times New Roman"/>
          <w:b/>
          <w:bCs/>
          <w:sz w:val="26"/>
          <w:szCs w:val="26"/>
        </w:rPr>
        <w:t xml:space="preserve">6. Transition to a dormant state: energetic selection of a state, not an obligatory molecular pathway</w:t>
      </w:r>
    </w:p>
    <w:p>
      <w:pPr>
        <w:spacing w:after="160" w:line="276"/>
        <w:jc w:val="both"/>
      </w:pPr>
      <w:r>
        <w:rPr>
          <w:rFonts w:ascii="Times New Roman" w:cs="Times New Roman" w:eastAsia="Times New Roman" w:hAnsi="Times New Roman"/>
          <w:sz w:val="24"/>
          <w:szCs w:val="24"/>
        </w:rPr>
        <w:t xml:space="preserve">As reverted cells accumulate within one territory, part of them — where geometry and energetics permit — may pass from a state of reversible quiescence into a dormant one: an epigenetically locked state. A candidate molecular implementation of such a lock is NR2F1, a hub regulator of dormancy, epigenetically induced in dormancy models of head-and-neck squamous cell carcinoma and detected in disseminated tumor cells from patients with dormant disease lasting 7–18 years [16,17]. An important caveat: almost all of the evidence base for NR2F1 concerns disseminated cells in distant niches (bone marrow, lung, resection margin), not locally dedifferentiated cells within the epithelium of their origin — transferring the mechanism to the intraepithelial setting is justified by analogy (the authors themselves note the overlap between DTC dormancy mechanisms and adult stem-cell quiescence mechanisms [17]), but is not directly confirmed at this scale.</w:t>
      </w:r>
    </w:p>
    <w:p>
      <w:pPr>
        <w:spacing w:after="160" w:line="276"/>
        <w:jc w:val="both"/>
      </w:pPr>
      <w:r>
        <w:rPr>
          <w:rFonts w:ascii="Times New Roman" w:cs="Times New Roman" w:eastAsia="Times New Roman" w:hAnsi="Times New Roman"/>
          <w:sz w:val="24"/>
          <w:szCs w:val="24"/>
        </w:rPr>
        <w:t xml:space="preserve">For this reason, within the model's structure NR2F1 is best treated as one possible molecular executor of the lock, not as an obligatory link in the chain. The model's logic is more robust in the form: the energetic filter selects a cellular state, which may then be stabilized by one of several molecular mechanisms — rather than as a rigid sequence 'energetic filter → NR2F1 → dormancy,' which would be vulnerable to a single counterexample and would make the whole hypothesis dependent on one specific pathway.</w:t>
      </w:r>
    </w:p>
    <w:p>
      <w:pPr>
        <w:pStyle w:val="Heading2"/>
        <w:spacing w:after="120" w:before="200"/>
      </w:pPr>
      <w:r>
        <w:rPr>
          <w:rFonts w:ascii="Times New Roman" w:cs="Times New Roman" w:eastAsia="Times New Roman" w:hAnsi="Times New Roman"/>
          <w:b/>
          <w:bCs/>
          <w:sz w:val="26"/>
          <w:szCs w:val="26"/>
        </w:rPr>
        <w:t xml:space="preserve">7. Daily glucose fluctuation: formalizing the filter and the stage-dependent switch of regime</w:t>
      </w:r>
    </w:p>
    <w:p>
      <w:pPr>
        <w:spacing w:after="160" w:line="276"/>
        <w:jc w:val="both"/>
      </w:pPr>
      <w:r>
        <w:rPr>
          <w:rFonts w:ascii="Times New Roman" w:cs="Times New Roman" w:eastAsia="Times New Roman" w:hAnsi="Times New Roman"/>
          <w:sz w:val="24"/>
          <w:szCs w:val="24"/>
        </w:rPr>
        <w:t xml:space="preserve">Beyond the energetic deficit and the spatial deficit, daily glucose fluctuation also operates. Its effect depends on the stage reached by the population of reverted/dormant cells.</w:t>
      </w:r>
    </w:p>
    <w:p>
      <w:pPr>
        <w:spacing w:after="160" w:line="276"/>
        <w:jc w:val="both"/>
      </w:pPr>
      <w:r>
        <w:rPr>
          <w:rFonts w:ascii="Times New Roman" w:cs="Times New Roman" w:eastAsia="Times New Roman" w:hAnsi="Times New Roman"/>
          <w:sz w:val="24"/>
          <w:szCs w:val="24"/>
        </w:rPr>
        <w:t xml:space="preserve">At the </w:t>
      </w:r>
      <w:r>
        <w:rPr>
          <w:rFonts w:ascii="Times New Roman" w:cs="Times New Roman" w:eastAsia="Times New Roman" w:hAnsi="Times New Roman"/>
          <w:i/>
          <w:iCs/>
          <w:sz w:val="24"/>
          <w:szCs w:val="24"/>
        </w:rPr>
        <w:t xml:space="preserve">initiation</w:t>
      </w:r>
      <w:r>
        <w:rPr>
          <w:rFonts w:ascii="Times New Roman" w:cs="Times New Roman" w:eastAsia="Times New Roman" w:hAnsi="Times New Roman"/>
          <w:sz w:val="24"/>
          <w:szCs w:val="24"/>
        </w:rPr>
        <w:t xml:space="preserve"> stage — while the dormant pool is small, lacks its own architecture, and does not trigger secondary remodeling — the fluctuation acts as a selecting factor. Systemic (postprandial) glycemia in healthy people fluctuates by roughly 30–50% around the baseline level — a well-documented figure. But the model needs not the amplitude of systemic glycemia, but the amplitude of G_local(t) — the glucose concentration actually reaching the cell in a given microvascular unit after passing through blood → capillary → interstitium → basement membrane → cell. Equating these two amplitudes is a working assumption, not an established fact: the value built into the model should be read as a parameter to be swept, not as a value empirically anchored to the tissue.</w:t>
      </w:r>
    </w:p>
    <w:p>
      <w:pPr>
        <w:spacing w:after="160" w:line="276"/>
        <w:jc w:val="both"/>
      </w:pPr>
      <w:r>
        <w:rPr>
          <w:rFonts w:ascii="Times New Roman" w:cs="Times New Roman" w:eastAsia="Times New Roman" w:hAnsi="Times New Roman"/>
          <w:sz w:val="24"/>
          <w:szCs w:val="24"/>
        </w:rPr>
        <w:t xml:space="preserve">Both regimes — selective at the initiation stage and destabilizing at the established-clone stage (below) — reduce to the same local check over time. For cell i, denote external supply S_i(t), the intracellular buffer (glycogen) B_i(t), and metabolic demand D_i(t). While S_i(t) ≥ D_i(t), the cell does not draw on its buffer. When S_i(t) &lt; D_i(t), the deficit is covered from the buffer: B_i decreases by (D_i − S_i) per step. The cell survives as long as B_i(t) has not been driven to zero; exhaustion of the buffer under a persisting deficit moves the cell into arrest or death. The primary energetic filter as a whole is thus determined not by the absolute glucose level, but by the combination of supply, buffer, demand, and the duration of the deficit over time — Supply × Buffer × Demand × Time. This is what explains why the same drop in local glucose may have no consequence for one cell, push another into quiescence, and kill a third: the difference lies not in the drop itself but in each cell's buffer state and deficit history.</w:t>
      </w:r>
    </w:p>
    <w:p>
      <w:pPr>
        <w:spacing w:after="160" w:line="276"/>
        <w:jc w:val="both"/>
      </w:pPr>
      <w:r>
        <w:rPr>
          <w:rFonts w:ascii="Times New Roman" w:cs="Times New Roman" w:eastAsia="Times New Roman" w:hAnsi="Times New Roman"/>
          <w:sz w:val="24"/>
          <w:szCs w:val="24"/>
        </w:rPr>
        <w:t xml:space="preserve">The external supply S_i(t) itself, set in the current version of the model as a single influx parameter, in reality factors into the product of local blood flow, blood glucose concentration, and delivery efficiency across the capillary wall and interstitium: S ~ Q × C_G × E_G. The model in its present form does not separate these three components and treats them jointly as a single parameter — that is, it implicitly assumes that fluctuations in local blood flow (vasomotion, recruitment of precapillary sphincters at the terminal-arteriole level) are negligible compared with fluctuations in blood glucose concentration. This is a simplification of the current version, not an established fact, and in the general case it may be wrong: a change in local blood flow could plausibly influence G_local(t) more strongly than fluctuations in systemic glycemia do. Separating S into these three components is a direction for further development of the model.</w:t>
      </w:r>
    </w:p>
    <w:p>
      <w:pPr>
        <w:spacing w:after="160" w:line="276"/>
        <w:jc w:val="both"/>
      </w:pPr>
      <w:r>
        <w:rPr>
          <w:rFonts w:ascii="Times New Roman" w:cs="Times New Roman" w:eastAsia="Times New Roman" w:hAnsi="Times New Roman"/>
          <w:sz w:val="24"/>
          <w:szCs w:val="24"/>
        </w:rPr>
        <w:t xml:space="preserve">At the </w:t>
      </w:r>
      <w:r>
        <w:rPr>
          <w:rFonts w:ascii="Times New Roman" w:cs="Times New Roman" w:eastAsia="Times New Roman" w:hAnsi="Times New Roman"/>
          <w:i/>
          <w:iCs/>
          <w:sz w:val="24"/>
          <w:szCs w:val="24"/>
        </w:rPr>
        <w:t xml:space="preserve">established</w:t>
      </w:r>
      <w:r>
        <w:rPr>
          <w:rFonts w:ascii="Times New Roman" w:cs="Times New Roman" w:eastAsia="Times New Roman" w:hAnsi="Times New Roman"/>
          <w:sz w:val="24"/>
          <w:szCs w:val="24"/>
        </w:rPr>
        <w:t xml:space="preserve">-clone stage, once dormant cells have accumulated enough for the death of part of them to itself become a significant signal, the effect reverses: the fluctuation triggers death of cells within the already-accumulated pool. Death does not directly yield MMPs, but a danger signal — release of DAMPs/stress signals, to which the stroma and neighboring epithelium respond, and it is this stromal-epithelial response that switches on MMP activation and remodeling of the ECM/basement membrane (see §1), which reactivates the regeneration pendulum and thereby favors further progression rather than elimination of the clone. This is consistent with the long-standing concept of the tumor as 'a wound that does not heal': an established clone exploits and continues to exploit the wound-healing program without letting it complete [18]. It is also consistent with the epidemiology: high, not low, glycemic variability is consistently associated with increased cancer risk — in non-diabetic women with respect to breast cancer [19], with respect to colorectal cancer [20], and overall in patients with type 2 diabetes, from long-term monitoring of fasting glycemic variability [21]. These studies measure clinical incidence at the level of already-formed or actively progressing lesions — that is, precisely the established stage — and therefore do not contradict a protective role for fluctuations at the single-clone stage, but describe a different, later regime of the same variable. The threshold at which the regime switches from filter to destabilizer remains an open question of the model, not an established fact.</w:t>
      </w:r>
    </w:p>
    <w:p>
      <w:pPr>
        <w:pStyle w:val="Heading2"/>
        <w:spacing w:after="120" w:before="200"/>
      </w:pPr>
      <w:r>
        <w:rPr>
          <w:rFonts w:ascii="Times New Roman" w:cs="Times New Roman" w:eastAsia="Times New Roman" w:hAnsi="Times New Roman"/>
          <w:b/>
          <w:bCs/>
          <w:sz w:val="26"/>
          <w:szCs w:val="26"/>
        </w:rPr>
        <w:t xml:space="preserve">8. Central hypothesis</w:t>
      </w:r>
    </w:p>
    <w:p>
      <w:pPr>
        <w:spacing w:after="160" w:line="276"/>
        <w:jc w:val="both"/>
      </w:pPr>
      <w:r>
        <w:rPr>
          <w:rFonts w:ascii="Times New Roman" w:cs="Times New Roman" w:eastAsia="Times New Roman" w:hAnsi="Times New Roman"/>
          <w:sz w:val="24"/>
          <w:szCs w:val="24"/>
        </w:rPr>
        <w:t xml:space="preserve">The individual components of this construction are, taken separately, well known: glycogen accumulation, microcirculation, dedifferentiation, dormancy, NR2F1, MMPs — none of these is novel on its own. The novelty lies in combining them into one sequence: a rare cell-state-switching event → local resource competition within a trophic domain → buffer-dependent energetic filtering → survival or elimination → a stable clone → damage-triggered remodeling. In the process, the same factor — daily glucose fluctuation — flips the sign of its effect once the clone reaches a certain critical mass: below that threshold, fluctuation acts as a selecting mechanism; above it, as a destabilizing one. It is this sign flip of one and the same factor as a function of the system's state, rather than any single one of the listed components, that constitutes the central hypothesis of this article.</w:t>
      </w:r>
    </w:p>
    <w:p>
      <w:pPr>
        <w:pStyle w:val="Heading2"/>
        <w:spacing w:after="120" w:before="200"/>
      </w:pPr>
      <w:r>
        <w:rPr>
          <w:rFonts w:ascii="Times New Roman" w:cs="Times New Roman" w:eastAsia="Times New Roman" w:hAnsi="Times New Roman"/>
          <w:b/>
          <w:bCs/>
          <w:sz w:val="26"/>
          <w:szCs w:val="26"/>
        </w:rPr>
        <w:t xml:space="preserve">9. Boundaries of the model and the next step</w:t>
      </w:r>
    </w:p>
    <w:p>
      <w:pPr>
        <w:spacing w:after="160" w:line="276"/>
        <w:jc w:val="both"/>
      </w:pPr>
      <w:r>
        <w:rPr>
          <w:rFonts w:ascii="Times New Roman" w:cs="Times New Roman" w:eastAsia="Times New Roman" w:hAnsi="Times New Roman"/>
          <w:sz w:val="24"/>
          <w:szCs w:val="24"/>
        </w:rPr>
        <w:t xml:space="preserve">The model in its present form quantitatively describes energetic filtering within the epithelial sheet of the trophic domain: supply, buffer, demand, and the cellular dynamics generated by reversion/dormancy are given by explicit equations and parameters. The ECM, basement membrane, and mesodermal stromal cells are introduced into the domain's definition structurally (§1) and participate qualitatively in the established-clone mechanism — as a link in the causal chain 'death → DAMPs → stromal response → MMPs → remodeling' (§7) — but have no dynamical model of their own here: there is no explicit fibroblast kinetics, no synthesis and degradation of matrix components, no local MMP concentration. A full domain in which the epithelium, the ECM/stroma, and the microcirculation are modeled as a single coupled dynamical system is the direct aim of the next stage.</w:t>
      </w:r>
    </w:p>
    <w:p>
      <w:pPr>
        <w:pStyle w:val="Heading1"/>
        <w:spacing w:after="200" w:before="400"/>
      </w:pPr>
      <w:r>
        <w:rPr>
          <w:rFonts w:ascii="Times New Roman" w:cs="Times New Roman" w:eastAsia="Times New Roman" w:hAnsi="Times New Roman"/>
          <w:b/>
          <w:bCs/>
          <w:sz w:val="30"/>
          <w:szCs w:val="30"/>
        </w:rPr>
        <w:t xml:space="preserve">Reference</w:t>
      </w:r>
    </w:p>
    <w:p>
      <w:pPr>
        <w:spacing w:after="100" w:line="264"/>
        <w:ind w:left="567" w:hanging="567"/>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Histology, Oral Mucosa. StatPearls (NCBI Bookshelf), 2023.</w:t>
      </w:r>
    </w:p>
    <w:p>
      <w:pPr>
        <w:spacing w:after="100" w:line="264"/>
        <w:ind w:left="567" w:hanging="567"/>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Lamina propria. Overview of structure and vascularization of the papillary layer.</w:t>
      </w:r>
    </w:p>
    <w:p>
      <w:pPr>
        <w:spacing w:after="100" w:line="264"/>
        <w:ind w:left="567" w:hanging="567"/>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Skeletal Muscle Microvasculature: A Highly Dynamic Lifeline. Physiology (Am Physiol Soc), 2016. https://doi.org/10.1152/physiol.00026.2015</w:t>
      </w:r>
    </w:p>
    <w:p>
      <w:pPr>
        <w:spacing w:after="100" w:line="264"/>
        <w:ind w:left="567" w:hanging="567"/>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Reticular Basement Membrane Vessels Are Increased in COPD Bronchial Mucosa. Soltani A, et al. Pulmonary Medicine, 2012. PMC3303780.</w:t>
      </w:r>
    </w:p>
    <w:p>
      <w:pPr>
        <w:spacing w:after="100" w:line="264"/>
        <w:ind w:left="567" w:hanging="567"/>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Modeling Epidermis Homeostasis and Psoriasis Pathogenesis. arXiv:1312.1401.</w:t>
      </w:r>
    </w:p>
    <w:p>
      <w:pPr>
        <w:spacing w:after="100" w:line="264"/>
        <w:ind w:left="567" w:hanging="567"/>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Reserve Stem Cells in Intestinal Homeostasis and Injury. Gastroenterology, 2018. PMID: 30118745.</w:t>
      </w:r>
    </w:p>
    <w:p>
      <w:pPr>
        <w:spacing w:after="100" w:line="264"/>
        <w:ind w:left="567" w:hanging="567"/>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Adult cell plasticity in vivo: de-differentiation and transdifferentiation are back in style. Nature Reviews Molecular Cell Biology, 2016. PMID: 26979497.</w:t>
      </w:r>
    </w:p>
    <w:p>
      <w:pPr>
        <w:spacing w:after="100" w:line="264"/>
        <w:ind w:left="567" w:hanging="567"/>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Exploring the Mechanisms of Differentiation, Dedifferentiation, Reprogramming and Transdifferentiation. PLOS One, 2014. PMC4136825.</w:t>
      </w:r>
    </w:p>
    <w:p>
      <w:pPr>
        <w:spacing w:after="100" w:line="264"/>
        <w:ind w:left="567" w:hanging="567"/>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100 years of iodine testing of the cervix: A critical review and implications for the future. European Journal of Obstetrics &amp; Gynecology and Reproductive Biology, 2021.</w:t>
      </w:r>
    </w:p>
    <w:p>
      <w:pPr>
        <w:spacing w:after="100" w:line="264"/>
        <w:ind w:left="567" w:hanging="567"/>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Lugol's iodine identifies dysplastic tissue in precancerous lesions: A clinical trial. PMC5343623.</w:t>
      </w:r>
    </w:p>
    <w:p>
      <w:pPr>
        <w:spacing w:after="100" w:line="264"/>
        <w:ind w:left="567" w:hanging="567"/>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Colposcopy. GLOWM. https://www.glowm.com/section-view/heading/Colposcopy/item/19</w:t>
      </w:r>
    </w:p>
    <w:p>
      <w:pPr>
        <w:spacing w:after="100" w:line="264"/>
        <w:ind w:left="567" w:hanging="567"/>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The origin of Human Papillomavirus (HPV)-induced cervical squamous cancer. ScienceDirect, 2021.</w:t>
      </w:r>
    </w:p>
    <w:p>
      <w:pPr>
        <w:spacing w:after="100" w:line="264"/>
        <w:ind w:left="567" w:hanging="567"/>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Role of Reserve Cells in Metaplasia and the Development of Human Papillomavirus–Associated High-Grade Squamous Intraepithelial Lesions at the Cervical Transformation Zone. Laboratory Investigation, 2025.</w:t>
      </w:r>
    </w:p>
    <w:p>
      <w:pPr>
        <w:spacing w:after="100" w:line="264"/>
        <w:ind w:left="567" w:hanging="567"/>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Elimination of reserve cells for prevention of HPV-associated cervical cancer. PMC10194256, 2023.</w:t>
      </w:r>
    </w:p>
    <w:p>
      <w:pPr>
        <w:spacing w:after="100" w:line="264"/>
        <w:ind w:left="567" w:hanging="567"/>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Variations in Glycogen Synthesis in Human Pluripotent Stem Cells with Altered Pluripotent States. PLOS One, 2015.</w:t>
      </w:r>
    </w:p>
    <w:p>
      <w:pPr>
        <w:spacing w:after="100" w:line="264"/>
        <w:ind w:left="567" w:hanging="567"/>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Sosa MS, et al. NR2F1 controls tumour cell dormancy via SOX9- and RARβ-driven quiescence programmes. Nature Communications, 2015.</w:t>
      </w:r>
    </w:p>
    <w:p>
      <w:pPr>
        <w:spacing w:after="100" w:line="264"/>
        <w:ind w:left="567" w:hanging="567"/>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NR2F1 stratifies dormant disseminated tumor cells in breast cancer patients. Breast Cancer Research, 2018.</w:t>
      </w:r>
    </w:p>
    <w:p>
      <w:pPr>
        <w:spacing w:after="100" w:line="264"/>
        <w:ind w:left="567" w:hanging="567"/>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Dvorak HF. Tumors: wounds that do not heal. Similarities between tumor stroma generation and wound healing. N Engl J Med. 1986;315(26):1650–9.</w:t>
      </w:r>
    </w:p>
    <w:p>
      <w:pPr>
        <w:spacing w:after="100" w:line="264"/>
        <w:ind w:left="567" w:hanging="567"/>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A low-glucose eating pattern is associated with improvements in glycemic variability among women at risk for postmenopausal breast cancer: an exploratory analysis. PMC11039850.</w:t>
      </w:r>
    </w:p>
    <w:p>
      <w:pPr>
        <w:spacing w:after="100" w:line="264"/>
        <w:ind w:left="567" w:hanging="567"/>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Fasting Blood Glucose Variability and Unfavorable Trajectory Patterns Are Associated with the Risk of Colorectal Cancer. PubMed 34593671, 2022.</w:t>
      </w:r>
    </w:p>
    <w:p>
      <w:pPr>
        <w:spacing w:after="100" w:line="264"/>
        <w:ind w:left="567" w:hanging="567"/>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Long-term fasting glucose variability and risk of cancer in patients with type 2 diabetes mellitus. PMC9705804.</w:t>
      </w:r>
    </w:p>
    <w:sectPr>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2026-08-09T11:13:33.706Z</dcterms:created>
  <dcterms:modified xsi:type="dcterms:W3CDTF">2026-08-09T11:13:33.734Z</dcterms:modified>
</cp:coreProperties>
</file>

<file path=docProps/custom.xml><?xml version="1.0" encoding="utf-8"?>
<Properties xmlns="http://schemas.openxmlformats.org/officeDocument/2006/custom-properties" xmlns:vt="http://schemas.openxmlformats.org/officeDocument/2006/docPropsVTypes"/>
</file>