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sz w:val="32"/>
          <w:szCs w:val="32"/>
        </w:rPr>
        <w:t xml:space="preserve">Imaging Detection Thresholds for Metastases</w:t>
      </w:r>
    </w:p>
    <w:p>
      <w:pPr>
        <w:spacing w:after="160"/>
      </w:pPr>
      <w:r>
        <w:rPr>
          <w:rFonts w:ascii="Times New Roman" w:cs="Times New Roman" w:eastAsia="Times New Roman" w:hAnsi="Times New Roman"/>
          <w:i/>
          <w:iCs/>
          <w:color w:val="595959"/>
          <w:sz w:val="22"/>
          <w:szCs w:val="22"/>
        </w:rPr>
        <w:t xml:space="preserve">Expressed in cell numbers and placed against the pre-immune and immune phases</w:t>
      </w:r>
    </w:p>
    <w:p>
      <w:pPr>
        <w:pStyle w:val="Heading2"/>
        <w:spacing w:after="120" w:before="200"/>
      </w:pPr>
      <w:r>
        <w:rPr>
          <w:rFonts w:ascii="Times New Roman" w:cs="Times New Roman" w:eastAsia="Times New Roman" w:hAnsi="Times New Roman"/>
          <w:b/>
          <w:bCs/>
          <w:color w:val="000000"/>
          <w:sz w:val="24"/>
          <w:szCs w:val="24"/>
        </w:rPr>
        <w:t xml:space="preserve">Table 1. Detection thresholds and cell-number equivalents</w:t>
      </w:r>
    </w:p>
    <w:p>
      <w:pPr>
        <w:spacing w:after="140" w:before="0"/>
      </w:pPr>
      <w:r>
        <w:rPr>
          <w:rFonts w:ascii="Times New Roman" w:cs="Times New Roman" w:eastAsia="Times New Roman" w:hAnsi="Times New Roman"/>
          <w:b w:val="false"/>
          <w:bCs w:val="false"/>
          <w:i/>
          <w:iCs/>
          <w:sz w:val="20"/>
          <w:szCs w:val="20"/>
        </w:rPr>
        <w:t xml:space="preserve">Density 10⁹ cells/cm³; lesion assumed spherical.</w:t>
      </w:r>
    </w:p>
    <w:tbl>
      <w:tblPr>
        <w:tblW w:type="dxa" w:w="13958"/>
        <w:jc w:val="center"/>
        <w:tblBorders>
          <w:top w:val="single" w:color="808080" w:sz="4"/>
          <w:left w:val="single" w:color="808080" w:sz="4"/>
          <w:bottom w:val="single" w:color="808080" w:sz="4"/>
          <w:right w:val="single" w:color="808080" w:sz="4"/>
          <w:insideH w:val="single" w:color="BFBFBF" w:sz="2"/>
          <w:insideV w:val="single" w:color="BFBFBF" w:sz="2"/>
        </w:tblBorders>
      </w:tblPr>
      <w:tblGrid>
        <w:gridCol w:w="2600"/>
        <w:gridCol w:w="1250"/>
        <w:gridCol w:w="1450"/>
        <w:gridCol w:w="1700"/>
        <w:gridCol w:w="2200"/>
        <w:gridCol w:w="2400"/>
        <w:gridCol w:w="2358"/>
      </w:tblGrid>
      <w:tr>
        <w:trPr>
          <w:tblHeader/>
        </w:trPr>
        <w:tc>
          <w:tcPr>
            <w:tcW w:type="dxa" w:w="26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Modality</w:t>
            </w:r>
          </w:p>
        </w:tc>
        <w:tc>
          <w:tcPr>
            <w:tcW w:type="dxa" w:w="125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Resolution</w:t>
            </w:r>
          </w:p>
        </w:tc>
        <w:tc>
          <w:tcPr>
            <w:tcW w:type="dxa" w:w="145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Practical threshold, mm</w:t>
            </w:r>
          </w:p>
        </w:tc>
        <w:tc>
          <w:tcPr>
            <w:tcW w:type="dxa" w:w="17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Volume, cm³</w:t>
            </w:r>
          </w:p>
        </w:tc>
        <w:tc>
          <w:tcPr>
            <w:tcW w:type="dxa" w:w="22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Cells</w:t>
            </w:r>
          </w:p>
        </w:tc>
        <w:tc>
          <w:tcPr>
            <w:tcW w:type="dxa" w:w="24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What it measures</w:t>
            </w:r>
          </w:p>
        </w:tc>
        <w:tc>
          <w:tcPr>
            <w:tcW w:type="dxa" w:w="2358"/>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What it misses</w:t>
            </w:r>
          </w:p>
        </w:tc>
      </w:tr>
      <w:tr>
        <w:tc>
          <w:tcPr>
            <w:tcW w:type="dxa" w:w="26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FDG-PET/CT, conventional</w:t>
            </w:r>
          </w:p>
        </w:tc>
        <w:tc>
          <w:tcPr>
            <w:tcW w:type="dxa" w:w="12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4–5 mm</w:t>
            </w:r>
          </w:p>
        </w:tc>
        <w:tc>
          <w:tcPr>
            <w:tcW w:type="dxa" w:w="14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6–8</w:t>
            </w:r>
          </w:p>
        </w:tc>
        <w:tc>
          <w:tcPr>
            <w:tcW w:type="dxa" w:w="17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0.11–0.27</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1.1–2.7 × 10⁸</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glycolytic flux</w:t>
            </w:r>
          </w:p>
        </w:tc>
        <w:tc>
          <w:tcPr>
            <w:tcW w:type="dxa" w:w="2358"/>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a dormant focus of any size</w:t>
            </w:r>
          </w:p>
        </w:tc>
      </w:tr>
      <w:tr>
        <w:tc>
          <w:tcPr>
            <w:tcW w:type="dxa" w:w="26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Digital PET (SiPM), total-body</w:t>
            </w:r>
          </w:p>
        </w:tc>
        <w:tc>
          <w:tcPr>
            <w:tcW w:type="dxa" w:w="12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3–4 mm</w:t>
            </w:r>
          </w:p>
        </w:tc>
        <w:tc>
          <w:tcPr>
            <w:tcW w:type="dxa" w:w="14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4–5</w:t>
            </w:r>
          </w:p>
        </w:tc>
        <w:tc>
          <w:tcPr>
            <w:tcW w:type="dxa" w:w="17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0.034–0.065</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3.4–6.5 × 10⁷</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glycolytic flux</w:t>
            </w:r>
          </w:p>
        </w:tc>
        <w:tc>
          <w:tcPr>
            <w:tcW w:type="dxa" w:w="2358"/>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a dormant focus of any size</w:t>
            </w:r>
          </w:p>
        </w:tc>
      </w:tr>
      <w:tr>
        <w:tc>
          <w:tcPr>
            <w:tcW w:type="dxa" w:w="26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Brain MRI, 3T + contrast</w:t>
            </w:r>
          </w:p>
        </w:tc>
        <w:tc>
          <w:tcPr>
            <w:tcW w:type="dxa" w:w="12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w:t>
            </w:r>
          </w:p>
        </w:tc>
        <w:tc>
          <w:tcPr>
            <w:tcW w:type="dxa" w:w="14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2–3</w:t>
            </w:r>
          </w:p>
        </w:tc>
        <w:tc>
          <w:tcPr>
            <w:tcW w:type="dxa" w:w="17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0.004–0.014</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4.2 × 10⁶ – 1.4 × 10⁷</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structure + permeability</w:t>
            </w:r>
          </w:p>
        </w:tc>
        <w:tc>
          <w:tcPr>
            <w:tcW w:type="dxa" w:w="2358"/>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a focus with intact BBB</w:t>
            </w:r>
          </w:p>
        </w:tc>
      </w:tr>
      <w:tr>
        <w:tc>
          <w:tcPr>
            <w:tcW w:type="dxa" w:w="26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Liver MRI, gadoxetate + DWI</w:t>
            </w:r>
          </w:p>
        </w:tc>
        <w:tc>
          <w:tcPr>
            <w:tcW w:type="dxa" w:w="12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w:t>
            </w:r>
          </w:p>
        </w:tc>
        <w:tc>
          <w:tcPr>
            <w:tcW w:type="dxa" w:w="14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4–5</w:t>
            </w:r>
          </w:p>
        </w:tc>
        <w:tc>
          <w:tcPr>
            <w:tcW w:type="dxa" w:w="17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0.034–0.065</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3.4–6.5 × 10⁷</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structure + diffusion</w:t>
            </w:r>
          </w:p>
        </w:tc>
        <w:tc>
          <w:tcPr>
            <w:tcW w:type="dxa" w:w="2358"/>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an isointense focus</w:t>
            </w:r>
          </w:p>
        </w:tc>
      </w:tr>
      <w:tr>
        <w:tc>
          <w:tcPr>
            <w:tcW w:type="dxa" w:w="26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Whole-body DWI, bone marrow</w:t>
            </w:r>
          </w:p>
        </w:tc>
        <w:tc>
          <w:tcPr>
            <w:tcW w:type="dxa" w:w="12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w:t>
            </w:r>
          </w:p>
        </w:tc>
        <w:tc>
          <w:tcPr>
            <w:tcW w:type="dxa" w:w="14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5</w:t>
            </w:r>
          </w:p>
        </w:tc>
        <w:tc>
          <w:tcPr>
            <w:tcW w:type="dxa" w:w="17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0.065</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6.5 × 10⁷</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cell density</w:t>
            </w:r>
          </w:p>
        </w:tc>
        <w:tc>
          <w:tcPr>
            <w:tcW w:type="dxa" w:w="2358"/>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diffuse infiltration</w:t>
            </w:r>
          </w:p>
        </w:tc>
      </w:tr>
      <w:tr>
        <w:tc>
          <w:tcPr>
            <w:tcW w:type="dxa" w:w="26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Micrometastasis</w:t>
            </w:r>
          </w:p>
        </w:tc>
        <w:tc>
          <w:tcPr>
            <w:tcW w:type="dxa" w:w="12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w:t>
            </w:r>
          </w:p>
        </w:tc>
        <w:tc>
          <w:tcPr>
            <w:tcW w:type="dxa" w:w="14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&lt; 1</w:t>
            </w:r>
          </w:p>
        </w:tc>
        <w:tc>
          <w:tcPr>
            <w:tcW w:type="dxa" w:w="17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&lt; 0.0005</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&lt; 5 × 10⁵</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w:t>
            </w:r>
          </w:p>
        </w:tc>
        <w:tc>
          <w:tcPr>
            <w:tcW w:type="dxa" w:w="2358"/>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invisible to everything</w:t>
            </w:r>
          </w:p>
        </w:tc>
      </w:tr>
      <w:tr>
        <w:tc>
          <w:tcPr>
            <w:tcW w:type="dxa" w:w="26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Single disseminated tumour cells</w:t>
            </w:r>
          </w:p>
        </w:tc>
        <w:tc>
          <w:tcPr>
            <w:tcW w:type="dxa" w:w="12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w:t>
            </w:r>
          </w:p>
        </w:tc>
        <w:tc>
          <w:tcPr>
            <w:tcW w:type="dxa" w:w="145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1–10³</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w:t>
            </w:r>
          </w:p>
        </w:tc>
        <w:tc>
          <w:tcPr>
            <w:tcW w:type="dxa" w:w="2358"/>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invisible to everything</w:t>
            </w:r>
          </w:p>
        </w:tc>
      </w:tr>
    </w:tbl>
    <w:p>
      <w:pPr>
        <w:pStyle w:val="Heading2"/>
        <w:spacing w:after="120" w:before="200"/>
      </w:pPr>
      <w:r>
        <w:rPr>
          <w:rFonts w:ascii="Times New Roman" w:cs="Times New Roman" w:eastAsia="Times New Roman" w:hAnsi="Times New Roman"/>
          <w:b/>
          <w:bCs/>
          <w:color w:val="000000"/>
          <w:sz w:val="24"/>
          <w:szCs w:val="24"/>
        </w:rPr>
        <w:t xml:space="preserve">Table 2. Partial volume effect in the 4–10 mm range</w:t>
      </w:r>
    </w:p>
    <w:p>
      <w:pPr>
        <w:spacing w:after="140" w:before="0"/>
      </w:pPr>
      <w:r>
        <w:rPr>
          <w:rFonts w:ascii="Times New Roman" w:cs="Times New Roman" w:eastAsia="Times New Roman" w:hAnsi="Times New Roman"/>
          <w:b w:val="false"/>
          <w:bCs w:val="false"/>
          <w:i/>
          <w:iCs/>
          <w:sz w:val="20"/>
          <w:szCs w:val="20"/>
        </w:rPr>
        <w:t xml:space="preserve">The 4–10 mm band is not a visible/invisible boundary but a zone of systematic intensity underestimation. This is where lesions with moderate uptake are lost.</w:t>
      </w:r>
    </w:p>
    <w:tbl>
      <w:tblPr>
        <w:tblW w:type="dxa" w:w="10200"/>
        <w:jc w:val="center"/>
        <w:tblBorders>
          <w:top w:val="single" w:color="808080" w:sz="4"/>
          <w:left w:val="single" w:color="808080" w:sz="4"/>
          <w:bottom w:val="single" w:color="808080" w:sz="4"/>
          <w:right w:val="single" w:color="808080" w:sz="4"/>
          <w:insideH w:val="single" w:color="BFBFBF" w:sz="2"/>
          <w:insideV w:val="single" w:color="BFBFBF" w:sz="2"/>
        </w:tblBorders>
      </w:tblPr>
      <w:tblGrid>
        <w:gridCol w:w="2400"/>
        <w:gridCol w:w="2600"/>
        <w:gridCol w:w="2600"/>
        <w:gridCol w:w="2600"/>
      </w:tblGrid>
      <w:tr>
        <w:trPr>
          <w:tblHeader/>
        </w:trPr>
        <w:tc>
          <w:tcPr>
            <w:tcW w:type="dxa" w:w="24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Diameter, mm</w:t>
            </w:r>
          </w:p>
        </w:tc>
        <w:tc>
          <w:tcPr>
            <w:tcW w:type="dxa" w:w="26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d / resolution</w:t>
            </w:r>
          </w:p>
        </w:tc>
        <w:tc>
          <w:tcPr>
            <w:tcW w:type="dxa" w:w="26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Fraction of true SUV</w:t>
            </w:r>
          </w:p>
        </w:tc>
        <w:tc>
          <w:tcPr>
            <w:tcW w:type="dxa" w:w="26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True SUV 8 reads as</w:t>
            </w:r>
          </w:p>
        </w:tc>
      </w:tr>
      <w:tr>
        <w:tc>
          <w:tcPr>
            <w:tcW w:type="dxa" w:w="24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4</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0.9</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~0.25</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2.0</w:t>
            </w:r>
          </w:p>
        </w:tc>
      </w:tr>
      <w:tr>
        <w:tc>
          <w:tcPr>
            <w:tcW w:type="dxa" w:w="24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5</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1.1</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~0.35</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2.8</w:t>
            </w:r>
          </w:p>
        </w:tc>
      </w:tr>
      <w:tr>
        <w:tc>
          <w:tcPr>
            <w:tcW w:type="dxa" w:w="24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6</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1.3</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~0.50</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4.0</w:t>
            </w:r>
          </w:p>
        </w:tc>
      </w:tr>
      <w:tr>
        <w:tc>
          <w:tcPr>
            <w:tcW w:type="dxa" w:w="24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8</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1.8</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~0.75</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6.0</w:t>
            </w:r>
          </w:p>
        </w:tc>
      </w:tr>
      <w:tr>
        <w:tc>
          <w:tcPr>
            <w:tcW w:type="dxa" w:w="24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10</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2.2</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~0.90</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7.2</w:t>
            </w:r>
          </w:p>
        </w:tc>
      </w:tr>
      <w:tr>
        <w:tc>
          <w:tcPr>
            <w:tcW w:type="dxa" w:w="24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 15</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3.3</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~1.0</w:t>
            </w:r>
          </w:p>
        </w:tc>
        <w:tc>
          <w:tcPr>
            <w:tcW w:type="dxa" w:w="26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8.0</w:t>
            </w:r>
          </w:p>
        </w:tc>
      </w:tr>
    </w:tbl>
    <w:p>
      <w:pPr>
        <w:pStyle w:val="Heading2"/>
        <w:spacing w:after="120" w:before="200"/>
      </w:pPr>
      <w:r>
        <w:rPr>
          <w:rFonts w:ascii="Times New Roman" w:cs="Times New Roman" w:eastAsia="Times New Roman" w:hAnsi="Times New Roman"/>
          <w:b/>
          <w:bCs/>
          <w:color w:val="000000"/>
          <w:sz w:val="24"/>
          <w:szCs w:val="24"/>
        </w:rPr>
        <w:t xml:space="preserve">Table 3. Where imaging sits relative to the phases</w:t>
      </w:r>
    </w:p>
    <w:tbl>
      <w:tblPr>
        <w:tblW w:type="dxa" w:w="12000"/>
        <w:jc w:val="center"/>
        <w:tblBorders>
          <w:top w:val="single" w:color="808080" w:sz="4"/>
          <w:left w:val="single" w:color="808080" w:sz="4"/>
          <w:bottom w:val="single" w:color="808080" w:sz="4"/>
          <w:right w:val="single" w:color="808080" w:sz="4"/>
          <w:insideH w:val="single" w:color="BFBFBF" w:sz="2"/>
          <w:insideV w:val="single" w:color="BFBFBF" w:sz="2"/>
        </w:tblBorders>
      </w:tblPr>
      <w:tblGrid>
        <w:gridCol w:w="5200"/>
        <w:gridCol w:w="2400"/>
        <w:gridCol w:w="2200"/>
        <w:gridCol w:w="2200"/>
      </w:tblGrid>
      <w:tr>
        <w:trPr>
          <w:tblHeader/>
        </w:trPr>
        <w:tc>
          <w:tcPr>
            <w:tcW w:type="dxa" w:w="52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Landmark</w:t>
            </w:r>
          </w:p>
        </w:tc>
        <w:tc>
          <w:tcPr>
            <w:tcW w:type="dxa" w:w="24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Diameter</w:t>
            </w:r>
          </w:p>
        </w:tc>
        <w:tc>
          <w:tcPr>
            <w:tcW w:type="dxa" w:w="22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Cells</w:t>
            </w:r>
          </w:p>
        </w:tc>
        <w:tc>
          <w:tcPr>
            <w:tcW w:type="dxa" w:w="22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Order of magnitude</w:t>
            </w:r>
          </w:p>
        </w:tc>
      </w:tr>
      <w:tr>
        <w:tc>
          <w:tcPr>
            <w:tcW w:type="dxa" w:w="52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Clone founder</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1–10</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10⁰–10¹</w:t>
            </w:r>
          </w:p>
        </w:tc>
      </w:tr>
      <w:tr>
        <w:tc>
          <w:tcPr>
            <w:tcW w:type="dxa" w:w="52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Pre-immune phase (the modelled one)</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0.05–0.5 mm</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10²–10⁵</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10²–10⁵</w:t>
            </w:r>
          </w:p>
        </w:tc>
      </w:tr>
      <w:tr>
        <w:tc>
          <w:tcPr>
            <w:tcW w:type="dxa" w:w="5200"/>
            <w:tcMar>
              <w:top w:type="dxa" w:w="60"/>
              <w:left w:type="dxa" w:w="90"/>
              <w:bottom w:type="dxa" w:w="60"/>
              <w:right w:type="dxa" w:w="90"/>
            </w:tcMar>
          </w:tcPr>
          <w:p>
            <w:pPr>
              <w:spacing w:after="0" w:before="0"/>
              <w:jc w:val="left"/>
            </w:pPr>
            <w:r>
              <w:rPr>
                <w:rFonts w:ascii="Times New Roman" w:cs="Times New Roman" w:eastAsia="Times New Roman" w:hAnsi="Times New Roman"/>
                <w:b/>
                <w:bCs/>
                <w:i w:val="false"/>
                <w:iCs w:val="false"/>
                <w:sz w:val="20"/>
                <w:szCs w:val="20"/>
              </w:rPr>
              <w:t xml:space="preserve">Observability gap</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4 orders</w:t>
            </w:r>
          </w:p>
        </w:tc>
      </w:tr>
      <w:tr>
        <w:tc>
          <w:tcPr>
            <w:tcW w:type="dxa" w:w="52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Imaging threshold</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2–8 mm</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10⁷–10⁸</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10⁷–10⁸</w:t>
            </w:r>
          </w:p>
        </w:tc>
      </w:tr>
      <w:tr>
        <w:tc>
          <w:tcPr>
            <w:tcW w:type="dxa" w:w="52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Immune window (1 cm)</w:t>
            </w:r>
          </w:p>
        </w:tc>
        <w:tc>
          <w:tcPr>
            <w:tcW w:type="dxa" w:w="24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10 mm</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5 × 10⁸</w:t>
            </w:r>
          </w:p>
        </w:tc>
        <w:tc>
          <w:tcPr>
            <w:tcW w:type="dxa" w:w="22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10⁸–10⁹</w:t>
            </w:r>
          </w:p>
        </w:tc>
      </w:tr>
    </w:tbl>
    <w:p>
      <w:pPr>
        <w:pStyle w:val="Heading2"/>
        <w:spacing w:after="120" w:before="200"/>
      </w:pPr>
      <w:r>
        <w:rPr>
          <w:rFonts w:ascii="Times New Roman" w:cs="Times New Roman" w:eastAsia="Times New Roman" w:hAnsi="Times New Roman"/>
          <w:b/>
          <w:bCs/>
          <w:color w:val="000000"/>
          <w:sz w:val="24"/>
          <w:szCs w:val="24"/>
        </w:rPr>
        <w:t xml:space="preserve">What the three tables say together</w:t>
      </w:r>
    </w:p>
    <w:p>
      <w:pPr>
        <w:spacing w:after="140" w:before="0"/>
      </w:pPr>
      <w:r>
        <w:rPr>
          <w:rFonts w:ascii="Times New Roman" w:cs="Times New Roman" w:eastAsia="Times New Roman" w:hAnsi="Times New Roman"/>
          <w:b w:val="false"/>
          <w:bCs w:val="false"/>
          <w:i w:val="false"/>
          <w:iCs w:val="false"/>
          <w:sz w:val="22"/>
          <w:szCs w:val="22"/>
        </w:rPr>
        <w:t xml:space="preserve">Imaging precedes immune recognition by roughly one order of magnitude in cell number — but only for a metabolically active lesion. </w:t>
      </w:r>
      <w:r>
        <w:rPr>
          <w:rFonts w:ascii="Times New Roman" w:cs="Times New Roman" w:eastAsia="Times New Roman" w:hAnsi="Times New Roman"/>
          <w:b/>
          <w:bCs/>
          <w:i w:val="false"/>
          <w:iCs w:val="false"/>
          <w:sz w:val="22"/>
          <w:szCs w:val="22"/>
        </w:rPr>
        <w:t xml:space="preserve">PET and the immune system read the same feature, activity, and miss the dormant compartment for the same reason.</w:t>
      </w:r>
      <w:r>
        <w:rPr>
          <w:rFonts w:ascii="Times New Roman" w:cs="Times New Roman" w:eastAsia="Times New Roman" w:hAnsi="Times New Roman"/>
          <w:b w:val="false"/>
          <w:bCs w:val="false"/>
          <w:i w:val="false"/>
          <w:iCs w:val="false"/>
          <w:sz w:val="22"/>
          <w:szCs w:val="22"/>
        </w:rPr>
        <w:t xml:space="preserve"> MRI is the only structural modality among the three and therefore the only one capable of seeing a silent focus.</w:t>
      </w:r>
    </w:p>
    <w:p>
      <w:pPr>
        <w:spacing w:after="140" w:before="0"/>
      </w:pPr>
      <w:r>
        <w:rPr>
          <w:rFonts w:ascii="Times New Roman" w:cs="Times New Roman" w:eastAsia="Times New Roman" w:hAnsi="Times New Roman"/>
          <w:b w:val="false"/>
          <w:bCs w:val="false"/>
          <w:i w:val="false"/>
          <w:iCs w:val="false"/>
          <w:sz w:val="22"/>
          <w:szCs w:val="22"/>
        </w:rPr>
        <w:t xml:space="preserve">The gap between the modelled pre-immune phase and the threshold of any imaging is four orders of magnitude. It is not a technical gap: the next scanner will not close it.</w:t>
      </w:r>
    </w:p>
    <w:p>
      <w:pPr>
        <w:pStyle w:val="Heading2"/>
        <w:spacing w:after="120" w:before="200"/>
      </w:pPr>
      <w:r>
        <w:rPr>
          <w:rFonts w:ascii="Times New Roman" w:cs="Times New Roman" w:eastAsia="Times New Roman" w:hAnsi="Times New Roman"/>
          <w:b/>
          <w:bCs/>
          <w:color w:val="000000"/>
          <w:sz w:val="24"/>
          <w:szCs w:val="24"/>
        </w:rPr>
        <w:t xml:space="preserve">Table 4. Metastasis as a repetition of the primary's founder phase</w:t>
      </w:r>
    </w:p>
    <w:p>
      <w:pPr>
        <w:spacing w:after="120" w:before="0"/>
      </w:pPr>
      <w:r>
        <w:rPr>
          <w:rFonts w:ascii="Times New Roman" w:cs="Times New Roman" w:eastAsia="Times New Roman" w:hAnsi="Times New Roman"/>
          <w:b w:val="false"/>
          <w:bCs w:val="false"/>
          <w:i/>
          <w:iCs/>
          <w:sz w:val="20"/>
          <w:szCs w:val="20"/>
        </w:rPr>
        <w:t xml:space="preserve">Three conditions under which the repetition holds, and what each changes.</w:t>
      </w:r>
    </w:p>
    <w:tbl>
      <w:tblPr>
        <w:tblW w:type="dxa" w:w="13958"/>
        <w:jc w:val="center"/>
        <w:tblBorders>
          <w:top w:val="single" w:color="808080" w:sz="4"/>
          <w:left w:val="single" w:color="808080" w:sz="4"/>
          <w:bottom w:val="single" w:color="808080" w:sz="4"/>
          <w:right w:val="single" w:color="808080" w:sz="4"/>
          <w:insideH w:val="single" w:color="BFBFBF" w:sz="2"/>
          <w:insideV w:val="single" w:color="BFBFBF" w:sz="2"/>
        </w:tblBorders>
      </w:tblPr>
      <w:tblGrid>
        <w:gridCol w:w="2100"/>
        <w:gridCol w:w="3700"/>
        <w:gridCol w:w="4000"/>
        <w:gridCol w:w="4158"/>
      </w:tblGrid>
      <w:tr>
        <w:trPr>
          <w:tblHeader/>
        </w:trPr>
        <w:tc>
          <w:tcPr>
            <w:tcW w:type="dxa" w:w="21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Condition</w:t>
            </w:r>
          </w:p>
        </w:tc>
        <w:tc>
          <w:tcPr>
            <w:tcW w:type="dxa" w:w="37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What repeats from the primary</w:t>
            </w:r>
          </w:p>
        </w:tc>
        <w:tc>
          <w:tcPr>
            <w:tcW w:type="dxa" w:w="4000"/>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What differs</w:t>
            </w:r>
          </w:p>
        </w:tc>
        <w:tc>
          <w:tcPr>
            <w:tcW w:type="dxa" w:w="4158"/>
            <w:shd w:fill="E8E8E8" w:color="auto" w:val="clear"/>
            <w:tcMar>
              <w:top w:type="dxa" w:w="60"/>
              <w:left w:type="dxa" w:w="90"/>
              <w:bottom w:type="dxa" w:w="60"/>
              <w:right w:type="dxa" w:w="90"/>
            </w:tcMar>
          </w:tcPr>
          <w:p>
            <w:pPr>
              <w:spacing w:after="0" w:before="0"/>
              <w:jc w:val="center"/>
            </w:pPr>
            <w:r>
              <w:rPr>
                <w:rFonts w:ascii="Times New Roman" w:cs="Times New Roman" w:eastAsia="Times New Roman" w:hAnsi="Times New Roman"/>
                <w:b/>
                <w:bCs/>
                <w:i w:val="false"/>
                <w:iCs w:val="false"/>
                <w:sz w:val="20"/>
                <w:szCs w:val="20"/>
              </w:rPr>
              <w:t xml:space="preserve">Net effect</w:t>
            </w:r>
          </w:p>
        </w:tc>
      </w:tr>
      <w:tr>
        <w:tc>
          <w:tcPr>
            <w:tcW w:type="dxa" w:w="21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Founder status</w:t>
            </w:r>
          </w:p>
        </w:tc>
        <w:tc>
          <w:tcPr>
            <w:tcW w:type="dxa" w:w="37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The three-step filter of detachment, arrest and establishment; survival arithmetic; geometry of supply</w:t>
            </w:r>
          </w:p>
        </w:tc>
        <w:tc>
          <w:tcPr>
            <w:tcW w:type="dxa" w:w="40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The founder is pre-selected — it has crossed the threshold once already</w:t>
            </w:r>
          </w:p>
        </w:tc>
        <w:tc>
          <w:tcPr>
            <w:tcW w:type="dxa" w:w="4158"/>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Starting probability of success is raised; latency still long-tailed</w:t>
            </w:r>
          </w:p>
        </w:tc>
      </w:tr>
      <w:tr>
        <w:tc>
          <w:tcPr>
            <w:tcW w:type="dxa" w:w="21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Destination architecture</w:t>
            </w:r>
          </w:p>
        </w:tc>
        <w:tc>
          <w:tcPr>
            <w:tcW w:type="dxa" w:w="37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Containment by geometry, differentiation and competition with the host</w:t>
            </w:r>
          </w:p>
        </w:tc>
        <w:tc>
          <w:tcPr>
            <w:tcW w:type="dxa" w:w="40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Adaptations are tuned to the tissue of origin; the receiving matrix is foreign</w:t>
            </w:r>
          </w:p>
        </w:tc>
        <w:tc>
          <w:tcPr>
            <w:tcW w:type="dxa" w:w="4158"/>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Part of the advantage does not transfer; this is the substance of organ tropism</w:t>
            </w:r>
          </w:p>
        </w:tc>
      </w:tr>
      <w:tr>
        <w:tc>
          <w:tcPr>
            <w:tcW w:type="dxa" w:w="2100"/>
            <w:tcMar>
              <w:top w:type="dxa" w:w="60"/>
              <w:left w:type="dxa" w:w="90"/>
              <w:bottom w:type="dxa" w:w="60"/>
              <w:right w:type="dxa" w:w="90"/>
            </w:tcMar>
          </w:tcPr>
          <w:p>
            <w:pPr>
              <w:spacing w:after="0" w:before="0"/>
              <w:jc w:val="left"/>
            </w:pPr>
            <w:r>
              <w:rPr>
                <w:rFonts w:ascii="Times New Roman" w:cs="Times New Roman" w:eastAsia="Times New Roman" w:hAnsi="Times New Roman"/>
                <w:b w:val="false"/>
                <w:bCs w:val="false"/>
                <w:i w:val="false"/>
                <w:iCs w:val="false"/>
                <w:sz w:val="20"/>
                <w:szCs w:val="20"/>
              </w:rPr>
              <w:t xml:space="preserve">Immune status</w:t>
            </w:r>
          </w:p>
        </w:tc>
        <w:tc>
          <w:tcPr>
            <w:tcW w:type="dxa" w:w="37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Recognition requires both an immunogenic signal and vascular access</w:t>
            </w:r>
          </w:p>
        </w:tc>
        <w:tc>
          <w:tcPr>
            <w:tcW w:type="dxa" w:w="4000"/>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The antigens were already presented at the primary, and that response failed</w:t>
            </w:r>
          </w:p>
        </w:tc>
        <w:tc>
          <w:tcPr>
            <w:tcW w:type="dxa" w:w="4158"/>
            <w:tcMar>
              <w:top w:type="dxa" w:w="60"/>
              <w:left w:type="dxa" w:w="90"/>
              <w:bottom w:type="dxa" w:w="60"/>
              <w:right w:type="dxa" w:w="90"/>
            </w:tcMar>
          </w:tcPr>
          <w:p>
            <w:pPr>
              <w:spacing w:after="0" w:before="0"/>
              <w:jc w:val="center"/>
            </w:pPr>
            <w:r>
              <w:rPr>
                <w:rFonts w:ascii="Times New Roman" w:cs="Times New Roman" w:eastAsia="Times New Roman" w:hAnsi="Times New Roman"/>
                <w:b w:val="false"/>
                <w:bCs w:val="false"/>
                <w:i w:val="false"/>
                <w:iCs w:val="false"/>
                <w:sz w:val="20"/>
                <w:szCs w:val="20"/>
              </w:rPr>
              <w:t xml:space="preserve">The pre-existing repertoire is pre-defeated, not merely overloaded</w:t>
            </w:r>
          </w:p>
        </w:tc>
      </w:tr>
    </w:tbl>
    <w:p>
      <w:pPr>
        <w:pStyle w:val="Heading2"/>
        <w:spacing w:after="120" w:before="200"/>
      </w:pPr>
      <w:r>
        <w:rPr>
          <w:rFonts w:ascii="Times New Roman" w:cs="Times New Roman" w:eastAsia="Times New Roman" w:hAnsi="Times New Roman"/>
          <w:b/>
          <w:bCs/>
          <w:color w:val="000000"/>
          <w:sz w:val="24"/>
          <w:szCs w:val="24"/>
        </w:rPr>
        <w:t xml:space="preserve">Position</w:t>
      </w:r>
    </w:p>
    <w:p>
      <w:pPr>
        <w:spacing w:after="140" w:before="0"/>
      </w:pPr>
      <w:r>
        <w:rPr>
          <w:rFonts w:ascii="Times New Roman" w:cs="Times New Roman" w:eastAsia="Times New Roman" w:hAnsi="Times New Roman"/>
          <w:b/>
          <w:bCs/>
          <w:i w:val="false"/>
          <w:iCs w:val="false"/>
          <w:sz w:val="22"/>
          <w:szCs w:val="22"/>
        </w:rPr>
        <w:t xml:space="preserve">Metastases repeat the path of primary tumours, subject to the three conditions above.</w:t>
      </w:r>
    </w:p>
    <w:p>
      <w:pPr>
        <w:spacing w:after="140" w:before="0"/>
      </w:pPr>
      <w:r>
        <w:rPr>
          <w:rFonts w:ascii="Times New Roman" w:cs="Times New Roman" w:eastAsia="Times New Roman" w:hAnsi="Times New Roman"/>
          <w:b w:val="false"/>
          <w:bCs w:val="false"/>
          <w:i w:val="false"/>
          <w:iCs w:val="false"/>
          <w:sz w:val="22"/>
          <w:szCs w:val="22"/>
        </w:rPr>
        <w:t xml:space="preserve">A disseminated cell at a new site is a founder again, and passes through the same pre-immune phase: the same detachment and arrest filter, the same survival arithmetic, the same geometry of supply. This is why the great majority of disseminated cells come to nothing, and why metastatic latency has a tail measured in decades — that is the distribution of an establishment problem, not of growth.</w:t>
      </w:r>
    </w:p>
    <w:p>
      <w:pPr>
        <w:spacing w:after="140" w:before="0"/>
      </w:pPr>
      <w:r>
        <w:rPr>
          <w:rFonts w:ascii="Times New Roman" w:cs="Times New Roman" w:eastAsia="Times New Roman" w:hAnsi="Times New Roman"/>
          <w:b w:val="false"/>
          <w:bCs w:val="false"/>
          <w:i w:val="false"/>
          <w:iCs w:val="false"/>
          <w:sz w:val="22"/>
          <w:szCs w:val="22"/>
        </w:rPr>
        <w:t xml:space="preserve">The founder, however, is not naive. It has crossed the threshold once already and starts with a raised probability of success. But its adaptations are tuned to the tissue of origin, and the receiving architecture is foreign: a margin sufficient in one matrix may fall below breakeven in another. These two corrections pull in opposite directions, and which prevails depends on the tumour–organ pair. This is what organ tropism consists of.</w:t>
      </w:r>
    </w:p>
    <w:p>
      <w:pPr>
        <w:spacing w:after="140" w:before="0"/>
      </w:pPr>
      <w:r>
        <w:rPr>
          <w:rFonts w:ascii="Times New Roman" w:cs="Times New Roman" w:eastAsia="Times New Roman" w:hAnsi="Times New Roman"/>
          <w:b w:val="false"/>
          <w:bCs w:val="false"/>
          <w:i w:val="false"/>
          <w:iCs w:val="false"/>
          <w:sz w:val="22"/>
          <w:szCs w:val="22"/>
        </w:rPr>
        <w:t xml:space="preserve">By this point the immune system is neither blind nor merely overloaded. A repertoire against this clone already exists — and is for that very reason ineffective: a response that failed against the primary is a response that has already been selected against. What disseminated is what survived editing. Exhaustion and systemic suppression at high tumour burden are superimposed on this, but they are quantitative on top of something structural.</w:t>
      </w:r>
    </w:p>
    <w:p>
      <w:pPr>
        <w:pStyle w:val="Heading2"/>
        <w:spacing w:after="120" w:before="200"/>
      </w:pPr>
      <w:r>
        <w:rPr>
          <w:rFonts w:ascii="Times New Roman" w:cs="Times New Roman" w:eastAsia="Times New Roman" w:hAnsi="Times New Roman"/>
          <w:b/>
          <w:bCs/>
          <w:color w:val="000000"/>
          <w:sz w:val="24"/>
          <w:szCs w:val="24"/>
        </w:rPr>
        <w:t xml:space="preserve">Consequence</w:t>
      </w:r>
    </w:p>
    <w:p>
      <w:pPr>
        <w:spacing w:after="140" w:before="0"/>
      </w:pPr>
      <w:r>
        <w:rPr>
          <w:rFonts w:ascii="Times New Roman" w:cs="Times New Roman" w:eastAsia="Times New Roman" w:hAnsi="Times New Roman"/>
          <w:b w:val="false"/>
          <w:bCs w:val="false"/>
          <w:i w:val="false"/>
          <w:iCs w:val="false"/>
          <w:sz w:val="22"/>
          <w:szCs w:val="22"/>
        </w:rPr>
        <w:t xml:space="preserve">In metastatic disease the two phases run concurrently in one patient rather than in sequence: the visible lesion is in the immune phase, while the invisible majority of founders at new sites is in the pre-immune phase, four orders of magnitude below the threshold of any imaging, held there not by immunity but by geometry, supply, and competition with the host.</w:t>
      </w:r>
    </w:p>
    <w:p>
      <w:pPr>
        <w:spacing w:after="140" w:before="0"/>
      </w:pPr>
      <w:r>
        <w:rPr>
          <w:rFonts w:ascii="Times New Roman" w:cs="Times New Roman" w:eastAsia="Times New Roman" w:hAnsi="Times New Roman"/>
          <w:b w:val="false"/>
          <w:bCs w:val="false"/>
          <w:i w:val="false"/>
          <w:iCs w:val="false"/>
          <w:sz w:val="22"/>
          <w:szCs w:val="22"/>
        </w:rPr>
        <w:t xml:space="preserve">Pre-immune mechanisms are therefore not a reserve to be drawn on once everything else is exhausted. They act on the part of the disease that constitutes its numerical majority at any moment. And therapy that damages containment in order to reduce the visible pays for it by releasing the invisible.</w:t>
      </w:r>
    </w:p>
    <w:sectPr>
      <w:pgSz w:w="16838" w:h="11906" w:orient="landscape"/>
      <w:pgMar w:top="85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2026-10-23T09:44:38.049Z</dcterms:created>
  <dcterms:modified xsi:type="dcterms:W3CDTF">2026-10-23T09:44:38.066Z</dcterms:modified>
</cp:coreProperties>
</file>

<file path=docProps/custom.xml><?xml version="1.0" encoding="utf-8"?>
<Properties xmlns="http://schemas.openxmlformats.org/officeDocument/2006/custom-properties" xmlns:vt="http://schemas.openxmlformats.org/officeDocument/2006/docPropsVTypes"/>
</file>