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remains to be done</w:t>
      </w:r>
    </w:p>
    <w:p>
      <w:pPr>
        <w:spacing w:after="80"/>
      </w:pPr>
      <w:r>
        <w:t>14 October 2026. Only what is not yet done: article v15, short versions v9 and the repository with the threshold script are ready. The threshold recomputation at 250 / 1,000 cells has been done and is not included here.</w:t>
      </w:r>
    </w:p>
    <w:p>
      <w:pPr>
        <w:pStyle w:val="Heading1"/>
      </w:pPr>
      <w:r>
        <w:rPr>
          <w:rFonts w:ascii="Calibri" w:hAnsi="Calibri"/>
          <w:color w:val="1F3A5F"/>
        </w:rPr>
        <w:t>Waiting for you</w:t>
      </w:r>
    </w:p>
    <w:p>
      <w:pPr>
        <w:pStyle w:val="ListBullet"/>
        <w:spacing w:after="40"/>
      </w:pPr>
      <w:r>
        <w:rPr>
          <w:b/>
        </w:rPr>
        <w:t>1. Zenodo DOI:</w:t>
      </w:r>
      <w:r>
        <w:t xml:space="preserve"> please send the new DOI (and the record link). I will replace it in the article (EN and RU), the folder front pages, and the README and CITATION of the repository, and rebuild the archive; in the short versions only if a DOI is needed there.</w:t>
      </w:r>
    </w:p>
    <w:p>
      <w:pPr>
        <w:pStyle w:val="ListBullet"/>
        <w:spacing w:after="40"/>
      </w:pPr>
      <w:r>
        <w:rPr>
          <w:b/>
        </w:rPr>
        <w:t>2. Verification of sources 12 and 15:</w:t>
      </w:r>
      <w:r>
        <w:t xml:space="preserve"> open in PubMed/PMC and check journal, volume, pages and DOI: source 12 (Cervical adenocarcinoma in situ in the United States, PMC5632134) and source 15 (Stücker et al., J Physiol 2002;538(3):985–994). After that the statement in §0.4 can stand without a caveat.</w:t>
      </w:r>
    </w:p>
    <w:p>
      <w:pPr>
        <w:pStyle w:val="Heading1"/>
      </w:pPr>
      <w:r>
        <w:rPr>
          <w:rFonts w:ascii="Calibri" w:hAnsi="Calibri"/>
          <w:color w:val="1F3A5F"/>
        </w:rPr>
        <w:t>Decisions needed from you</w:t>
      </w:r>
    </w:p>
    <w:p>
      <w:pPr>
        <w:pStyle w:val="ListBullet"/>
        <w:spacing w:after="40"/>
      </w:pPr>
      <w:r>
        <w:rPr>
          <w:b/>
        </w:rPr>
        <w:t>3. RU/EN discrepancy:</w:t>
      </w:r>
      <w:r>
        <w:t xml:space="preserve"> the Russian article lacks two paragraphs of §4.1.1 (on the “population consequence” and on acceptance at the site of arrival) that the English one has. Add them in the cautious wording, or leave as is?</w:t>
      </w:r>
    </w:p>
    <w:p>
      <w:pPr>
        <w:pStyle w:val="ListBullet"/>
        <w:spacing w:after="40"/>
      </w:pPr>
      <w:r>
        <w:rPr>
          <w:b/>
        </w:rPr>
        <w:t>4. The oxyRev note:</w:t>
      </w:r>
      <w:r>
        <w:t xml:space="preserve"> keep my two sentences in the text (dying share ≤ 50%; selective toxicity) and the reading of “more than 50%” as “not more than 50%”?</w:t>
      </w:r>
    </w:p>
    <w:p>
      <w:pPr>
        <w:pStyle w:val="ListBullet"/>
        <w:spacing w:after="40"/>
      </w:pPr>
      <w:r>
        <w:rPr>
          <w:b/>
        </w:rPr>
        <w:t>5. “Oxygen filter”:</w:t>
      </w:r>
      <w:r>
        <w:t xml:space="preserve"> keep as the working name with a caveat about the assumption, or replace with a neutral term in all files (article, front pages, short versions, README, figure labels)?</w:t>
      </w:r>
    </w:p>
    <w:p>
      <w:pPr>
        <w:pStyle w:val="ListBullet"/>
        <w:spacing w:after="40"/>
      </w:pPr>
      <w:r>
        <w:rPr>
          <w:b/>
        </w:rPr>
        <w:t>6. Lattice size:</w:t>
      </w:r>
      <w:r>
        <w:t xml:space="preserve"> run a small check (up to 1,000 runs) before showing Bruchim, or after his critique?</w:t>
      </w:r>
    </w:p>
    <w:p>
      <w:pPr>
        <w:pStyle w:val="Heading1"/>
      </w:pPr>
      <w:r>
        <w:rPr>
          <w:rFonts w:ascii="Calibri" w:hAnsi="Calibri"/>
          <w:color w:val="1F3A5F"/>
        </w:rPr>
        <w:t>Can be done on your word</w:t>
      </w:r>
    </w:p>
    <w:p>
      <w:pPr>
        <w:pStyle w:val="ListBullet"/>
        <w:spacing w:after="40"/>
      </w:pPr>
      <w:r>
        <w:rPr>
          <w:b/>
        </w:rPr>
        <w:t>7. Computation on existing data:</w:t>
      </w:r>
      <w:r>
        <w:t xml:space="preserve"> compute cumulative births and exit attempts for established and non-established clones, if the needed fields exist in the episode data. Based on the result, decide whether to keep the claim about the role of transient clones.</w:t>
      </w:r>
    </w:p>
    <w:p>
      <w:pPr>
        <w:pStyle w:val="ListBullet"/>
        <w:spacing w:after="40"/>
      </w:pPr>
      <w:r>
        <w:rPr>
          <w:b/>
        </w:rPr>
        <w:t>8. Optional runs:</w:t>
      </w:r>
      <w:r>
        <w:t xml:space="preserve"> a variant with correlated death of sister cells (from “at most one” to “both together”, up to 1,000 runs). The revStore × oxyRev product law may change as a result.</w:t>
      </w:r>
    </w:p>
    <w:p>
      <w:pPr>
        <w:pStyle w:val="ListBullet"/>
        <w:spacing w:after="40"/>
      </w:pPr>
      <w:r>
        <w:rPr>
          <w:b/>
        </w:rPr>
        <w:t>9. Literature and positioning (after verification):</w:t>
      </w:r>
      <w:r>
        <w:t xml:space="preserve"> add Mitra, Wang and Butcher to the texts where they are needed; write a one-page “related work” section and compare the priority of this implementation with close models (the critic’s point on novelty).</w:t>
      </w:r>
    </w:p>
    <w:p>
      <w:pPr>
        <w:pStyle w:val="ListBullet"/>
        <w:spacing w:after="40"/>
      </w:pPr>
      <w:r>
        <w:rPr>
          <w:b/>
        </w:rPr>
        <w:t>10. Next step in the plan:</w:t>
      </w:r>
      <w:r>
        <w:t xml:space="preserve"> show the package to Bruchim and wait for his critique.</w:t>
      </w:r>
    </w:p>
    <w:p>
      <w:pPr>
        <w:pStyle w:val="Heading1"/>
      </w:pPr>
      <w:r>
        <w:rPr>
          <w:rFonts w:ascii="Calibri" w:hAnsi="Calibri"/>
          <w:color w:val="1F3A5F"/>
        </w:rPr>
        <w:t>Parked by your decision</w:t>
      </w:r>
    </w:p>
    <w:p>
      <w:pPr>
        <w:pStyle w:val="ListBullet"/>
        <w:spacing w:after="40"/>
      </w:pPr>
      <w:r>
        <w:t>The lactate-loop stand, then the oxygen stand (up to 1,000 runs, no code until you say so); a review of the clinical evidence on oxygen and IVF.</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