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осталось сделать</w:t>
      </w:r>
    </w:p>
    <w:p>
      <w:pPr>
        <w:spacing w:after="80"/>
      </w:pPr>
      <w:r>
        <w:t>14 октября 2026. Только невыполненное: статья v15, краткие версии v9, репозиторий со скриптом порога готовы. Пересчёт порога 250 / 1000 клеток выполнен и сюда не входит.</w:t>
      </w:r>
    </w:p>
    <w:p>
      <w:pPr>
        <w:pStyle w:val="Heading1"/>
      </w:pPr>
      <w:r>
        <w:rPr>
          <w:rFonts w:ascii="Calibri" w:hAnsi="Calibri"/>
          <w:color w:val="1F3A5F"/>
        </w:rPr>
        <w:t>Ждёт вас</w:t>
      </w:r>
    </w:p>
    <w:p>
      <w:pPr>
        <w:pStyle w:val="ListBullet"/>
        <w:spacing w:after="40"/>
      </w:pPr>
      <w:r>
        <w:rPr>
          <w:b/>
        </w:rPr>
        <w:t>1. DOI Zenodo:</w:t>
      </w:r>
      <w:r>
        <w:t xml:space="preserve"> пришлите новый DOI (и ссылку на запись). Заменю: статью EN и RU, титульные листы папки, README и CITATION репозитория, пересоберу архив; в кратких версиях — если DOI там нужен.</w:t>
      </w:r>
    </w:p>
    <w:p>
      <w:pPr>
        <w:pStyle w:val="ListBullet"/>
        <w:spacing w:after="40"/>
      </w:pPr>
      <w:r>
        <w:rPr>
          <w:b/>
        </w:rPr>
        <w:t>2. Сверка источников 12 и 15:</w:t>
      </w:r>
      <w:r>
        <w:t xml:space="preserve"> открыть в PubMed/PMC и сверить журнал, том, страницы, DOI: источник 12 (Cervical adenocarcinoma in situ in the United States, PMC5632134) и источник 15 (Stücker и соавт., J Physiol 2002;538(3):985–994). После этого в §0.4 можно оставить заявление о сверке без оговорки.</w:t>
      </w:r>
    </w:p>
    <w:p>
      <w:pPr>
        <w:pStyle w:val="Heading1"/>
      </w:pPr>
      <w:r>
        <w:rPr>
          <w:rFonts w:ascii="Calibri" w:hAnsi="Calibri"/>
          <w:color w:val="1F3A5F"/>
        </w:rPr>
        <w:t>Нужны ваши решения</w:t>
      </w:r>
    </w:p>
    <w:p>
      <w:pPr>
        <w:pStyle w:val="ListBullet"/>
        <w:spacing w:after="40"/>
      </w:pPr>
      <w:r>
        <w:rPr>
          <w:b/>
        </w:rPr>
        <w:t>3. Расхождение RU и EN:</w:t>
      </w:r>
      <w:r>
        <w:t xml:space="preserve"> в русской статье нет двух абзацев §4.1.1 (о «популяционном следствии» и о принятии в месте прибытия), которые есть в английской. Добавить их в осторожной редакции или оставить как есть?</w:t>
      </w:r>
    </w:p>
    <w:p>
      <w:pPr>
        <w:pStyle w:val="ListBullet"/>
        <w:spacing w:after="40"/>
      </w:pPr>
      <w:r>
        <w:rPr>
          <w:b/>
        </w:rPr>
        <w:t>4. Замечание об oxyRev:</w:t>
      </w:r>
      <w:r>
        <w:t xml:space="preserve"> оставить в тексте две мои фразы (доля гибнущих не более 50 %; избирательная токсичность) и прочтение «более 50 %» как «не более 50 %»?</w:t>
      </w:r>
    </w:p>
    <w:p>
      <w:pPr>
        <w:pStyle w:val="ListBullet"/>
        <w:spacing w:after="40"/>
      </w:pPr>
      <w:r>
        <w:rPr>
          <w:b/>
        </w:rPr>
        <w:t>5. «Кислородный фильтр»:</w:t>
      </w:r>
      <w:r>
        <w:t xml:space="preserve"> оставить рабочим названием с оговоркой о допущении или заменить нейтральным термином во всех файлах (статья, титульные листы, краткие версии, README, подписи рисунков)?</w:t>
      </w:r>
    </w:p>
    <w:p>
      <w:pPr>
        <w:pStyle w:val="ListBullet"/>
        <w:spacing w:after="40"/>
      </w:pPr>
      <w:r>
        <w:rPr>
          <w:b/>
        </w:rPr>
        <w:t>6. Размер решётки:</w:t>
      </w:r>
      <w:r>
        <w:t xml:space="preserve"> делать небольшую проверку (до 1000 прогонов) до показа Брухиму или после его критики?</w:t>
      </w:r>
    </w:p>
    <w:p>
      <w:pPr>
        <w:pStyle w:val="Heading1"/>
      </w:pPr>
      <w:r>
        <w:rPr>
          <w:rFonts w:ascii="Calibri" w:hAnsi="Calibri"/>
          <w:color w:val="1F3A5F"/>
        </w:rPr>
        <w:t>Могу сделать после вашего слова</w:t>
      </w:r>
    </w:p>
    <w:p>
      <w:pPr>
        <w:pStyle w:val="ListBullet"/>
        <w:spacing w:after="40"/>
      </w:pPr>
      <w:r>
        <w:rPr>
          <w:b/>
        </w:rPr>
        <w:t>7. Расчёт на существующих данных:</w:t>
      </w:r>
      <w:r>
        <w:t xml:space="preserve"> посчитать суммарные рождения и попытки выхода для закрепившихся и незакрепившихся клонов, если нужные поля есть в данных по эпизодам. По результату решить, оставлять ли утверждение о роли транзиторных клонов.</w:t>
      </w:r>
    </w:p>
    <w:p>
      <w:pPr>
        <w:pStyle w:val="ListBullet"/>
        <w:spacing w:after="40"/>
      </w:pPr>
      <w:r>
        <w:rPr>
          <w:b/>
        </w:rPr>
        <w:t>8. Опциональный прогон:</w:t>
      </w:r>
      <w:r>
        <w:t xml:space="preserve"> вариант с коррелированной гибелью сестринских клеток (от «не более одной» до «обе вместе», до 1000 прогонов). Закон произведения revStore × oxyRev при этом может измениться.</w:t>
      </w:r>
    </w:p>
    <w:p>
      <w:pPr>
        <w:pStyle w:val="ListBullet"/>
        <w:spacing w:after="40"/>
      </w:pPr>
      <w:r>
        <w:rPr>
          <w:b/>
        </w:rPr>
        <w:t>9. Литература и позиционирование (после сверки):</w:t>
      </w:r>
      <w:r>
        <w:t xml:space="preserve"> внести в тексты работы Mitra, Wang, Butcher там, где они нужны; написать раздел «близкие работы» на одну страницу и сравнить приоритет реализации с близкими моделями (замечание критика о новизне).</w:t>
      </w:r>
    </w:p>
    <w:p>
      <w:pPr>
        <w:pStyle w:val="ListBullet"/>
        <w:spacing w:after="40"/>
      </w:pPr>
      <w:r>
        <w:rPr>
          <w:b/>
        </w:rPr>
        <w:t>10. Следующий шаг по плану:</w:t>
      </w:r>
      <w:r>
        <w:t xml:space="preserve"> показать пакет Брухиму и дождаться его критики.</w:t>
      </w:r>
    </w:p>
    <w:p>
      <w:pPr>
        <w:pStyle w:val="Heading1"/>
      </w:pPr>
      <w:r>
        <w:rPr>
          <w:rFonts w:ascii="Calibri" w:hAnsi="Calibri"/>
          <w:color w:val="1F3A5F"/>
        </w:rPr>
        <w:t>Отложено по вашему решению</w:t>
      </w:r>
    </w:p>
    <w:p>
      <w:pPr>
        <w:pStyle w:val="ListBullet"/>
        <w:spacing w:after="40"/>
      </w:pPr>
      <w:r>
        <w:t>Стенд лактатной петли, затем кислородный стенд (до 1000 прогонов, кода нет, пока вы не скажете); обзор клинических данных по кислороду и IVF.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