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782aea9c49a1112d6d0131d709f75fe1262b0"/>
    <w:p>
      <w:pPr>
        <w:pStyle w:val="Heading1"/>
      </w:pPr>
      <w:r>
        <w:t xml:space="preserve">Clonal establishment in monolayer epithelium before immune control</w:t>
      </w:r>
    </w:p>
    <w:bookmarkStart w:id="20" w:name="X6de5d6d236db6df04fd7c9ff2c9263cc3b933b1"/>
    <w:p>
      <w:pPr>
        <w:pStyle w:val="Heading3"/>
      </w:pPr>
      <w:r>
        <w:t xml:space="preserve">An overview of a computational programme, and five propositions it puts forward for consideration</w:t>
      </w:r>
    </w:p>
    <w:p>
      <w:pPr>
        <w:pStyle w:val="FirstParagraph"/>
      </w:pPr>
      <w:r>
        <w:t xml:space="preserve">Yuri Dmitrochenko, MD · Sarah-Lana Demi</w:t>
      </w:r>
    </w:p>
    <w:p>
      <w:r>
        <w:pict>
          <v:rect style="width:0;height:1.5pt" o:hralign="center" o:hrstd="t" o:hr="t"/>
        </w:pict>
      </w:r>
    </w:p>
    <w:bookmarkEnd w:id="20"/>
    <w:bookmarkStart w:id="21" w:name="what-the-work-is-about"/>
    <w:p>
      <w:pPr>
        <w:pStyle w:val="Heading2"/>
      </w:pPr>
      <w:r>
        <w:t xml:space="preserve">1. What the work is about</w:t>
      </w:r>
    </w:p>
    <w:p>
      <w:pPr>
        <w:pStyle w:val="FirstParagraph"/>
      </w:pPr>
      <w:r>
        <w:t xml:space="preserve">There is a stage in the history of an epithelial clone that no method observes directly. A clone of 500–5,000 cells sits three to four orders of magnitude below the size at which a lesion becomes reliably detectable by imaging; a histological section captures one moment, and a biopsy destroys the object whose development would have to be followed. The same clone is too small for a coordinated immune response to be the factor that decides its fate. What decides it, at that size, are properties of the tissue: how much energy the cell carries of its own, how much oxygen reaches it at the moment it is born, and whether there is anywhere for it to go.</w:t>
      </w:r>
    </w:p>
    <w:p>
      <w:pPr>
        <w:pStyle w:val="BodyText"/>
      </w:pPr>
      <w:r>
        <w:t xml:space="preserve">This programme models that stage, for a simple (monolayer) epithelium only, and asks one question: under what conditions does a cell that has reverted to a less differentiated state found a clone that persists, and under what conditions is it removed?</w:t>
      </w:r>
    </w:p>
    <w:p>
      <w:pPr>
        <w:pStyle w:val="BodyText"/>
      </w:pPr>
      <w:r>
        <w:t xml:space="preserve">The model is deliberately not a tumour model. It has no immune compartment, no vasculature, no invasion and no gene expression. It contains free space, glucose, oxygen at the moment of a cell’s birth, and mechanical tension. The claim is correspondingly modest: the model fixes the</w:t>
      </w:r>
      <w:r>
        <w:t xml:space="preserve"> </w:t>
      </w:r>
      <w:r>
        <w:rPr>
          <w:iCs/>
          <w:i/>
        </w:rPr>
        <w:t xml:space="preserve">direction</w:t>
      </w:r>
      <w:r>
        <w:t xml:space="preserve"> </w:t>
      </w:r>
      <w:r>
        <w:t xml:space="preserve">of effects and the</w:t>
      </w:r>
      <w:r>
        <w:t xml:space="preserve"> </w:t>
      </w:r>
      <w:r>
        <w:rPr>
          <w:iCs/>
          <w:i/>
        </w:rPr>
        <w:t xml:space="preserve">ordering</w:t>
      </w:r>
      <w:r>
        <w:t xml:space="preserve"> </w:t>
      </w:r>
      <w:r>
        <w:t xml:space="preserve">of conditions, not their magnitudes.</w:t>
      </w:r>
    </w:p>
    <w:bookmarkEnd w:id="21"/>
    <w:bookmarkStart w:id="22" w:name="what-has-been-done"/>
    <w:p>
      <w:pPr>
        <w:pStyle w:val="Heading2"/>
      </w:pPr>
      <w:r>
        <w:t xml:space="preserve">2. What has been done</w:t>
      </w:r>
    </w:p>
    <w:p>
      <w:pPr>
        <w:pStyle w:val="FirstParagraph"/>
      </w:pPr>
      <w:r>
        <w:t xml:space="preserve">A hexagonal-lattice simulation of about 6,000 cells, in two independent implementations (JavaScript for inspection, Python/Numba for statistics), run 7,610 times across a grid of two parameters:</w:t>
      </w:r>
    </w:p>
    <w:p>
      <w:pPr>
        <w:numPr>
          <w:ilvl w:val="0"/>
          <w:numId w:val="1001"/>
        </w:numPr>
        <w:pStyle w:val="Compact"/>
      </w:pPr>
      <w:r>
        <w:rPr>
          <w:bCs/>
          <w:b/>
        </w:rPr>
        <w:t xml:space="preserve">revStore</w:t>
      </w:r>
      <w:r>
        <w:t xml:space="preserve"> </w:t>
      </w:r>
      <w:r>
        <w:t xml:space="preserve">— the glycogen ceiling of the reverted lineage, as a fraction of a differentiated cell’s store;</w:t>
      </w:r>
    </w:p>
    <w:p>
      <w:pPr>
        <w:numPr>
          <w:ilvl w:val="0"/>
          <w:numId w:val="1001"/>
        </w:numPr>
        <w:pStyle w:val="Compact"/>
      </w:pPr>
      <w:r>
        <w:rPr>
          <w:bCs/>
          <w:b/>
        </w:rPr>
        <w:t xml:space="preserve">oxyRev</w:t>
      </w:r>
      <w:r>
        <w:t xml:space="preserve"> </w:t>
      </w:r>
      <w:r>
        <w:t xml:space="preserve">— the probability that a newborn reverted cell survives a single oxygen filter applied at the moment of its birth.</w:t>
      </w:r>
    </w:p>
    <w:p>
      <w:pPr>
        <w:pStyle w:val="FirstParagraph"/>
      </w:pPr>
      <w:r>
        <w:t>Three environmental scenarios were used: undisturbed tissue, a bounded series of wounds, and chronic wounding. Code, the complete run data (one row per run, with 24-hour clone-size trajectories for 5,110 of them) and the scripts that regenerate every figure are deposited at Zenodo under DOI 10.5281/zenodo.23065346, MIT licence for code and CC BY 4.0 for data. A reproducibility series reran ten previously published runs (five seeds in each of two parameter cells) and reproduced all ten outcome columns without deviation.</w:t>
      </w:r>
    </w:p>
    <w:p>
      <w:pPr>
        <w:pStyle w:val="BodyText"/>
      </w:pPr>
      <w:r>
        <w:t xml:space="preserve">The series were run by S.-L. Demi; the model and its analysis are joint work.</w:t>
      </w:r>
    </w:p>
    <w:bookmarkEnd w:id="22"/>
    <w:bookmarkStart w:id="23" w:name="what-was-found"/>
    <w:p>
      <w:pPr>
        <w:pStyle w:val="Heading2"/>
      </w:pPr>
      <w:r>
        <w:t xml:space="preserve">3. What was found</w:t>
      </w:r>
    </w:p>
    <w:p>
      <w:pPr>
        <w:pStyle w:val="FirstParagraph"/>
      </w:pPr>
      <w:r>
        <w:rPr>
          <w:bCs/>
          <w:b/>
        </w:rPr>
        <w:t xml:space="preserve">Resource limitation alone does not hold a clone back.</w:t>
      </w:r>
      <w:r>
        <w:t xml:space="preserve"> </w:t>
      </w:r>
      <w:r>
        <w:t>With the oxygen filter switched off, the clone becomes established in 100 % of runs at every glycogen level from 0.25 to 1.0 of the differentiated store, with or without wounding; at 0.20 it is 20 % without wounding and 100 % under wounding. Reducing the energy buffer delays establishment; it does not prevent it.</w:t>
      </w:r>
    </w:p>
    <w:p>
      <w:pPr>
        <w:pStyle w:val="BodyText"/>
      </w:pPr>
      <w:r>
        <w:rPr>
          <w:bCs/>
          <w:b/>
        </w:rPr>
        <w:t xml:space="preserve">An oxygen filter applied at the moment of cell birth does hold it back, but only at reduced glycogen.</w:t>
      </w:r>
      <w:r>
        <w:t xml:space="preserve"> </w:t>
      </w:r>
      <w:r>
        <w:t xml:space="preserve">At revStore = 0.33 establishment falls to 0–1 % without wounding. At full glycogen the same filter does not contain the clone at all — 100 % establishment at every filter strength tested — it only delays establishment about fourfold.</w:t>
      </w:r>
    </w:p>
    <w:p>
      <w:pPr>
        <w:pStyle w:val="BodyText"/>
      </w:pPr>
      <w:r>
        <w:rPr>
          <w:bCs/>
          <w:b/>
        </w:rPr>
        <w:t xml:space="preserve">The two barriers behave differently under injury, and that difference is the robust result.</w:t>
      </w:r>
      <w:r>
        <w:t xml:space="preserve"> </w:t>
      </w:r>
      <w:r>
        <w:t>Wounding erases the resource barrier completely. It weakens the combined barrier but leaves a dose-dependent gradient: at reduced glycogen (revStore = 0.33), where establishment without wounding is 0–1 %, establishment under wounding rises from 11 % to about 90 % as the filter is relaxed from oxyRev 0.35 to 0.50. A clone with too little glycogen (revStore = 0.20) is not rescued by wounding when the filter is active. Containment requires both barriers at once, roughly where the product of the two parameters falls to 0.15–0.20.</w:t>
      </w:r>
    </w:p>
    <w:p>
      <w:pPr>
        <w:pStyle w:val="BodyText"/>
      </w:pPr>
      <w:r>
        <w:rPr>
          <w:bCs/>
          <w:b/>
        </w:rPr>
        <w:t xml:space="preserve">The modal outcome of a contained clone is not elimination but persistence at small size.</w:t>
      </w:r>
      <w:r>
        <w:t xml:space="preserve"> </w:t>
      </w:r>
      <w:r>
        <w:t>In the containment regime, 86 % of runs end with a surviving reverted clone of a few cells, while only 1 % reach the establishment threshold; 23 % end with a clone of at least twelve cells. The fallopian tube carries a directly counted lesion of exactly that description — the p53 signature, defined as at least twelve consecutive secretory nuclei with aberrant p53 in epithelium that is morphologically normal and not proliferating, reported in one published series in 50 % of control women and 71 % of BRCA carriers. The agreement is in the ordering (persistence greatly exceeds expansion), not in the values, and no model parameter was fitted to any clinical figure.</w:t>
      </w:r>
    </w:p>
    <w:p>
      <w:pPr>
        <w:pStyle w:val="BodyText"/>
      </w:pPr>
      <w:r>
        <w:rPr>
          <w:bCs/>
          <w:b/>
        </w:rPr>
        <w:t xml:space="preserve">An established clone escapes one barrier and not the other.</w:t>
      </w:r>
      <w:r>
        <w:t xml:space="preserve"> </w:t>
      </w:r>
      <w:r>
        <w:t>Deaths from loss of niche fall fivefold once a clone is established, so the clone does remove the constraint tied to space. It does not reduce its oxygen tax: an established clone grows by continuous division of the reverted lineage, and every one of those divisions re-rolls the birth filter, however large the clone becomes.</w:t>
      </w:r>
    </w:p>
    <w:bookmarkEnd w:id="23"/>
    <w:bookmarkStart w:id="24" w:name="why-this-may-be-of-clinical-interest"/>
    <w:p>
      <w:pPr>
        <w:pStyle w:val="Heading2"/>
      </w:pPr>
      <w:r>
        <w:t xml:space="preserve">4. Why this may be of clinical interest</w:t>
      </w:r>
    </w:p>
    <w:p>
      <w:pPr>
        <w:pStyle w:val="FirstParagraph"/>
      </w:pPr>
      <w:r>
        <w:t xml:space="preserve">The pre-immune window was argued to be unobservable, and for the established clone it is. But the window’s</w:t>
      </w:r>
      <w:r>
        <w:t xml:space="preserve"> </w:t>
      </w:r>
      <w:r>
        <w:rPr>
          <w:iCs/>
          <w:i/>
        </w:rPr>
        <w:t xml:space="preserve">modal</w:t>
      </w:r>
      <w:r>
        <w:t xml:space="preserve"> </w:t>
      </w:r>
      <w:r>
        <w:t>outcome is a clone of about a dozen morphologically normal cells, and that is not beyond any method — it is counted in archival tissue by immunohistochemistry on serial sections in research protocols. The model therefore makes a prediction about a quantity that already exists in pathology practice.</w:t>
      </w:r>
    </w:p>
    <w:p>
      <w:pPr>
        <w:pStyle w:val="BodyText"/>
      </w:pPr>
      <w:r>
        <w:t xml:space="preserve">A comparison of five epithelial sites — fallopian tube, endocervical canal, cervical transformation zone, vaginal wall, Eustachian tube — shows that luminal oxygen does not order the frequency of intraepithelial lesions, and that two pairs within the series bound the two factors separately: the vaginal wall against the transformation zone holds oxygen and virus constant and varies architecture (about a hundredfold difference), while the fallopian tube against the Eustachian tube holds architecture roughly constant and varies exposure.</w:t>
      </w:r>
    </w:p>
    <w:p>
      <w:pPr>
        <w:pStyle w:val="BodyText"/>
      </w:pPr>
      <w:r>
        <w:t>Three of those five sites have no published figure for the sub-morphological lesion at all. To our knowledge, nobody has applied the p53 protocol to the vaginal wall, to the transformation zone, or to the Eustachian tube.</w:t>
      </w:r>
    </w:p>
    <w:bookmarkEnd w:id="24"/>
    <w:bookmarkStart w:id="25" w:name="what-is-being-asked"/>
    <w:p>
      <w:pPr>
        <w:pStyle w:val="Heading2"/>
      </w:pPr>
      <w:r>
        <w:t xml:space="preserve">5. What is being asked</w:t>
      </w:r>
    </w:p>
    <w:p>
      <w:pPr>
        <w:pStyle w:val="FirstParagraph"/>
      </w:pPr>
      <w:r>
        <w:t>Nothing that requires resources, ethics approval or measurement. In substance: whether the clinical figures used are stated correctly and in the right units; whether the comparison as framed would be read as fair by a pathologist and a gynaecological oncologist; and whether anything in the ordering contradicts clinical experience in a way the article does not acknowledge.</w:t>
      </w:r>
    </w:p>
    <w:p>
      <w:pPr>
        <w:pStyle w:val="BodyText"/>
      </w:pPr>
      <w:r>
        <w:t>Beyond that, the five propositions in the next section are the material we would most like a clinical reader to weigh. A clinical pilot is not part of this work and is a separate conversation. HPV stratification is likewise outside it.</w:t>
      </w:r>
    </w:p>
    <w:p>
      <w:r>
        <w:pict>
          <v:rect style="width:0;height:1.5pt" o:hralign="center" o:hrstd="t" o:hr="t"/>
        </w:pict>
      </w:r>
    </w:p>
    <w:bookmarkEnd w:id="25"/>
    <w:bookmarkStart w:id="31" w:name="X22dadfdfc68e75d92c056dd3f7dcb247c5fdfad"/>
    <w:p>
      <w:pPr>
        <w:pStyle w:val="Heading2"/>
      </w:pPr>
      <w:r>
        <w:t xml:space="preserve">6. What the work puts forward for consideration</w:t>
      </w:r>
    </w:p>
    <w:p>
      <w:pPr>
        <w:pStyle w:val="FirstParagraph"/>
      </w:pPr>
      <w:r>
        <w:t>The work is a simulation and makes no clinical claim. What follows are five propositions it raises, each stated so that clinical experience and the published record can confirm, refute or qualify it. Model numbers are deliberately left out of this section; they are in the article.</w:t>
      </w:r>
    </w:p>
    <w:bookmarkStart w:id="26" w:name="Xaf1f09809d308fff6f255a0d7605cd38e4f4a23"/>
    <w:p>
      <w:pPr>
        <w:pStyle w:val="Heading3"/>
      </w:pPr>
      <w:r>
        <w:t xml:space="preserve">6.1. A tissue property can protect or permit, depending on where the tissue sits</w:t>
      </w:r>
    </w:p>
    <w:p>
      <w:pPr>
        <w:pStyle w:val="FirstParagraph"/>
      </w:pPr>
      <w:r>
        <w:rPr>
          <w:iCs/>
          <w:i/>
        </w:rPr>
        <w:t xml:space="preserve">What the work proposes.</w:t>
      </w:r>
      <w:r>
        <w:t xml:space="preserve"> </w:t>
      </w:r>
      <w:r>
        <w:t xml:space="preserve">The oxygen–glycogen filter is not a defence. It is a selection operator that runs in either direction according to the values of two quantities: how much energy the cell carries of its own, and how much oxidative culling it meets at the moment it is born. The same mechanism that removes a clone at one site allows it to persist at another, with no change in the clone itself.</w:t>
      </w:r>
    </w:p>
    <w:p>
      <w:pPr>
        <w:pStyle w:val="BodyText"/>
      </w:pPr>
      <w:r>
        <w:rPr>
          <w:iCs/>
          <w:i/>
        </w:rPr>
        <w:t xml:space="preserve">What it would mean.</w:t>
      </w:r>
      <w:r>
        <w:t xml:space="preserve"> </w:t>
      </w:r>
      <w:r>
        <w:t xml:space="preserve">“</w:t>
      </w:r>
      <w:r>
        <w:t xml:space="preserve">Hypoxia protects</w:t>
      </w:r>
      <w:r>
        <w:t xml:space="preserve">”</w:t>
      </w:r>
      <w:r>
        <w:t xml:space="preserve"> </w:t>
      </w:r>
      <w:r>
        <w:t xml:space="preserve">and</w:t>
      </w:r>
      <w:r>
        <w:t xml:space="preserve"> </w:t>
      </w:r>
      <w:r>
        <w:t xml:space="preserve">“</w:t>
      </w:r>
      <w:r>
        <w:t xml:space="preserve">hypoxia predisposes</w:t>
      </w:r>
      <w:r>
        <w:t xml:space="preserve">”</w:t>
      </w:r>
      <w:r>
        <w:t xml:space="preserve"> </w:t>
      </w:r>
      <w:r>
        <w:t xml:space="preserve">would both be ill-formed statements unless the site is named, and a risk factor could not be carried from one organ to another without re-establishing which term is limiting in each.</w:t>
      </w:r>
    </w:p>
    <w:p>
      <w:pPr>
        <w:pStyle w:val="BodyText"/>
      </w:pPr>
      <w:r>
        <w:rPr>
          <w:bCs/>
          <w:b/>
        </w:rPr>
        <w:t xml:space="preserve">Question.</w:t>
      </w:r>
      <w:r>
        <w:t xml:space="preserve"> </w:t>
      </w:r>
      <w:r>
        <w:t xml:space="preserve">Does this match what you see — are there sites where the association with oxygenation runs opposite to expectation? Does the contrast between the fallopian tube and the middle ear read as plausible, or is there a confound we have not named?</w:t>
      </w:r>
    </w:p>
    <w:bookmarkEnd w:id="26"/>
    <w:bookmarkStart w:id="27" w:name="X8a761e3c02b197143fc2ba09120845a26d51afc"/>
    <w:p>
      <w:pPr>
        <w:pStyle w:val="Heading3"/>
      </w:pPr>
      <w:r>
        <w:t xml:space="preserve">6.2. The p53 node may respond to the state of the epithelium, not only to the virus</w:t>
      </w:r>
    </w:p>
    <w:p>
      <w:pPr>
        <w:pStyle w:val="FirstParagraph"/>
      </w:pPr>
      <w:r>
        <w:rPr>
          <w:iCs/>
          <w:i/>
        </w:rPr>
        <w:t xml:space="preserve">What the work proposes.</w:t>
      </w:r>
      <w:r>
        <w:t xml:space="preserve"> </w:t>
      </w:r>
      <w:r>
        <w:t xml:space="preserve">The checkpoint machinery upstream of p53 is mechanically responsive, and p53 itself participates in the regenerative programme rather than only arresting damage. A junction held in a state of repair and remodelling may therefore load that node continuously, with viral action as one entry point among others rather than as the whole mechanism.</w:t>
      </w:r>
    </w:p>
    <w:p>
      <w:pPr>
        <w:pStyle w:val="BodyText"/>
      </w:pPr>
      <w:r>
        <w:rPr>
          <w:iCs/>
          <w:i/>
        </w:rPr>
        <w:t xml:space="preserve">What it would mean.</w:t>
      </w:r>
      <w:r>
        <w:t xml:space="preserve"> </w:t>
      </w:r>
      <w:r>
        <w:t xml:space="preserve">The transformation zone would be high-risk partly because of its mechanical and metaplastic state, with HPV converging on the same target — not as a rival explanation but as a second hit on one node.</w:t>
      </w:r>
    </w:p>
    <w:p>
      <w:pPr>
        <w:pStyle w:val="BodyText"/>
      </w:pPr>
      <w:r>
        <w:rPr>
          <w:bCs/>
          <w:b/>
        </w:rPr>
        <w:t xml:space="preserve">Question.</w:t>
      </w:r>
      <w:r>
        <w:t xml:space="preserve"> </w:t>
      </w:r>
      <w:r>
        <w:t xml:space="preserve">In your experience, does lesion frequency in the transformation zone track the extent and state of the junction more closely than it tracks viral load? Is there anything in practice that separates the two?</w:t>
      </w:r>
    </w:p>
    <w:bookmarkEnd w:id="27"/>
    <w:bookmarkStart w:id="28" w:name="X3adc909895f84ce6cb539a7f607d3101d2bc69f"/>
    <w:p>
      <w:pPr>
        <w:pStyle w:val="Heading3"/>
      </w:pPr>
      <w:r>
        <w:t xml:space="preserve">6.3. A clone that never becomes established may still be a source</w:t>
      </w:r>
    </w:p>
    <w:p>
      <w:pPr>
        <w:pStyle w:val="FirstParagraph"/>
      </w:pPr>
      <w:r>
        <w:rPr>
          <w:iCs/>
          <w:i/>
        </w:rPr>
        <w:t xml:space="preserve">What the work proposes.</w:t>
      </w:r>
      <w:r>
        <w:t xml:space="preserve"> </w:t>
      </w:r>
      <w:r>
        <w:t xml:space="preserve">In the regime where the tissue contains a clone, the usual outcome is not elimination but persistence at a small size. Such a clone remains in constant turnover, and cells leave the epithelium continuously by ordinary shedding, with no breach of the basement membrane. A source of ectopic cells may therefore exist that never forms a visible lesion and is not counted by any current protocol.</w:t>
      </w:r>
    </w:p>
    <w:p>
      <w:pPr>
        <w:pStyle w:val="BodyText"/>
      </w:pPr>
      <w:r>
        <w:rPr>
          <w:iCs/>
          <w:i/>
        </w:rPr>
        <w:t xml:space="preserve">What it would mean.</w:t>
      </w:r>
      <w:r>
        <w:t xml:space="preserve"> </w:t>
      </w:r>
      <w:r>
        <w:t xml:space="preserve">Extra-organ disease without a demonstrable primary would be an expected consequence rather than an anomaly. It would not, however, prove the mechanism: regression of a primary, and early dissemination from a lesion that did become established, remain alternative explanations that this work does not exclude.</w:t>
      </w:r>
    </w:p>
    <w:p>
      <w:pPr>
        <w:pStyle w:val="BodyText"/>
      </w:pPr>
      <w:r>
        <w:rPr>
          <w:bCs/>
          <w:b/>
        </w:rPr>
        <w:t xml:space="preserve">Question.</w:t>
      </w:r>
      <w:r>
        <w:t xml:space="preserve"> </w:t>
      </w:r>
      <w:r>
        <w:t xml:space="preserve">How often do you encounter serous carcinoma with no demonstrable intraepithelial precursor, and what is currently assumed about those cases?</w:t>
      </w:r>
    </w:p>
    <w:bookmarkEnd w:id="28"/>
    <w:bookmarkStart w:id="29" w:name="X9651e59b6da9af1cbc1e90ba37b6e9c50b4ab85"/>
    <w:p>
      <w:pPr>
        <w:pStyle w:val="Heading3"/>
      </w:pPr>
      <w:r>
        <w:t xml:space="preserve">6.4. The rules established in a flat sheet are meant to carry into the stage where depth appears</w:t>
      </w:r>
    </w:p>
    <w:p>
      <w:pPr>
        <w:pStyle w:val="FirstParagraph"/>
      </w:pPr>
      <w:r>
        <w:rPr>
          <w:iCs/>
          <w:i/>
        </w:rPr>
        <w:t xml:space="preserve">What the work proposes.</w:t>
      </w:r>
      <w:r>
        <w:t xml:space="preserve"> </w:t>
      </w:r>
      <w:r>
        <w:t xml:space="preserve">The two-dimensional stand was built so that its local rules and its two dimensionless parameters transfer unchanged into a geometry where the distance to the blood supply varies — that is, into the stage at which a lesion acquires depth. Three things must be redefined at that transition and are named in advance: the size threshold, which in a plane is an area and in a volume is not; the shedding of cells, which in a flat sheet needs no mechanism and in a volume does; and oxygen, which stops being a property of a cell lineage and becomes a field over the tissue.</w:t>
      </w:r>
    </w:p>
    <w:p>
      <w:pPr>
        <w:pStyle w:val="BodyText"/>
      </w:pPr>
      <w:r>
        <w:rPr>
          <w:iCs/>
          <w:i/>
        </w:rPr>
        <w:t xml:space="preserve">What it would mean.</w:t>
      </w:r>
      <w:r>
        <w:t xml:space="preserve"> </w:t>
      </w:r>
      <w:r>
        <w:t xml:space="preserve">The constraints established before vascular distance mattered would continue to apply once it begins to matter, with geometry entering as an additional term rather than replacing them. The transition in question is the one pathology calls microinvasion.</w:t>
      </w:r>
    </w:p>
    <w:p>
      <w:pPr>
        <w:pStyle w:val="BodyText"/>
      </w:pPr>
      <w:r>
        <w:rPr>
          <w:bCs/>
          <w:b/>
        </w:rPr>
        <w:t xml:space="preserve">Question.</w:t>
      </w:r>
      <w:r>
        <w:t xml:space="preserve"> </w:t>
      </w:r>
      <w:r>
        <w:t xml:space="preserve">What must a model of that transition reproduce in order to be worth anything — which features of the step from intraepithelial to microinvasive do you regard as the ones that actually have to be accounted for?</w:t>
      </w:r>
    </w:p>
    <w:bookmarkEnd w:id="29"/>
    <w:bookmarkStart w:id="30" w:name="Xb0a0f0a6c518049bda5d50b3060f6c81047e82f"/>
    <w:p>
      <w:pPr>
        <w:pStyle w:val="Heading3"/>
      </w:pPr>
      <w:r>
        <w:t xml:space="preserve">6.5. The sub-morphological stage may have to be characterised before the stages after it</w:t>
      </w:r>
    </w:p>
    <w:p>
      <w:pPr>
        <w:pStyle w:val="FirstParagraph"/>
      </w:pPr>
      <w:r>
        <w:rPr>
          <w:iCs/>
          <w:i/>
        </w:rPr>
        <w:t xml:space="preserve">What the work proposes.</w:t>
      </w:r>
      <w:r>
        <w:t xml:space="preserve"> </w:t>
      </w:r>
      <w:r>
        <w:t>The interval between a single altered cell and a lesion large enough to be seen sets the initial conditions for everything studied later, and it has one observable: clonal foci of about a dozen morphologically normal cells with aberrant p53, counted by immunohistochemistry on serially sectioned archival tissue. That figure exists for the fallopian tube. It does not exist for the vaginal wall, the transformation zone or the Eustachian tube, because, to our knowledge, nobody has applied the protocol there.</w:t>
      </w:r>
    </w:p>
    <w:p>
      <w:pPr>
        <w:pStyle w:val="BodyText"/>
      </w:pPr>
      <w:r>
        <w:rPr>
          <w:iCs/>
          <w:i/>
        </w:rPr>
        <w:t xml:space="preserve">What it would mean.</w:t>
      </w:r>
      <w:r>
        <w:t xml:space="preserve"> </w:t>
      </w:r>
      <w:r>
        <w:t>A single-protocol study on existing archival material would be informative whichever way it came out, and the predicted ordering is stated in the article. The design can support the mechanism in 6.3; it cannot refute it, because that mechanism sits partly below what the method counts. What it can test is the ordering by architecture and exposure.</w:t>
      </w:r>
    </w:p>
    <w:p>
      <w:pPr>
        <w:pStyle w:val="BodyText"/>
      </w:pPr>
      <w:r>
        <w:rPr>
          <w:bCs/>
          <w:b/>
        </w:rPr>
        <w:t xml:space="preserve">Question.</w:t>
      </w:r>
      <w:r>
        <w:t xml:space="preserve"> </w:t>
      </w:r>
      <w:r>
        <w:t xml:space="preserve">Is such a study worth discussing at all — and if so, with whom, and what would make it feasible on material that already exists?</w:t>
      </w:r>
    </w:p>
    <w:p>
      <w:r>
        <w:pict>
          <v:rect style="width:0;height:1.5pt" o:hralign="center" o:hrstd="t" o:hr="t"/>
        </w:pict>
      </w:r>
    </w:p>
    <w:bookmarkEnd w:id="30"/>
    <w:bookmarkEnd w:id="31"/>
    <w:bookmarkStart w:id="32" w:name="the-three-manuscripts"/>
    <w:bookmarkEnd w:id="32"/>
    <w:bookmarkStart w:id="33" w:name="what-the-work-does-not-claim"/>
    <w:p>
      <w:pPr>
        <w:pStyle w:val="Heading2"/>
      </w:pPr>
      <w:r>
        <w:t>7. What the work does not claim</w:t>
      </w:r>
    </w:p>
    <w:p>
      <w:pPr>
        <w:pStyle w:val="FirstParagraph"/>
      </w:pPr>
      <w:r>
        <w:t xml:space="preserve">That the simulation represents a tumour. That any number in it transfers to tissue. That immune recognition is absent at small clone size — only that it is not the factor deciding the outcome at the scale modelled. That the five-site comparison validates the model: its rows were not measured by the same methods, and the one row carrying a sub-morphological figure is the one row measured by a protocol the others were never subjected to.</w:t>
      </w:r>
    </w:p>
    <w:p>
      <w:pPr>
        <w:pStyle w:val="BodyText"/>
      </w:pPr>
      <w:r>
        <w:t xml:space="preserve">Every extrapolation between systems is marked as such in the text, and sources whose details could not be confirmed are flagged in their own reference entries rather than presented as settled.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2026-10-10T10:58:54Z</dcterms:created>
  <dcterms:modified xsi:type="dcterms:W3CDTF">2026-10-10T10:58:54Z</dcterms:modified>
</cp:coreProperties>
</file>

<file path=docProps/custom.xml><?xml version="1.0" encoding="utf-8"?>
<Properties xmlns="http://schemas.openxmlformats.org/officeDocument/2006/custom-properties" xmlns:vt="http://schemas.openxmlformats.org/officeDocument/2006/docPropsVTypes"/>
</file>