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5130e3ea0797003ace4b0c9bc5d96596cd2b720"/>
    <w:p>
      <w:pPr>
        <w:pStyle w:val="Heading1"/>
      </w:pPr>
      <w:r>
        <w:t xml:space="preserve">Закрепление клона в монослойном эпителии до иммунного контроля</w:t>
      </w:r>
    </w:p>
    <w:bookmarkStart w:id="20" w:name="X36516480681f63e6852aefa0b025af6930b64db"/>
    <w:p>
      <w:pPr>
        <w:pStyle w:val="Heading3"/>
      </w:pPr>
      <w:r>
        <w:t xml:space="preserve">Обзор вычислительной программы и пять положений, выносимых на рассмотрение</w:t>
      </w:r>
    </w:p>
    <w:p>
      <w:pPr>
        <w:pStyle w:val="FirstParagraph"/>
      </w:pPr>
      <w:r>
        <w:t xml:space="preserve">Юрий Дмитроченко, MD · Сара-Лана Деми</w:t>
      </w:r>
    </w:p>
    <w:p>
      <w:r>
        <w:pict>
          <v:rect style="width:0;height:1.5pt" o:hralign="center" o:hrstd="t" o:hr="t"/>
        </w:pict>
      </w:r>
    </w:p>
    <w:bookmarkEnd w:id="20"/>
    <w:bookmarkStart w:id="21" w:name="о-чём-работа"/>
    <w:p>
      <w:pPr>
        <w:pStyle w:val="Heading2"/>
      </w:pPr>
      <w:r>
        <w:t xml:space="preserve">1. О чём работа</w:t>
      </w:r>
    </w:p>
    <w:p>
      <w:pPr>
        <w:pStyle w:val="FirstParagraph"/>
      </w:pPr>
      <w:r>
        <w:t xml:space="preserve">В истории эпителиального клона есть стадия, которую ни один метод не наблюдает напрямую. Клон из 500–5 000 клеток лежит на три–четыре порядка ниже размера, при котором очаг надёжно выявляется визуализацией; гистологический срез фиксирует один момент, а биопсия разрушает тот объект, развитие которого требовалось бы проследить. Тот же клон слишком мал, чтобы согласованный иммунный ответ был фактором, решающим его судьбу. Решают её на этом размере свойства ткани: сколько энергии клетка несёт собственной, сколько кислорода встречает в момент рождения и есть ли ей куда расти.</w:t>
      </w:r>
    </w:p>
    <w:p>
      <w:pPr>
        <w:pStyle w:val="BodyText"/>
      </w:pPr>
      <w:r>
        <w:t xml:space="preserve">Программа моделирует эту стадию, только для простого (монослойного) эпителия, и задаёт один вопрос: при каких условиях клетка, вернувшаяся в менее дифференцированное состояние, основывает сохраняющийся клон, а при каких устраняется?</w:t>
      </w:r>
    </w:p>
    <w:p>
      <w:pPr>
        <w:pStyle w:val="BodyText"/>
      </w:pPr>
      <w:r>
        <w:t xml:space="preserve">Модель намеренно не является моделью опухоли. В ней нет иммунного компартмента, сосудов, инвазии и экспрессии генов. В ней есть свободное место, глюкоза, кислород в момент рождения клетки и механическое натяжение. Притязание соответственно скромное: модель фиксирует</w:t>
      </w:r>
      <w:r>
        <w:t xml:space="preserve"> </w:t>
      </w:r>
      <w:r>
        <w:rPr>
          <w:iCs/>
          <w:i/>
        </w:rPr>
        <w:t xml:space="preserve">направление</w:t>
      </w:r>
      <w:r>
        <w:t xml:space="preserve"> </w:t>
      </w:r>
      <w:r>
        <w:t xml:space="preserve">эффектов и</w:t>
      </w:r>
      <w:r>
        <w:t xml:space="preserve"> </w:t>
      </w:r>
      <w:r>
        <w:rPr>
          <w:iCs/>
          <w:i/>
        </w:rPr>
        <w:t xml:space="preserve">упорядочивание</w:t>
      </w:r>
      <w:r>
        <w:t xml:space="preserve"> </w:t>
      </w:r>
      <w:r>
        <w:t xml:space="preserve">условий, а не их величины.</w:t>
      </w:r>
    </w:p>
    <w:bookmarkEnd w:id="21"/>
    <w:bookmarkStart w:id="22" w:name="что-сделано"/>
    <w:p>
      <w:pPr>
        <w:pStyle w:val="Heading2"/>
      </w:pPr>
      <w:r>
        <w:t xml:space="preserve">2. Что сделано</w:t>
      </w:r>
    </w:p>
    <w:p>
      <w:pPr>
        <w:pStyle w:val="FirstParagraph"/>
      </w:pPr>
      <w:r>
        <w:t xml:space="preserve">Имитация на гексагональной решётке примерно из 6 000 клеток, в двух независимых реализациях (JavaScript для разбора, Python/Numba для статистики), прогнанная 7 610 раз по сетке двух параметров: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revStore</w:t>
      </w:r>
      <w:r>
        <w:t xml:space="preserve"> </w:t>
      </w:r>
      <w:r>
        <w:t xml:space="preserve">— потолок гликогена ревертной линии как доля запаса дифференцированной клетки;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oxyRev</w:t>
      </w:r>
      <w:r>
        <w:t xml:space="preserve"> </w:t>
      </w:r>
      <w:r>
        <w:t xml:space="preserve">— вероятность того, что новорождённая ревертная клетка переживёт однократный кислородный фильтр в момент своего рождения.</w:t>
      </w:r>
    </w:p>
    <w:p>
      <w:pPr>
        <w:pStyle w:val="FirstParagraph"/>
      </w:pPr>
      <w:r>
        <w:t>Использованы три сценария среды: непотревоженная ткань, ограниченная серия ранений и хроническое ранение. Код, полные данные прогонов (строка на прогон, с 24-часовыми траекториями размера клона для 5 110 из них) и скрипты, воссоздающие каждый рисунок, депонированы в Zenodo под DOI 10.5281/zenodo.23065346, лицензия MIT для кода и CC BY 4.0 для данных. Серия воспроизводимости повторила десять ранее опубликованных прогонов (по пять сидов в каждой из двух ячеек параметров) и воспроизвела все десять столбцов исходов без отклонений.</w:t>
      </w:r>
    </w:p>
    <w:p>
      <w:pPr>
        <w:pStyle w:val="BodyText"/>
      </w:pPr>
      <w:r>
        <w:t xml:space="preserve">Серии прогнаны С.-Л. Деми; модель и её анализ — совместная работа.</w:t>
      </w:r>
    </w:p>
    <w:bookmarkEnd w:id="22"/>
    <w:bookmarkStart w:id="23" w:name="что-найдено"/>
    <w:p>
      <w:pPr>
        <w:pStyle w:val="Heading2"/>
      </w:pPr>
      <w:r>
        <w:t xml:space="preserve">3. Что найдено</w:t>
      </w:r>
    </w:p>
    <w:p>
      <w:pPr>
        <w:pStyle w:val="FirstParagraph"/>
      </w:pPr>
      <w:r>
        <w:rPr>
          <w:bCs/>
          <w:b/>
        </w:rPr>
        <w:t xml:space="preserve">Одно ресурсное ограничение клон не сдерживает.</w:t>
      </w:r>
      <w:r>
        <w:t xml:space="preserve"> </w:t>
      </w:r>
      <w:r>
        <w:t>При выключенном кислородном фильтре клон закрепляется в 100 % прогонов при любом уровне гликогена от 0,25 до 1,0 запаса дифференцированной клетки, с ранением и без; при 0,20 — 20 % без ранения и 100 % при ранении. Уменьшение энергетического буфера отсрочивает закрепление, но не предотвращает его.</w:t>
      </w:r>
    </w:p>
    <w:p>
      <w:pPr>
        <w:pStyle w:val="BodyText"/>
      </w:pPr>
      <w:r>
        <w:rPr>
          <w:bCs/>
          <w:b/>
        </w:rPr>
        <w:t xml:space="preserve">Кислородный фильтр, приложенный в момент рождения клетки, сдерживает — но только при уменьшенном гликогене.</w:t>
      </w:r>
      <w:r>
        <w:t xml:space="preserve"> </w:t>
      </w:r>
      <w:r>
        <w:t xml:space="preserve">При revStore = 0,33 закрепление падает до 0–1 % без ранения. При полном гликогене тот же фильтр не сдерживает клон вовсе — 100 % закрепления при любой силе фильтра — он лишь отсрочивает закрепление примерно вчетверо.</w:t>
      </w:r>
    </w:p>
    <w:p>
      <w:pPr>
        <w:pStyle w:val="BodyText"/>
      </w:pPr>
      <w:r>
        <w:rPr>
          <w:bCs/>
          <w:b/>
        </w:rPr>
        <w:t xml:space="preserve">При повреждении два барьера ведут себя по-разному, и это различие есть устойчивый результат.</w:t>
      </w:r>
      <w:r>
        <w:t xml:space="preserve"> </w:t>
      </w:r>
      <w:r>
        <w:t>Ранение стирает ресурсный барьер полностью. Комбинированный барьер оно ослабляет, но оставляет дозозависимый градиент: при сниженном гликогене (revStore = 0,33), где без ранения закрепление составляет 0–1 %, при ранении оно растёт с 11 % до примерно 90 % по мере ослабления фильтра от oxyRev 0,35 до 0,50. Клон со слишком малым гликогеном (revStore = 0,20) при действующем фильтре ранением не спасается. Сдерживание требует обоих барьеров сразу, примерно там, где произведение двух параметров падает до 0,15–0,20.</w:t>
      </w:r>
    </w:p>
    <w:p>
      <w:pPr>
        <w:pStyle w:val="BodyText"/>
      </w:pPr>
      <w:r>
        <w:rPr>
          <w:bCs/>
          <w:b/>
        </w:rPr>
        <w:t xml:space="preserve">Модальный исход сдерживаемого клона — не устранение, а персистенция при малом размере.</w:t>
      </w:r>
      <w:r>
        <w:t xml:space="preserve"> </w:t>
      </w:r>
      <w:r>
        <w:t>В режиме сдерживания 86 % прогонов заканчиваются выжившим ревертным клоном из нескольких клеток, тогда как порога закрепления достигает лишь 1 %; 23 % заканчиваются клоном не менее двенадцати клеток. Маточная труба несёт непосредственно подсчитываемое поражение ровно этого описания — p53-сигнатуру, определяемую как не менее двенадцати последовательных секреторных ядер с аберрантным p53 в морфологически нормальном и непролиферирующем эпителии, выявляемую в одной опубликованной серии у 50 % женщин контрольной группы и у 71 % носителей BRCA. Согласие касается упорядочивания (персистенция значительно превосходит расширение), а не величин, и ни один параметр модели не подгонялся ни к какой клинической цифре.</w:t>
      </w:r>
    </w:p>
    <w:p>
      <w:pPr>
        <w:pStyle w:val="BodyText"/>
      </w:pPr>
      <w:r>
        <w:rPr>
          <w:bCs/>
          <w:b/>
        </w:rPr>
        <w:t xml:space="preserve">Закрепившийся клон уходит от одного барьера и не уходит от другого.</w:t>
      </w:r>
      <w:r>
        <w:t xml:space="preserve"> </w:t>
      </w:r>
      <w:r>
        <w:t>Гибель от утраты ниши падает впятеро после закрепления, то есть клон действительно снимает ограничение, привязанное к месту. Кислородный налог он не снижает: закрепившийся клон растёт непрерывным делением ревертной линии, и каждое такое деление прокатывает фильтр при рождении заново, как бы велик клон ни стал.</w:t>
      </w:r>
    </w:p>
    <w:bookmarkEnd w:id="23"/>
    <w:bookmarkStart w:id="24" w:name="чем-это-может-быть-интересно-клинически"/>
    <w:p>
      <w:pPr>
        <w:pStyle w:val="Heading2"/>
      </w:pPr>
      <w:r>
        <w:t xml:space="preserve">4. Чем это может быть интересно клинически</w:t>
      </w:r>
    </w:p>
    <w:p>
      <w:pPr>
        <w:pStyle w:val="FirstParagraph"/>
      </w:pPr>
      <w:r>
        <w:t xml:space="preserve">Преиммунное окно объявлено ненаблюдаемым, и для закрепившегося клона это так. Но</w:t>
      </w:r>
      <w:r>
        <w:t xml:space="preserve"> </w:t>
      </w:r>
      <w:r>
        <w:rPr>
          <w:iCs/>
          <w:i/>
        </w:rPr>
        <w:t xml:space="preserve">модальный</w:t>
      </w:r>
      <w:r>
        <w:t xml:space="preserve"> </w:t>
      </w:r>
      <w:r>
        <w:t>исход окна — клон примерно из дюжины морфологически нормальных клеток, а он не находится за пределами всякого метода: его считают в архивной ткани иммуногистохимией на серийных срезах в исследовательских протоколах. Модель поэтому делает предсказание о величине, которая в патологоанатомической практике уже существует.</w:t>
      </w:r>
    </w:p>
    <w:p>
      <w:pPr>
        <w:pStyle w:val="BodyText"/>
      </w:pPr>
      <w:r>
        <w:t xml:space="preserve">Сравнение пяти эпителиальных площадок — маточная труба, эндоцервикальный канал, цервикальная зона трансформации, стенка влагалища, евстахиева труба — показывает, что люминальный кислород частоту внутриэпителиальных поражений не упорядочивает и что две пары внутри ряда ограничивают два фактора по отдельности: стенка влагалища против зоны трансформации держит постоянными кислород и вирус, меняя архитектуру (разница примерно стократная), а маточная труба против евстахиевой держит приблизительно постоянной архитектуру, меняя экспозицию.</w:t>
      </w:r>
    </w:p>
    <w:p>
      <w:pPr>
        <w:pStyle w:val="BodyText"/>
      </w:pPr>
      <w:r>
        <w:t>Три из этих пяти площадок не имеют опубликованной цифры для подморфологического поражения вовсе. Насколько нам известно, никто не применял протокол p53 к стенке влагалища, к зоне трансформации и к евстахиевой трубе.</w:t>
      </w:r>
    </w:p>
    <w:bookmarkEnd w:id="24"/>
    <w:bookmarkStart w:id="25" w:name="о-чём-просьба"/>
    <w:p>
      <w:pPr>
        <w:pStyle w:val="Heading2"/>
      </w:pPr>
      <w:r>
        <w:t xml:space="preserve">5. О чём просьба</w:t>
      </w:r>
    </w:p>
    <w:p>
      <w:pPr>
        <w:pStyle w:val="FirstParagraph"/>
      </w:pPr>
      <w:r>
        <w:t>Ни о чём, что требует ресурсов, этического одобрения или измерений. По существу: верно ли и в тех ли единицах приведены использованные клинические цифры; выглядело бы сравнение в данной подаче корректным для патологоанатома и гинеколога-онколога; и противоречит ли что-либо в упорядочивании клиническому опыту так, как статья этого не признаёт.</w:t>
      </w:r>
    </w:p>
    <w:p>
      <w:pPr>
        <w:pStyle w:val="BodyText"/>
      </w:pPr>
      <w:r>
        <w:t>Сверх того, пять положений следующего раздела — именно тот материал, по которому мы более всего хотели бы услышать клинического читателя. Клинический пилот в эту работу не входит и составляет отдельный разговор. Стратификация по HPV также вне её.</w:t>
      </w:r>
    </w:p>
    <w:p>
      <w:r>
        <w:pict>
          <v:rect style="width:0;height:1.5pt" o:hralign="center" o:hrstd="t" o:hr="t"/>
        </w:pict>
      </w:r>
    </w:p>
    <w:bookmarkEnd w:id="25"/>
    <w:bookmarkStart w:id="31" w:name="что-работа-выносит-на-рассмотрение"/>
    <w:p>
      <w:pPr>
        <w:pStyle w:val="Heading2"/>
      </w:pPr>
      <w:r>
        <w:t xml:space="preserve">6. Что работа выносит на рассмотрение</w:t>
      </w:r>
    </w:p>
    <w:p>
      <w:pPr>
        <w:pStyle w:val="FirstParagraph"/>
      </w:pPr>
      <w:r>
        <w:t>Работа есть имитация и клинических утверждений не делает. Ниже пять положений, каждое изложено так, чтобы клинический опыт и опубликованные данные могли его подтвердить, опровергнуть или уточнить. Модельные числа в этом разделе намеренно опущены; они в статье.</w:t>
      </w:r>
    </w:p>
    <w:bookmarkStart w:id="26" w:name="X5f9092e70082cd5396e60ac018bce59c120c218"/>
    <w:p>
      <w:pPr>
        <w:pStyle w:val="Heading3"/>
      </w:pPr>
      <w:r>
        <w:t xml:space="preserve">6.1. Свойство ткани может защищать или допускать — в зависимости от того, где ткань находится</w:t>
      </w:r>
    </w:p>
    <w:p>
      <w:pPr>
        <w:pStyle w:val="FirstParagraph"/>
      </w:pPr>
      <w:r>
        <w:rPr>
          <w:iCs/>
          <w:i/>
        </w:rPr>
        <w:t xml:space="preserve">Что предлагается.</w:t>
      </w:r>
      <w:r>
        <w:t xml:space="preserve"> </w:t>
      </w:r>
      <w:r>
        <w:t xml:space="preserve">Кислородно-гликогеновый фильтр не есть защита. Это оператор отбора, идущий в любую из двух сторон в зависимости от значений двух величин: сколько энергии клетка несёт собственной и насколько сильную окислительную выбраковку встречает в момент рождения. Один и тот же механизм, устраняющий клон на одной площадке, позволяет ему персистировать на другой — без всяких изменений в самом клоне.</w:t>
      </w:r>
    </w:p>
    <w:p>
      <w:pPr>
        <w:pStyle w:val="BodyText"/>
      </w:pPr>
      <w:r>
        <w:rPr>
          <w:iCs/>
          <w:i/>
        </w:rPr>
        <w:t xml:space="preserve">Что это означало бы.</w:t>
      </w:r>
      <w:r>
        <w:t xml:space="preserve"> </w:t>
      </w:r>
      <w:r>
        <w:t xml:space="preserve">«Гипоксия защищает» и «гипоксия предрасполагает» оказались бы одинаково неправильно построенными утверждениями, пока не названа площадка, а фактор риска нельзя было бы переносить с одного органа на другой, не установив заново, какой член лимитирует в каждом.</w:t>
      </w:r>
    </w:p>
    <w:p>
      <w:pPr>
        <w:pStyle w:val="BodyText"/>
      </w:pPr>
      <w:r>
        <w:rPr>
          <w:bCs/>
          <w:b/>
        </w:rPr>
        <w:t xml:space="preserve">Вопрос.</w:t>
      </w:r>
      <w:r>
        <w:t xml:space="preserve"> </w:t>
      </w:r>
      <w:r>
        <w:t xml:space="preserve">Соответствует ли это тому, что вы видите, — есть ли площадки, где связь с оксигенацией идёт против ожидания? Выглядит ли контраст маточной трубы и среднего уха правдоподобным, или там есть примесь, которую мы не назвали?</w:t>
      </w:r>
    </w:p>
    <w:bookmarkEnd w:id="26"/>
    <w:bookmarkStart w:id="27" w:name="Xb20c5f8cf8b60beb3a5cbaa4eb49c3eec91fd64"/>
    <w:p>
      <w:pPr>
        <w:pStyle w:val="Heading3"/>
      </w:pPr>
      <w:r>
        <w:t xml:space="preserve">6.2. Узел p53 может отвечать на состояние эпителия, а не только на вирус</w:t>
      </w:r>
    </w:p>
    <w:p>
      <w:pPr>
        <w:pStyle w:val="FirstParagraph"/>
      </w:pPr>
      <w:r>
        <w:rPr>
          <w:iCs/>
          <w:i/>
        </w:rPr>
        <w:t xml:space="preserve">Что предлагается.</w:t>
      </w:r>
      <w:r>
        <w:t xml:space="preserve"> </w:t>
      </w:r>
      <w:r>
        <w:t xml:space="preserve">Механизм чекпойнта выше p53 механически отзывчив, а сам p53 участвует в регенеративной программе, а не только останавливает повреждение. Стык, удерживаемый в состоянии восстановления и перестройки, может поэтому нагружать этот узел непрерывно, а действие вируса оказывается одним входом среди прочих, а не всем механизмом.</w:t>
      </w:r>
    </w:p>
    <w:p>
      <w:pPr>
        <w:pStyle w:val="BodyText"/>
      </w:pPr>
      <w:r>
        <w:rPr>
          <w:iCs/>
          <w:i/>
        </w:rPr>
        <w:t xml:space="preserve">Что это означало бы.</w:t>
      </w:r>
      <w:r>
        <w:t xml:space="preserve"> </w:t>
      </w:r>
      <w:r>
        <w:t xml:space="preserve">Зона трансформации была бы зоной высокого риска отчасти из-за своего механического и метапластического состояния, а HPV сходился бы на той же мишени — не как конкурирующее объяснение, а как второй удар по одному узлу.</w:t>
      </w:r>
    </w:p>
    <w:p>
      <w:pPr>
        <w:pStyle w:val="BodyText"/>
      </w:pPr>
      <w:r>
        <w:rPr>
          <w:bCs/>
          <w:b/>
        </w:rPr>
        <w:t xml:space="preserve">Вопрос.</w:t>
      </w:r>
      <w:r>
        <w:t xml:space="preserve"> </w:t>
      </w:r>
      <w:r>
        <w:t xml:space="preserve">По вашему опыту, следует ли частота поражений в зоне трансформации за протяжённостью и состоянием стыка теснее, чем за вирусной нагрузкой? Есть ли в практике что-либо, разделяющее эти две вещи?</w:t>
      </w:r>
    </w:p>
    <w:bookmarkEnd w:id="27"/>
    <w:bookmarkStart w:id="28" w:name="X37ca36eeacbc1c5aa366bc77f4564f661244723"/>
    <w:p>
      <w:pPr>
        <w:pStyle w:val="Heading3"/>
      </w:pPr>
      <w:r>
        <w:t xml:space="preserve">6.3. Клон, который никогда не закрепляется, может тем не менее быть источником</w:t>
      </w:r>
    </w:p>
    <w:p>
      <w:pPr>
        <w:pStyle w:val="FirstParagraph"/>
      </w:pPr>
      <w:r>
        <w:rPr>
          <w:iCs/>
          <w:i/>
        </w:rPr>
        <w:t xml:space="preserve">Что предлагается.</w:t>
      </w:r>
      <w:r>
        <w:t xml:space="preserve"> </w:t>
      </w:r>
      <w:r>
        <w:t xml:space="preserve">В режиме, где ткань клон сдерживает, обычный исход — не устранение, а персистенция при малом размере. Такой клон находится в постоянном обороте, а клетки покидают эпителий непрерывно обычным сбросом, без всякого прорыва базальной мембраны. Источник эктопических клеток может поэтому существовать, никогда не образуя видимого поражения и не учитываясь ни одним из нынешних протоколов.</w:t>
      </w:r>
    </w:p>
    <w:p>
      <w:pPr>
        <w:pStyle w:val="BodyText"/>
      </w:pPr>
      <w:r>
        <w:rPr>
          <w:iCs/>
          <w:i/>
        </w:rPr>
        <w:t xml:space="preserve">Что это означало бы.</w:t>
      </w:r>
      <w:r>
        <w:t xml:space="preserve"> </w:t>
      </w:r>
      <w:r>
        <w:t xml:space="preserve">Внеорганное заболевание без обнаружимого первичного очага было бы ожидаемым следствием, а не аномалией. Это, однако, механизма не доказывало бы: регрессия первичного очага и ранняя диссеминация из поражения, которое всё же закрепилось, остаются альтернативными объяснениями, которых работа не исключает.</w:t>
      </w:r>
    </w:p>
    <w:p>
      <w:pPr>
        <w:pStyle w:val="BodyText"/>
      </w:pPr>
      <w:r>
        <w:rPr>
          <w:bCs/>
          <w:b/>
        </w:rPr>
        <w:t xml:space="preserve">Вопрос.</w:t>
      </w:r>
      <w:r>
        <w:t xml:space="preserve"> </w:t>
      </w:r>
      <w:r>
        <w:t xml:space="preserve">Как часто вы встречаете серозную карциному без обнаружимого внутриэпителиального предшественника и что об этих случаях принято думать сейчас?</w:t>
      </w:r>
    </w:p>
    <w:bookmarkEnd w:id="28"/>
    <w:bookmarkStart w:id="29" w:name="X27bc71398265efa645c564cebf70538d708602d"/>
    <w:p>
      <w:pPr>
        <w:pStyle w:val="Heading3"/>
      </w:pPr>
      <w:r>
        <w:t xml:space="preserve">6.4. Правила, установленные в плоском пласте, предназначены переноситься на стадию, где появляется глубина</w:t>
      </w:r>
    </w:p>
    <w:p>
      <w:pPr>
        <w:pStyle w:val="FirstParagraph"/>
      </w:pPr>
      <w:r>
        <w:rPr>
          <w:iCs/>
          <w:i/>
        </w:rPr>
        <w:t xml:space="preserve">Что предлагается.</w:t>
      </w:r>
      <w:r>
        <w:t xml:space="preserve"> </w:t>
      </w:r>
      <w:r>
        <w:t xml:space="preserve">Двумерный стенд построен так, чтобы его локальные правила и два безразмерных параметра переносились без изменений в геометрию, где расстояние до кровоснабжения переменно, — то есть на стадию, где поражение приобретает глубину. Три вещи при этом переходе придётся переопределить, и они названы заранее: размерный порог, который в плоскости есть площадь, а в объёме нет; сброс клеток, которому в плоском пласте механизм не нужен, а в объёме нужен; и кислород, который перестаёт быть свойством клеточной линии и становится полем над тканью.</w:t>
      </w:r>
    </w:p>
    <w:p>
      <w:pPr>
        <w:pStyle w:val="BodyText"/>
      </w:pPr>
      <w:r>
        <w:rPr>
          <w:iCs/>
          <w:i/>
        </w:rPr>
        <w:t xml:space="preserve">Что это означало бы.</w:t>
      </w:r>
      <w:r>
        <w:t xml:space="preserve"> </w:t>
      </w:r>
      <w:r>
        <w:t xml:space="preserve">Ограничения, установленные до того, как сосудистое расстояние стало значимым, продолжали бы действовать и после, а геометрия входила бы дополнительным членом, не заменяя их. Переход, о котором идёт речь, — тот, который патология называет микроинвазией.</w:t>
      </w:r>
    </w:p>
    <w:p>
      <w:pPr>
        <w:pStyle w:val="BodyText"/>
      </w:pPr>
      <w:r>
        <w:rPr>
          <w:bCs/>
          <w:b/>
        </w:rPr>
        <w:t xml:space="preserve">Вопрос.</w:t>
      </w:r>
      <w:r>
        <w:t xml:space="preserve"> </w:t>
      </w:r>
      <w:r>
        <w:t xml:space="preserve">Что модель этого перехода обязана воспроизвести, чтобы чего-то стоить, — какие черты шага от внутриэпителиального к микроинвазивному вы считаете теми, что действительно необходимо учесть?</w:t>
      </w:r>
    </w:p>
    <w:bookmarkEnd w:id="29"/>
    <w:bookmarkStart w:id="30" w:name="X408b5f591ff8ef5dd66a6be872d0185d968ff50"/>
    <w:p>
      <w:pPr>
        <w:pStyle w:val="Heading3"/>
      </w:pPr>
      <w:r>
        <w:t xml:space="preserve">6.5. Подморфологическую стадию, возможно, придётся охарактеризовать прежде стадий, следующих за ней</w:t>
      </w:r>
    </w:p>
    <w:p>
      <w:pPr>
        <w:pStyle w:val="FirstParagraph"/>
      </w:pPr>
      <w:r>
        <w:rPr>
          <w:iCs/>
          <w:i/>
        </w:rPr>
        <w:t xml:space="preserve">Что предлагается.</w:t>
      </w:r>
      <w:r>
        <w:t xml:space="preserve"> </w:t>
      </w:r>
      <w:r>
        <w:t xml:space="preserve">Интервал между единичной изменённой клеткой и поражением, достаточно крупным, чтобы его увидеть, задаёт начальные условия для всего изучаемого позже, и у него есть одна наблюдаемая величина: клональные очаги примерно из дюжины морфологически нормальных клеток с аберрантным p53, подсчитываемые иммуногистохимией на серийно нарезанной архивной ткани. Для маточной трубы эта цифра существует. Для стенки влагалища, зоны трансформации и евстахиевой трубы её нет, потому что протокол там не применяли.</w:t>
      </w:r>
    </w:p>
    <w:p>
      <w:pPr>
        <w:pStyle w:val="BodyText"/>
      </w:pPr>
      <w:r>
        <w:rPr>
          <w:iCs/>
          <w:i/>
        </w:rPr>
        <w:t xml:space="preserve">Что это означало бы.</w:t>
      </w:r>
      <w:r>
        <w:t xml:space="preserve"> </w:t>
      </w:r>
      <w:r>
        <w:t>Исследование одним протоколом на уже существующем архивном материале было бы информативно при любом исходе, и предсказанное упорядочивание изложено в статье. Такой дизайн может поддержать механизм раздела 6.3, но не может его опровергнуть, поскольку тот частично лежит ниже того, что метод считает. Опровергнуть он может упорядочивание по архитектуре и экспозиции.</w:t>
      </w:r>
    </w:p>
    <w:p>
      <w:pPr>
        <w:pStyle w:val="BodyText"/>
      </w:pPr>
      <w:r>
        <w:rPr>
          <w:bCs/>
          <w:b/>
        </w:rPr>
        <w:t xml:space="preserve">Вопрос.</w:t>
      </w:r>
      <w:r>
        <w:t xml:space="preserve"> </w:t>
      </w:r>
      <w:r>
        <w:t xml:space="preserve">Стоит ли такое исследование вообще обсуждать — и если да, то с кем, и что сделало бы его выполнимым на материале, который уже есть?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три-рукописи"/>
    <w:bookmarkEnd w:id="32"/>
    <w:bookmarkStart w:id="33" w:name="чего-работа-не-утверждает"/>
    <w:p>
      <w:pPr>
        <w:pStyle w:val="Heading2"/>
      </w:pPr>
      <w:r>
        <w:t>7. Чего работа не утверждает</w:t>
      </w:r>
    </w:p>
    <w:p>
      <w:pPr>
        <w:pStyle w:val="FirstParagraph"/>
      </w:pPr>
      <w:r>
        <w:t xml:space="preserve">Что имитация представляет опухоль. Что какое-либо число из неё переносится на ткань. Что иммунное распознавание при малом размере клона отсутствует — только что оно не есть фактор, решающий исход на моделируемом масштабе. Что пятиплощадочное сравнение модель валидирует: его строки измерялись не одними методами, и та единственная строка, которая несёт подморфологическую цифру, есть та единственная строка, которая измерена протоколом, остальным не применявшимся.</w:t>
      </w:r>
    </w:p>
    <w:p>
      <w:pPr>
        <w:pStyle w:val="BodyText"/>
      </w:pPr>
      <w:r>
        <w:t xml:space="preserve">Каждая экстраполяция между системами помечена в тексте как таковая, а источники, детали которых подтвердить не удалось, отмечены в собственных записях списка литературы, а не поданы как установленные.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pageBreakBefore/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2026-10-10T10:58:54Z</dcterms:created>
  <dcterms:modified xsi:type="dcterms:W3CDTF">2026-10-10T10:58:54Z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