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40"/>
          <w:szCs w:val="40"/>
        </w:rPr>
        <w:t xml:space="preserve">CANCER AS THE DELAYED PRICE OF REGENERATION</w:t>
      </w:r>
    </w:p>
    <w:p>
      <w:pPr>
        <w:spacing w:after="80"/>
      </w:pPr>
      <w:r>
        <w:rPr>
          <w:rFonts w:ascii="Times New Roman" w:cs="Times New Roman" w:eastAsia="Times New Roman" w:hAnsi="Times New Roman"/>
          <w:sz w:val="24"/>
          <w:szCs w:val="24"/>
        </w:rPr>
        <w:t xml:space="preserve"/>
      </w:r>
    </w:p>
    <w:p>
      <w:pPr>
        <w:spacing w:after="80"/>
        <w:jc w:val="center"/>
      </w:pPr>
      <w:r>
        <w:rPr>
          <w:rFonts w:ascii="Arial" w:cs="Arial" w:eastAsia="Arial" w:hAnsi="Arial"/>
          <w:b/>
          <w:bCs/>
          <w:color w:val="2E75B6"/>
          <w:sz w:val="27"/>
          <w:szCs w:val="27"/>
        </w:rPr>
        <w:t xml:space="preserve">Coevolution of Multicellular Organisms, Tissue Plasticity,</w:t>
      </w:r>
    </w:p>
    <w:p>
      <w:pPr>
        <w:spacing w:after="100"/>
        <w:jc w:val="center"/>
      </w:pPr>
      <w:r>
        <w:rPr>
          <w:rFonts w:ascii="Arial" w:cs="Arial" w:eastAsia="Arial" w:hAnsi="Arial"/>
          <w:b/>
          <w:bCs/>
          <w:color w:val="2E75B6"/>
          <w:sz w:val="27"/>
          <w:szCs w:val="27"/>
        </w:rPr>
        <w:t xml:space="preserve">and Chronic Viral Persistence</w:t>
      </w:r>
    </w:p>
    <w:p>
      <w:pPr>
        <w:spacing w:after="80"/>
      </w:pPr>
      <w:r>
        <w:rPr>
          <w:rFonts w:ascii="Times New Roman" w:cs="Times New Roman" w:eastAsia="Times New Roman" w:hAnsi="Times New Roman"/>
          <w:sz w:val="24"/>
          <w:szCs w:val="24"/>
        </w:rPr>
        <w:t xml:space="preserve"/>
      </w:r>
    </w:p>
    <w:p>
      <w:pPr>
        <w:spacing w:after="100"/>
        <w:jc w:val="center"/>
      </w:pPr>
      <w:r>
        <w:rPr>
          <w:rFonts w:ascii="Arial" w:cs="Arial" w:eastAsia="Arial" w:hAnsi="Arial"/>
          <w:i/>
          <w:iCs/>
          <w:color w:val="555555"/>
          <w:sz w:val="23"/>
          <w:szCs w:val="23"/>
        </w:rPr>
        <w:t xml:space="preserve">A Conceptual Hypothesis Paper</w:t>
      </w:r>
    </w:p>
    <w:p>
      <w:pPr>
        <w:spacing w:after="80"/>
      </w:pPr>
      <w:r>
        <w:rPr>
          <w:rFonts w:ascii="Times New Roman" w:cs="Times New Roman" w:eastAsia="Times New Roman" w:hAnsi="Times New Roman"/>
          <w:sz w:val="24"/>
          <w:szCs w:val="24"/>
        </w:rPr>
        <w:t xml:space="preserve"/>
      </w:r>
    </w:p>
    <w:p>
      <w:pPr>
        <w:spacing w:after="320"/>
        <w:jc w:val="center"/>
      </w:pPr>
      <w:r>
        <w:rPr>
          <w:rFonts w:ascii="Arial" w:cs="Arial" w:eastAsia="Arial" w:hAnsi="Arial"/>
          <w:b/>
          <w:bCs/>
          <w:sz w:val="24"/>
          <w:szCs w:val="24"/>
        </w:rPr>
        <w:t xml:space="preserve">Yuri Dmitrochenko</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Abstract</w:t>
      </w:r>
    </w:p>
    <w:p>
      <w:pPr>
        <w:spacing w:after="180" w:line="276" w:lineRule="auto"/>
        <w:jc w:val="both"/>
      </w:pPr>
      <w:r>
        <w:rPr>
          <w:rFonts w:ascii="Times New Roman" w:cs="Times New Roman" w:eastAsia="Times New Roman" w:hAnsi="Times New Roman"/>
          <w:sz w:val="24"/>
          <w:szCs w:val="24"/>
        </w:rPr>
        <w:t xml:space="preserve">Cancer is conventionally interpreted as the consequence of accumulated somatic mutations that disable growth control and enable uncontrolled proliferation. This model, despite its molecular precision, leaves a fundamental evolutionary question unanswered: why have the biological mechanisms that enable tumor autonomization been </w:t>
      </w:r>
      <w:r>
        <w:rPr>
          <w:rFonts w:ascii="Times New Roman" w:cs="Times New Roman" w:eastAsia="Times New Roman" w:hAnsi="Times New Roman"/>
          <w:b/>
          <w:bCs/>
          <w:sz w:val="24"/>
          <w:szCs w:val="24"/>
        </w:rPr>
        <w:t xml:space="preserve">conserved</w:t>
      </w:r>
      <w:r>
        <w:rPr>
          <w:rFonts w:ascii="Times New Roman" w:cs="Times New Roman" w:eastAsia="Times New Roman" w:hAnsi="Times New Roman"/>
          <w:sz w:val="24"/>
          <w:szCs w:val="24"/>
        </w:rPr>
        <w:t xml:space="preserve"> across hundreds of millions of years of natural selection in multicellular organisms? If cancer were simply a catastrophic system failure, evolution would have progressively eliminated its substrates. The persistence of those substrates demands an explanation.</w:t>
      </w:r>
    </w:p>
    <w:p>
      <w:pPr>
        <w:spacing w:after="180" w:line="276" w:lineRule="auto"/>
        <w:jc w:val="both"/>
      </w:pPr>
      <w:r>
        <w:rPr>
          <w:rFonts w:ascii="Times New Roman" w:cs="Times New Roman" w:eastAsia="Times New Roman" w:hAnsi="Times New Roman"/>
          <w:sz w:val="24"/>
          <w:szCs w:val="24"/>
        </w:rPr>
        <w:t xml:space="preserve">This paper proposes and defends a specific hypothesis: </w:t>
      </w:r>
      <w:r>
        <w:rPr>
          <w:rFonts w:ascii="Times New Roman" w:cs="Times New Roman" w:eastAsia="Times New Roman" w:hAnsi="Times New Roman"/>
          <w:b/>
          <w:bCs/>
          <w:sz w:val="24"/>
          <w:szCs w:val="24"/>
        </w:rPr>
        <w:t xml:space="preserve">tumor autonomization is not a system failure but an evolutionary trade-off</w:t>
      </w:r>
      <w:r>
        <w:rPr>
          <w:rFonts w:ascii="Times New Roman" w:cs="Times New Roman" w:eastAsia="Times New Roman" w:hAnsi="Times New Roman"/>
          <w:sz w:val="24"/>
          <w:szCs w:val="24"/>
        </w:rPr>
        <w:t xml:space="preserve"> — the inevitable cost of biological mechanisms that are indispensable for multicellular survival: regeneration, epithelial barrier restoration, tissue plasticity, immune adaptation, and long-term coexistence with microorganisms.</w:t>
      </w:r>
    </w:p>
    <w:p>
      <w:pPr>
        <w:spacing w:after="180" w:line="276" w:lineRule="auto"/>
        <w:jc w:val="both"/>
      </w:pPr>
      <w:r>
        <w:rPr>
          <w:rFonts w:ascii="Times New Roman" w:cs="Times New Roman" w:eastAsia="Times New Roman" w:hAnsi="Times New Roman"/>
          <w:sz w:val="24"/>
          <w:szCs w:val="24"/>
        </w:rPr>
        <w:t xml:space="preserve">The central empirical argument is a </w:t>
      </w:r>
      <w:r>
        <w:rPr>
          <w:rFonts w:ascii="Times New Roman" w:cs="Times New Roman" w:eastAsia="Times New Roman" w:hAnsi="Times New Roman"/>
          <w:b/>
          <w:bCs/>
          <w:sz w:val="24"/>
          <w:szCs w:val="24"/>
        </w:rPr>
        <w:t xml:space="preserve">reinterpretation of Peto's paradox</w:t>
      </w:r>
      <w:r>
        <w:rPr>
          <w:rFonts w:ascii="Times New Roman" w:cs="Times New Roman" w:eastAsia="Times New Roman" w:hAnsi="Times New Roman"/>
          <w:sz w:val="24"/>
          <w:szCs w:val="24"/>
        </w:rPr>
        <w:t xml:space="preserve">. Large long-lived animals are not cancer-resistant because they have better mutation-suppression mechanisms. They are cancer-resistant because their </w:t>
      </w:r>
      <w:r>
        <w:rPr>
          <w:rFonts w:ascii="Times New Roman" w:cs="Times New Roman" w:eastAsia="Times New Roman" w:hAnsi="Times New Roman"/>
          <w:b/>
          <w:bCs/>
          <w:sz w:val="24"/>
          <w:szCs w:val="24"/>
        </w:rPr>
        <w:t xml:space="preserve">energetic window is structurally narrower</w:t>
      </w:r>
      <w:r>
        <w:rPr>
          <w:rFonts w:ascii="Times New Roman" w:cs="Times New Roman" w:eastAsia="Times New Roman" w:hAnsi="Times New Roman"/>
          <w:sz w:val="24"/>
          <w:szCs w:val="24"/>
        </w:rPr>
        <w:t xml:space="preserve">: lower surface-to-mass ratio, slower metabolic tempo, lower regenerative cycling frequency, and reduced baseline tissue MMP activity collectively maintain a narrower energetic window and a lower probability of ontogenetic structural decoupling. This interpretation directly contradicts the mutationcentrist framework and supports a tissue-energetic model of oncogenesis.</w:t>
      </w:r>
    </w:p>
    <w:p>
      <w:pPr>
        <w:spacing w:after="180" w:line="276" w:lineRule="auto"/>
        <w:jc w:val="both"/>
      </w:pPr>
      <w:r>
        <w:rPr>
          <w:rFonts w:ascii="Times New Roman" w:cs="Times New Roman" w:eastAsia="Times New Roman" w:hAnsi="Times New Roman"/>
          <w:sz w:val="24"/>
          <w:szCs w:val="24"/>
        </w:rPr>
        <w:t xml:space="preserve">A complementary argument concerns viral coevolution: oncogenic viruses, including HPV, exploit </w:t>
      </w:r>
      <w:r>
        <w:rPr>
          <w:rFonts w:ascii="Times New Roman" w:cs="Times New Roman" w:eastAsia="Times New Roman" w:hAnsi="Times New Roman"/>
          <w:b/>
          <w:bCs/>
          <w:sz w:val="24"/>
          <w:szCs w:val="24"/>
        </w:rPr>
        <w:t xml:space="preserve">pre-existing mechanisms of tissue plasticity</w:t>
      </w:r>
      <w:r>
        <w:rPr>
          <w:rFonts w:ascii="Times New Roman" w:cs="Times New Roman" w:eastAsia="Times New Roman" w:hAnsi="Times New Roman"/>
          <w:sz w:val="24"/>
          <w:szCs w:val="24"/>
        </w:rPr>
        <w:t xml:space="preserve"> rather than creating new biology. Their ancient coevolutionary relationship with their hosts reflects stable dynamic equilibrium between viral persistence, immune tolerance, and regenerative tissue dynamics — not simple parasitism.</w:t>
      </w:r>
    </w:p>
    <w:p>
      <w:pPr>
        <w:spacing w:after="180" w:line="276" w:lineRule="auto"/>
        <w:jc w:val="both"/>
      </w:pPr>
      <w:r>
        <w:rPr>
          <w:rFonts w:ascii="Times New Roman" w:cs="Times New Roman" w:eastAsia="Times New Roman" w:hAnsi="Times New Roman"/>
          <w:sz w:val="24"/>
          <w:szCs w:val="24"/>
        </w:rPr>
        <w:t xml:space="preserve">The paper concludes with a set of </w:t>
      </w:r>
      <w:r>
        <w:rPr>
          <w:rFonts w:ascii="Times New Roman" w:cs="Times New Roman" w:eastAsia="Times New Roman" w:hAnsi="Times New Roman"/>
          <w:b/>
          <w:bCs/>
          <w:sz w:val="24"/>
          <w:szCs w:val="24"/>
        </w:rPr>
        <w:t xml:space="preserve">testable predictions</w:t>
      </w:r>
      <w:r>
        <w:rPr>
          <w:rFonts w:ascii="Times New Roman" w:cs="Times New Roman" w:eastAsia="Times New Roman" w:hAnsi="Times New Roman"/>
          <w:sz w:val="24"/>
          <w:szCs w:val="24"/>
        </w:rPr>
        <w:t xml:space="preserve"> that distinguish the energetic-window hypothesis from the mutationcentrist alternative, and proposes a synthesis in which cancer is interpreted as </w:t>
      </w:r>
      <w:r>
        <w:rPr>
          <w:rFonts w:ascii="Times New Roman" w:cs="Times New Roman" w:eastAsia="Times New Roman" w:hAnsi="Times New Roman"/>
          <w:b/>
          <w:bCs/>
          <w:sz w:val="24"/>
          <w:szCs w:val="24"/>
        </w:rPr>
        <w:t xml:space="preserve">the historical stabilization of a regenerative system that has lost its structural context</w:t>
      </w:r>
      <w:r>
        <w:rPr>
          <w:rFonts w:ascii="Times New Roman" w:cs="Times New Roman" w:eastAsia="Times New Roman" w:hAnsi="Times New Roman"/>
          <w:sz w:val="24"/>
          <w:szCs w:val="24"/>
        </w:rPr>
        <w:t xml:space="preserve"> — not an alien process imposed upon the organism, but an extreme attractor state of the organism's own developmental machinery. </w:t>
      </w:r>
      <w:r>
        <w:rPr>
          <w:rFonts w:ascii="Times New Roman" w:cs="Times New Roman" w:eastAsia="Times New Roman" w:hAnsi="Times New Roman"/>
          <w:sz w:val="18"/>
          <w:szCs w:val="18"/>
          <w:vertAlign w:val="superscript"/>
        </w:rPr>
        <w:t xml:space="preserve">[32,33,34,35,36]</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Peto's paradox; energetic window; tissue plasticity; regeneration; viral coevolution; HPV; evolutionary trade-off; oncogenesis; Basal Glycolytic Regime; surface-to-mass ratio; cancer resistance</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1. Introduction: The Question Mutation Models Cannot Answer</w:t>
      </w:r>
    </w:p>
    <w:p>
      <w:pPr>
        <w:spacing w:after="180" w:line="276" w:lineRule="auto"/>
        <w:jc w:val="both"/>
      </w:pPr>
      <w:r>
        <w:rPr>
          <w:rFonts w:ascii="Times New Roman" w:cs="Times New Roman" w:eastAsia="Times New Roman" w:hAnsi="Times New Roman"/>
          <w:sz w:val="24"/>
          <w:szCs w:val="24"/>
        </w:rPr>
        <w:t xml:space="preserve">The dominant framework in molecular oncology holds that cancer arises from the stepwise accumulation of driver mutations that disable tumor suppressor pathways, activate oncogenes, and ultimately produce a cell capable of autonomous, unlimited proliferation. </w:t>
      </w:r>
      <w:r>
        <w:rPr>
          <w:rFonts w:ascii="Times New Roman" w:cs="Times New Roman" w:eastAsia="Times New Roman" w:hAnsi="Times New Roman"/>
          <w:sz w:val="18"/>
          <w:szCs w:val="18"/>
          <w:vertAlign w:val="superscript"/>
        </w:rPr>
        <w:t xml:space="preserve">[7,8,17]</w:t>
      </w:r>
      <w:r>
        <w:rPr>
          <w:rFonts w:ascii="Times New Roman" w:cs="Times New Roman" w:eastAsia="Times New Roman" w:hAnsi="Times New Roman"/>
          <w:sz w:val="24"/>
          <w:szCs w:val="24"/>
        </w:rPr>
        <w:t xml:space="preserve"> This framework has generated extraordinary progress in identifying cancer-associated molecular alterations, developing targeted therapies, and characterizing the genomic landscape of established tumors.</w:t>
      </w:r>
    </w:p>
    <w:p>
      <w:pPr>
        <w:spacing w:after="180" w:line="276" w:lineRule="auto"/>
        <w:jc w:val="both"/>
      </w:pPr>
      <w:r>
        <w:rPr>
          <w:rFonts w:ascii="Times New Roman" w:cs="Times New Roman" w:eastAsia="Times New Roman" w:hAnsi="Times New Roman"/>
          <w:sz w:val="24"/>
          <w:szCs w:val="24"/>
        </w:rPr>
        <w:t xml:space="preserve">But it cannot answer the following question: </w:t>
      </w:r>
    </w:p>
    <w:p>
      <w:pPr>
        <w:pBdr>
          <w:top w:val="double" w:color="2E75B6" w:sz="6" w:space="4"/>
          <w:bottom w:val="double" w:color="2E75B6" w:sz="6" w:space="4"/>
          <w:left w:val="double" w:color="2E75B6" w:sz="6" w:space="8"/>
          <w:right w:val="double" w:color="2E75B6" w:sz="6" w:space="8"/>
        </w:pBdr>
        <w:shd w:fill="E8F4FD"/>
        <w:spacing w:after="200" w:before="160"/>
        <w:ind w:left="240" w:right="240"/>
      </w:pPr>
      <w:r>
        <w:rPr>
          <w:rFonts w:ascii="Times New Roman" w:cs="Times New Roman" w:eastAsia="Times New Roman" w:hAnsi="Times New Roman"/>
          <w:b/>
          <w:bCs/>
          <w:sz w:val="24"/>
          <w:szCs w:val="24"/>
        </w:rPr>
        <w:t xml:space="preserve">Why have the cellular mechanisms that enable tumor autonomization — tissue plasticity, local dedifferentiation, metabolic reprogramming, extracellular matrix remodeling, immune modulation — been conserved by natural selection across the entire history of multicellular life?</w:t>
      </w:r>
    </w:p>
    <w:p>
      <w:pPr>
        <w:spacing w:after="180" w:line="276" w:lineRule="auto"/>
        <w:jc w:val="both"/>
      </w:pPr>
      <w:r>
        <w:rPr>
          <w:rFonts w:ascii="Times New Roman" w:cs="Times New Roman" w:eastAsia="Times New Roman" w:hAnsi="Times New Roman"/>
          <w:sz w:val="24"/>
          <w:szCs w:val="24"/>
        </w:rPr>
        <w:t xml:space="preserve">If cancer were purely a failure of mutation-suppression systems, evolution would have progressively tightened those systems. The fact that it has not — that the same biological machinery underlying cancer is found in every complex multicellular organism and is essential for survival — demands a different explanation.</w:t>
      </w:r>
    </w:p>
    <w:p>
      <w:pPr>
        <w:spacing w:after="180" w:line="276" w:lineRule="auto"/>
        <w:jc w:val="both"/>
      </w:pPr>
      <w:r>
        <w:rPr>
          <w:rFonts w:ascii="Times New Roman" w:cs="Times New Roman" w:eastAsia="Times New Roman" w:hAnsi="Times New Roman"/>
          <w:sz w:val="24"/>
          <w:szCs w:val="24"/>
        </w:rPr>
        <w:t xml:space="preserve">This paper proposes that explanation. Cancer is not a random system failure. It is the delayed cost of mechanisms that are </w:t>
      </w:r>
      <w:r>
        <w:rPr>
          <w:rFonts w:ascii="Times New Roman" w:cs="Times New Roman" w:eastAsia="Times New Roman" w:hAnsi="Times New Roman"/>
          <w:b/>
          <w:bCs/>
          <w:sz w:val="24"/>
          <w:szCs w:val="24"/>
        </w:rPr>
        <w:t xml:space="preserve">critically required for multicellular survival</w:t>
      </w:r>
      <w:r>
        <w:rPr>
          <w:rFonts w:ascii="Times New Roman" w:cs="Times New Roman" w:eastAsia="Times New Roman" w:hAnsi="Times New Roman"/>
          <w:sz w:val="24"/>
          <w:szCs w:val="24"/>
        </w:rPr>
        <w:t xml:space="preserve"> — and Peto's paradox, correctly interpreted, is the strongest empirical evidence for this claim. </w:t>
      </w:r>
      <w:r>
        <w:rPr>
          <w:rFonts w:ascii="Times New Roman" w:cs="Times New Roman" w:eastAsia="Times New Roman" w:hAnsi="Times New Roman"/>
          <w:sz w:val="18"/>
          <w:szCs w:val="18"/>
          <w:vertAlign w:val="superscript"/>
        </w:rPr>
        <w:t xml:space="preserve">[1,2]</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2. Peto's Paradox: Evidence Against Mutation Models, Evidence For Energetic-Window Models</w:t>
      </w:r>
    </w:p>
    <w:p>
      <w:pPr>
        <w:pStyle w:val="Heading2"/>
        <w:spacing w:after="100" w:before="240"/>
      </w:pPr>
      <w:r>
        <w:rPr>
          <w:rFonts w:ascii="Arial" w:cs="Arial" w:eastAsia="Arial" w:hAnsi="Arial"/>
          <w:b/>
          <w:bCs/>
          <w:color w:val="2E75B6"/>
          <w:sz w:val="24"/>
          <w:szCs w:val="24"/>
        </w:rPr>
        <w:t xml:space="preserve">2.1 The Standard Interpretation and Its Limitation</w:t>
      </w:r>
    </w:p>
    <w:p>
      <w:pPr>
        <w:spacing w:after="180" w:line="276" w:lineRule="auto"/>
        <w:jc w:val="both"/>
      </w:pPr>
      <w:r>
        <w:rPr>
          <w:rFonts w:ascii="Times New Roman" w:cs="Times New Roman" w:eastAsia="Times New Roman" w:hAnsi="Times New Roman"/>
          <w:sz w:val="24"/>
          <w:szCs w:val="24"/>
        </w:rPr>
        <w:t xml:space="preserve">Peto's paradox observes that cancer incidence does not scale with body size or lifespan across species, despite the fact that larger, longer-lived animals have more cells and more cell divisions — and therefore, by simple probability, should accumulate more driver mutations. </w:t>
      </w:r>
      <w:r>
        <w:rPr>
          <w:rFonts w:ascii="Times New Roman" w:cs="Times New Roman" w:eastAsia="Times New Roman" w:hAnsi="Times New Roman"/>
          <w:sz w:val="18"/>
          <w:szCs w:val="18"/>
          <w:vertAlign w:val="superscript"/>
        </w:rPr>
        <w:t xml:space="preserve">[1,2]</w:t>
      </w:r>
      <w:r>
        <w:rPr>
          <w:rFonts w:ascii="Times New Roman" w:cs="Times New Roman" w:eastAsia="Times New Roman" w:hAnsi="Times New Roman"/>
          <w:sz w:val="24"/>
          <w:szCs w:val="24"/>
        </w:rPr>
        <w:t xml:space="preserve"> Whales and elephants do not get more cancer than mice. They get less.</w:t>
      </w:r>
    </w:p>
    <w:p>
      <w:pPr>
        <w:spacing w:after="180" w:line="276" w:lineRule="auto"/>
        <w:jc w:val="both"/>
      </w:pPr>
      <w:r>
        <w:rPr>
          <w:rFonts w:ascii="Times New Roman" w:cs="Times New Roman" w:eastAsia="Times New Roman" w:hAnsi="Times New Roman"/>
          <w:sz w:val="24"/>
          <w:szCs w:val="24"/>
        </w:rPr>
        <w:t xml:space="preserve">The standard interpretation invokes enhanced molecular cancer-suppression mechanisms in large animals: duplicated tumor suppressor genes (the famous p53 duplications in elephants </w:t>
      </w:r>
      <w:r>
        <w:rPr>
          <w:rFonts w:ascii="Times New Roman" w:cs="Times New Roman" w:eastAsia="Times New Roman" w:hAnsi="Times New Roman"/>
          <w:sz w:val="18"/>
          <w:szCs w:val="18"/>
          <w:vertAlign w:val="superscript"/>
        </w:rPr>
        <w:t xml:space="preserve">[3]</w:t>
      </w:r>
      <w:r>
        <w:rPr>
          <w:rFonts w:ascii="Times New Roman" w:cs="Times New Roman" w:eastAsia="Times New Roman" w:hAnsi="Times New Roman"/>
          <w:sz w:val="24"/>
          <w:szCs w:val="24"/>
        </w:rPr>
        <w:t xml:space="preserve">), enhanced DNA repair fidelity, or more efficient apoptotic responses to genomic damage. </w:t>
      </w:r>
      <w:r>
        <w:rPr>
          <w:rFonts w:ascii="Times New Roman" w:cs="Times New Roman" w:eastAsia="Times New Roman" w:hAnsi="Times New Roman"/>
          <w:sz w:val="18"/>
          <w:szCs w:val="18"/>
          <w:vertAlign w:val="superscript"/>
        </w:rPr>
        <w:t xml:space="preserve">[4,28]</w:t>
      </w:r>
      <w:r>
        <w:rPr>
          <w:rFonts w:ascii="Times New Roman" w:cs="Times New Roman" w:eastAsia="Times New Roman" w:hAnsi="Times New Roman"/>
          <w:sz w:val="24"/>
          <w:szCs w:val="24"/>
        </w:rPr>
        <w:t xml:space="preserve"> These mechanisms exist and are real. But they represent a </w:t>
      </w:r>
      <w:r>
        <w:rPr>
          <w:rFonts w:ascii="Times New Roman" w:cs="Times New Roman" w:eastAsia="Times New Roman" w:hAnsi="Times New Roman"/>
          <w:i/>
          <w:iCs/>
          <w:sz w:val="24"/>
          <w:szCs w:val="24"/>
        </w:rPr>
        <w:t xml:space="preserve">molecular patch</w:t>
      </w:r>
      <w:r>
        <w:rPr>
          <w:rFonts w:ascii="Times New Roman" w:cs="Times New Roman" w:eastAsia="Times New Roman" w:hAnsi="Times New Roman"/>
          <w:sz w:val="24"/>
          <w:szCs w:val="24"/>
        </w:rPr>
        <w:t xml:space="preserve"> applied after the fact — an evolutionary response to an existing problem. They do not explain why the problem is less severe in large animals to begin with.</w:t>
      </w:r>
    </w:p>
    <w:p>
      <w:pPr>
        <w:pStyle w:val="Heading2"/>
        <w:spacing w:after="100" w:before="240"/>
      </w:pPr>
      <w:r>
        <w:rPr>
          <w:rFonts w:ascii="Arial" w:cs="Arial" w:eastAsia="Arial" w:hAnsi="Arial"/>
          <w:b/>
          <w:bCs/>
          <w:color w:val="2E75B6"/>
          <w:sz w:val="24"/>
          <w:szCs w:val="24"/>
        </w:rPr>
        <w:t xml:space="preserve">2.2 The Energetic-Window Reinterpretation</w:t>
      </w:r>
    </w:p>
    <w:p>
      <w:pPr>
        <w:spacing w:after="180" w:line="276" w:lineRule="auto"/>
        <w:jc w:val="both"/>
      </w:pPr>
      <w:r>
        <w:rPr>
          <w:rFonts w:ascii="Times New Roman" w:cs="Times New Roman" w:eastAsia="Times New Roman" w:hAnsi="Times New Roman"/>
          <w:sz w:val="24"/>
          <w:szCs w:val="24"/>
        </w:rPr>
        <w:t xml:space="preserve">The present framework proposes a fundamentally different interpretation of Peto's paradox, grounded in the energetic-window model developed in the companion series. </w:t>
      </w:r>
      <w:r>
        <w:rPr>
          <w:rFonts w:ascii="Times New Roman" w:cs="Times New Roman" w:eastAsia="Times New Roman" w:hAnsi="Times New Roman"/>
          <w:sz w:val="18"/>
          <w:szCs w:val="18"/>
          <w:vertAlign w:val="superscript"/>
        </w:rPr>
        <w:t xml:space="preserve">[32,33]</w:t>
      </w:r>
    </w:p>
    <w:p>
      <w:pPr>
        <w:spacing w:after="180" w:line="276" w:lineRule="auto"/>
        <w:jc w:val="both"/>
      </w:pPr>
      <w:r>
        <w:rPr>
          <w:rFonts w:ascii="Times New Roman" w:cs="Times New Roman" w:eastAsia="Times New Roman" w:hAnsi="Times New Roman"/>
          <w:sz w:val="24"/>
          <w:szCs w:val="24"/>
        </w:rPr>
        <w:t xml:space="preserve">Large, long-lived animals are cancer-resistant not primarily because they suppress mutations more effectively, but because their </w:t>
      </w:r>
      <w:r>
        <w:rPr>
          <w:rFonts w:ascii="Times New Roman" w:cs="Times New Roman" w:eastAsia="Times New Roman" w:hAnsi="Times New Roman"/>
          <w:b/>
          <w:bCs/>
          <w:sz w:val="24"/>
          <w:szCs w:val="24"/>
        </w:rPr>
        <w:t xml:space="preserve">tissue energetic architecture is structurally less permissive</w:t>
      </w:r>
      <w:r>
        <w:rPr>
          <w:rFonts w:ascii="Times New Roman" w:cs="Times New Roman" w:eastAsia="Times New Roman" w:hAnsi="Times New Roman"/>
          <w:sz w:val="24"/>
          <w:szCs w:val="24"/>
        </w:rPr>
        <w:t xml:space="preserve"> to the energetic-window expansion that enables ontogenetic structural decoupling — the process that, in the companion framework, is the proximal cause of malignancy. </w:t>
      </w:r>
      <w:r>
        <w:rPr>
          <w:rFonts w:ascii="Times New Roman" w:cs="Times New Roman" w:eastAsia="Times New Roman" w:hAnsi="Times New Roman"/>
          <w:sz w:val="18"/>
          <w:szCs w:val="18"/>
          <w:vertAlign w:val="superscript"/>
        </w:rPr>
        <w:t xml:space="preserve">[33,35]</w:t>
      </w:r>
    </w:p>
    <w:p>
      <w:pPr>
        <w:spacing w:after="180" w:line="276" w:lineRule="auto"/>
        <w:jc w:val="both"/>
      </w:pPr>
      <w:r>
        <w:rPr>
          <w:rFonts w:ascii="Times New Roman" w:cs="Times New Roman" w:eastAsia="Times New Roman" w:hAnsi="Times New Roman"/>
          <w:sz w:val="24"/>
          <w:szCs w:val="24"/>
        </w:rPr>
        <w:t xml:space="preserve">Four structural features of large-bodied organisms contribute to this narrower baseline energetic window:</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b/>
          <w:bCs/>
          <w:sz w:val="24"/>
          <w:szCs w:val="24"/>
        </w:rPr>
        <w:t xml:space="preserve">1. Lower surface-to-mass ratio. </w:t>
      </w:r>
      <w:r>
        <w:rPr>
          <w:rFonts w:ascii="Times New Roman" w:cs="Times New Roman" w:eastAsia="Times New Roman" w:hAnsi="Times New Roman"/>
          <w:sz w:val="24"/>
          <w:szCs w:val="24"/>
        </w:rPr>
        <w:t xml:space="preserve">By Kleiber's law, metabolic rate scales as body mass to the power of approximately 0.75 rather than 1.0. </w:t>
      </w:r>
      <w:r>
        <w:rPr>
          <w:rFonts w:ascii="Times New Roman" w:cs="Times New Roman" w:eastAsia="Times New Roman" w:hAnsi="Times New Roman"/>
          <w:sz w:val="18"/>
          <w:szCs w:val="18"/>
          <w:vertAlign w:val="superscript"/>
        </w:rPr>
        <w:t xml:space="preserve">[5,6]</w:t>
      </w:r>
      <w:r>
        <w:rPr>
          <w:rFonts w:ascii="Times New Roman" w:cs="Times New Roman" w:eastAsia="Times New Roman" w:hAnsi="Times New Roman"/>
          <w:sz w:val="24"/>
          <w:szCs w:val="24"/>
        </w:rPr>
        <w:t xml:space="preserve"> This means that per unit of body mass, large animals have substantially lower metabolic flux. Critically, </w:t>
      </w:r>
      <w:r>
        <w:rPr>
          <w:rFonts w:ascii="Times New Roman" w:cs="Times New Roman" w:eastAsia="Times New Roman" w:hAnsi="Times New Roman"/>
          <w:b/>
          <w:bCs/>
          <w:sz w:val="24"/>
          <w:szCs w:val="24"/>
        </w:rPr>
        <w:t xml:space="preserve">epithelial surface area — the primary site of regenerative cycling and barrier maintenance — scales more slowly than body mass</w:t>
      </w:r>
      <w:r>
        <w:rPr>
          <w:rFonts w:ascii="Times New Roman" w:cs="Times New Roman" w:eastAsia="Times New Roman" w:hAnsi="Times New Roman"/>
          <w:sz w:val="24"/>
          <w:szCs w:val="24"/>
        </w:rPr>
        <w:t xml:space="preserve">. A whale has enormously more cells than a mouse but proportionally far less epithelial surface per unit of mass. This means fewer regenerative cycling zones per unit of tissue volume, fewer active energetic-window expansion events, and a lower baseline probability of ontogenetic decoupling.</w:t>
      </w:r>
    </w:p>
    <w:p>
      <w:pPr>
        <w:spacing w:after="180" w:line="276" w:lineRule="auto"/>
        <w:jc w:val="both"/>
      </w:pPr>
      <w:r>
        <w:rPr>
          <w:rFonts w:ascii="Times New Roman" w:cs="Times New Roman" w:eastAsia="Times New Roman" w:hAnsi="Times New Roman"/>
          <w:b/>
          <w:bCs/>
          <w:sz w:val="24"/>
          <w:szCs w:val="24"/>
        </w:rPr>
        <w:t xml:space="preserve">2. Lower metabolic tempo and reduced BGR cycling frequency. </w:t>
      </w:r>
      <w:r>
        <w:rPr>
          <w:rFonts w:ascii="Times New Roman" w:cs="Times New Roman" w:eastAsia="Times New Roman" w:hAnsi="Times New Roman"/>
          <w:sz w:val="24"/>
          <w:szCs w:val="24"/>
        </w:rPr>
        <w:t xml:space="preserve">Basal metabolic rate per unit mass is substantially lower in large animals. </w:t>
      </w:r>
      <w:r>
        <w:rPr>
          <w:rFonts w:ascii="Times New Roman" w:cs="Times New Roman" w:eastAsia="Times New Roman" w:hAnsi="Times New Roman"/>
          <w:sz w:val="18"/>
          <w:szCs w:val="18"/>
          <w:vertAlign w:val="superscript"/>
        </w:rPr>
        <w:t xml:space="preserve">[5,6]</w:t>
      </w:r>
      <w:r>
        <w:rPr>
          <w:rFonts w:ascii="Times New Roman" w:cs="Times New Roman" w:eastAsia="Times New Roman" w:hAnsi="Times New Roman"/>
          <w:sz w:val="24"/>
          <w:szCs w:val="24"/>
        </w:rPr>
        <w:t xml:space="preserve"> Within the dual-flux framework of the companion series (Paper 2), reduced metabolic tempo means less frequent cycling between Oxidative Functional Flux dominance and Basal Glycolytic Regime dominance. </w:t>
      </w:r>
      <w:r>
        <w:rPr>
          <w:rFonts w:ascii="Times New Roman" w:cs="Times New Roman" w:eastAsia="Times New Roman" w:hAnsi="Times New Roman"/>
          <w:sz w:val="18"/>
          <w:szCs w:val="18"/>
          <w:vertAlign w:val="superscript"/>
        </w:rPr>
        <w:t xml:space="preserve">[33]</w:t>
      </w:r>
      <w:r>
        <w:rPr>
          <w:rFonts w:ascii="Times New Roman" w:cs="Times New Roman" w:eastAsia="Times New Roman" w:hAnsi="Times New Roman"/>
          <w:sz w:val="24"/>
          <w:szCs w:val="24"/>
        </w:rPr>
        <w:t xml:space="preserve"> Each OFF→BGR transition is a potential energetic-window expansion event. Fewer such transitions per unit time means a lower cumulative probability that any given transition will reach the depth required for ontogenetic structural decoupling.</w:t>
      </w:r>
    </w:p>
    <w:p>
      <w:pPr>
        <w:spacing w:after="180" w:line="276" w:lineRule="auto"/>
        <w:jc w:val="both"/>
      </w:pPr>
      <w:r>
        <w:rPr>
          <w:rFonts w:ascii="Times New Roman" w:cs="Times New Roman" w:eastAsia="Times New Roman" w:hAnsi="Times New Roman"/>
          <w:b/>
          <w:bCs/>
          <w:sz w:val="24"/>
          <w:szCs w:val="24"/>
        </w:rPr>
        <w:t xml:space="preserve">3. Slower tissue regenerative cycling. </w:t>
      </w:r>
      <w:r>
        <w:rPr>
          <w:rFonts w:ascii="Times New Roman" w:cs="Times New Roman" w:eastAsia="Times New Roman" w:hAnsi="Times New Roman"/>
          <w:sz w:val="24"/>
          <w:szCs w:val="24"/>
        </w:rPr>
        <w:t xml:space="preserve">Large long-lived animals have substantially slower rates of tissue renewal than small short-lived animals. Intestinal epithelial renewal, which occurs every 3-5 days in mice, occurs over 7-10 days in humans and is slower still in larger mammals. </w:t>
      </w:r>
      <w:r>
        <w:rPr>
          <w:rFonts w:ascii="Times New Roman" w:cs="Times New Roman" w:eastAsia="Times New Roman" w:hAnsi="Times New Roman"/>
          <w:sz w:val="18"/>
          <w:szCs w:val="18"/>
          <w:vertAlign w:val="superscript"/>
        </w:rPr>
        <w:t xml:space="preserve">[18]</w:t>
      </w:r>
      <w:r>
        <w:rPr>
          <w:rFonts w:ascii="Times New Roman" w:cs="Times New Roman" w:eastAsia="Times New Roman" w:hAnsi="Times New Roman"/>
          <w:sz w:val="24"/>
          <w:szCs w:val="24"/>
        </w:rPr>
        <w:t xml:space="preserve"> Each regenerative cycle is a Regeneration Pendulum oscillation (Paper 1 of the companion series). </w:t>
      </w:r>
      <w:r>
        <w:rPr>
          <w:rFonts w:ascii="Times New Roman" w:cs="Times New Roman" w:eastAsia="Times New Roman" w:hAnsi="Times New Roman"/>
          <w:sz w:val="18"/>
          <w:szCs w:val="18"/>
          <w:vertAlign w:val="superscript"/>
        </w:rPr>
        <w:t xml:space="preserve">[32]</w:t>
      </w:r>
      <w:r>
        <w:rPr>
          <w:rFonts w:ascii="Times New Roman" w:cs="Times New Roman" w:eastAsia="Times New Roman" w:hAnsi="Times New Roman"/>
          <w:sz w:val="24"/>
          <w:szCs w:val="24"/>
        </w:rPr>
        <w:t xml:space="preserve"> Fewer oscillations per unit time means less cumulative accumulation of the historical trajectory integral H — the parameter shown in Paper 5 to be a critical determinant of clone fate — and lower probability of attractor transition from limited persistence to partial or full autonomy.</w:t>
      </w:r>
    </w:p>
    <w:p>
      <w:pPr>
        <w:spacing w:after="180" w:line="276" w:lineRule="auto"/>
        <w:jc w:val="both"/>
      </w:pPr>
      <w:r>
        <w:rPr>
          <w:rFonts w:ascii="Times New Roman" w:cs="Times New Roman" w:eastAsia="Times New Roman" w:hAnsi="Times New Roman"/>
          <w:b/>
          <w:bCs/>
          <w:sz w:val="24"/>
          <w:szCs w:val="24"/>
        </w:rPr>
        <w:t xml:space="preserve">4. Lower baseline MMP activity. </w:t>
      </w:r>
      <w:r>
        <w:rPr>
          <w:rFonts w:ascii="Times New Roman" w:cs="Times New Roman" w:eastAsia="Times New Roman" w:hAnsi="Times New Roman"/>
          <w:sz w:val="24"/>
          <w:szCs w:val="24"/>
        </w:rPr>
        <w:t xml:space="preserve">Consistent with slower ECM turnover, large animals maintain lower baseline matrix metalloproteinase activity. </w:t>
      </w:r>
      <w:r>
        <w:rPr>
          <w:rFonts w:ascii="Times New Roman" w:cs="Times New Roman" w:eastAsia="Times New Roman" w:hAnsi="Times New Roman"/>
          <w:sz w:val="18"/>
          <w:szCs w:val="18"/>
          <w:vertAlign w:val="superscript"/>
        </w:rPr>
        <w:t xml:space="preserve">[30]</w:t>
      </w:r>
      <w:r>
        <w:rPr>
          <w:rFonts w:ascii="Times New Roman" w:cs="Times New Roman" w:eastAsia="Times New Roman" w:hAnsi="Times New Roman"/>
          <w:sz w:val="24"/>
          <w:szCs w:val="24"/>
        </w:rPr>
        <w:t xml:space="preserve"> Within the energetic-window framework, MMP activity is the primary structural mediator of energetic-window expansion: MMP-driven ECM degradation is the mechanism through which cell death and inflammatory signaling widen the tissue energetic window. </w:t>
      </w:r>
      <w:r>
        <w:rPr>
          <w:rFonts w:ascii="Times New Roman" w:cs="Times New Roman" w:eastAsia="Times New Roman" w:hAnsi="Times New Roman"/>
          <w:sz w:val="18"/>
          <w:szCs w:val="18"/>
          <w:vertAlign w:val="superscript"/>
        </w:rPr>
        <w:t xml:space="preserve">[32]</w:t>
      </w:r>
      <w:r>
        <w:rPr>
          <w:rFonts w:ascii="Times New Roman" w:cs="Times New Roman" w:eastAsia="Times New Roman" w:hAnsi="Times New Roman"/>
          <w:sz w:val="24"/>
          <w:szCs w:val="24"/>
        </w:rPr>
        <w:t xml:space="preserve"> Lower baseline MMP activity means a narrower default energetic window and a higher structural threshold for the positive feedback loop that drives progressive clone autonomization.</w:t>
      </w:r>
    </w:p>
    <w:p>
      <w:pPr>
        <w:spacing w:after="80"/>
      </w:pPr>
      <w:r>
        <w:rPr>
          <w:rFonts w:ascii="Times New Roman" w:cs="Times New Roman" w:eastAsia="Times New Roman" w:hAnsi="Times New Roman"/>
          <w:sz w:val="24"/>
          <w:szCs w:val="24"/>
        </w:rPr>
        <w:t xml:space="preserve"/>
      </w:r>
    </w:p>
    <w:p>
      <w:pPr>
        <w:pBdr>
          <w:top w:val="double" w:color="2E75B6" w:sz="6" w:space="4"/>
          <w:bottom w:val="double" w:color="2E75B6" w:sz="6" w:space="4"/>
          <w:left w:val="double" w:color="2E75B6" w:sz="6" w:space="8"/>
          <w:right w:val="double" w:color="2E75B6" w:sz="6" w:space="8"/>
        </w:pBdr>
        <w:shd w:fill="E8F4FD"/>
        <w:spacing w:after="200" w:before="160"/>
        <w:ind w:left="240" w:right="240"/>
      </w:pPr>
      <w:r>
        <w:rPr>
          <w:rFonts w:ascii="Times New Roman" w:cs="Times New Roman" w:eastAsia="Times New Roman" w:hAnsi="Times New Roman"/>
          <w:b/>
          <w:bCs/>
          <w:sz w:val="24"/>
          <w:szCs w:val="24"/>
        </w:rPr>
        <w:t xml:space="preserve">The energetic-window reinterpretation of Peto's paradox: </w:t>
      </w:r>
      <w:r>
        <w:rPr>
          <w:rFonts w:ascii="Times New Roman" w:cs="Times New Roman" w:eastAsia="Times New Roman" w:hAnsi="Times New Roman"/>
          <w:sz w:val="24"/>
          <w:szCs w:val="24"/>
        </w:rPr>
        <w:t xml:space="preserve">Large animals do not get less cancer because they suppress mutations better. They get less cancer because their tissue architecture — low surface-to-mass ratio, slow metabolic tempo, infrequent regenerative cycling, low baseline MMP activity — maintains a structurally narrower energetic window, reducing the probability and frequency of the ontogenetic structural decoupling events that are the proximal cause of malignancy.</w:t>
      </w:r>
    </w:p>
    <w:p>
      <w:pPr>
        <w:pStyle w:val="Heading2"/>
        <w:spacing w:after="100" w:before="240"/>
      </w:pPr>
      <w:r>
        <w:rPr>
          <w:rFonts w:ascii="Arial" w:cs="Arial" w:eastAsia="Arial" w:hAnsi="Arial"/>
          <w:b/>
          <w:bCs/>
          <w:color w:val="2E75B6"/>
          <w:sz w:val="24"/>
          <w:szCs w:val="24"/>
        </w:rPr>
        <w:t xml:space="preserve">2.3 Why This Interpretation Is Stronger</w:t>
      </w:r>
    </w:p>
    <w:p>
      <w:pPr>
        <w:spacing w:after="180" w:line="276" w:lineRule="auto"/>
        <w:jc w:val="both"/>
      </w:pPr>
      <w:r>
        <w:rPr>
          <w:rFonts w:ascii="Times New Roman" w:cs="Times New Roman" w:eastAsia="Times New Roman" w:hAnsi="Times New Roman"/>
          <w:sz w:val="24"/>
          <w:szCs w:val="24"/>
        </w:rPr>
        <w:t xml:space="preserve">The energetic-window interpretation explains several features of the paradox that the mutation-suppression interpretation cannot:</w:t>
      </w:r>
    </w:p>
    <w:p>
      <w:pPr>
        <w:pStyle w:val="ListParagraph"/>
        <w:numPr>
          <w:ilvl w:val="0"/>
          <w:numId w:val="2"/>
        </w:numPr>
        <w:spacing w:after="120"/>
      </w:pPr>
      <w:r>
        <w:rPr>
          <w:rFonts w:ascii="Times New Roman" w:cs="Times New Roman" w:eastAsia="Times New Roman" w:hAnsi="Times New Roman"/>
          <w:sz w:val="24"/>
          <w:szCs w:val="24"/>
        </w:rPr>
        <w:t xml:space="preserve">It explains why cancer resistance in large animals is not tissue-specific: all tissues in a large animal benefit from lower metabolic tempo and slower regenerative cycling, whereas tissue-specific mutation-suppression mechanisms would need to be independently evolved in each tissue type.</w:t>
      </w:r>
    </w:p>
    <w:p>
      <w:pPr>
        <w:pStyle w:val="ListParagraph"/>
        <w:numPr>
          <w:ilvl w:val="0"/>
          <w:numId w:val="2"/>
        </w:numPr>
        <w:spacing w:after="120"/>
      </w:pPr>
      <w:r>
        <w:rPr>
          <w:rFonts w:ascii="Times New Roman" w:cs="Times New Roman" w:eastAsia="Times New Roman" w:hAnsi="Times New Roman"/>
          <w:sz w:val="24"/>
          <w:szCs w:val="24"/>
        </w:rPr>
        <w:t xml:space="preserve">It explains why naked mole rats — small animals that are exceptionally cancer-resistant — exhibit precisely the tissue architectural features predicted by the energetic-window model: extremely high tissue density (hyaluronan-mediated contact inhibition </w:t>
      </w:r>
      <w:r>
        <w:rPr>
          <w:rFonts w:ascii="Times New Roman" w:cs="Times New Roman" w:eastAsia="Times New Roman" w:hAnsi="Times New Roman"/>
          <w:sz w:val="18"/>
          <w:szCs w:val="18"/>
          <w:vertAlign w:val="superscript"/>
        </w:rPr>
        <w:t xml:space="preserve">[27]</w:t>
      </w:r>
      <w:r>
        <w:rPr>
          <w:rFonts w:ascii="Times New Roman" w:cs="Times New Roman" w:eastAsia="Times New Roman" w:hAnsi="Times New Roman"/>
          <w:sz w:val="24"/>
          <w:szCs w:val="24"/>
        </w:rPr>
        <w:t xml:space="preserve">), low metabolic flexibility, and strong mechanical tissue constraints that maintain narrow energetic windows.</w:t>
      </w:r>
    </w:p>
    <w:p>
      <w:pPr>
        <w:pStyle w:val="ListParagraph"/>
        <w:numPr>
          <w:ilvl w:val="0"/>
          <w:numId w:val="2"/>
        </w:numPr>
        <w:spacing w:after="120"/>
      </w:pPr>
      <w:r>
        <w:rPr>
          <w:rFonts w:ascii="Times New Roman" w:cs="Times New Roman" w:eastAsia="Times New Roman" w:hAnsi="Times New Roman"/>
          <w:sz w:val="24"/>
          <w:szCs w:val="24"/>
        </w:rPr>
        <w:t xml:space="preserve">It explains why cancer incidence in humans increases with age in a pattern consistent with progressive energetic-window expansion through accumulated tissue history (H integral), rather than purely with mutation accumulation rate, which should plateau as replication slows in aging tissues.</w:t>
      </w:r>
    </w:p>
    <w:p>
      <w:pPr>
        <w:pStyle w:val="ListParagraph"/>
        <w:numPr>
          <w:ilvl w:val="0"/>
          <w:numId w:val="2"/>
        </w:numPr>
        <w:spacing w:after="120"/>
      </w:pPr>
      <w:r>
        <w:rPr>
          <w:rFonts w:ascii="Times New Roman" w:cs="Times New Roman" w:eastAsia="Times New Roman" w:hAnsi="Times New Roman"/>
          <w:sz w:val="24"/>
          <w:szCs w:val="24"/>
        </w:rPr>
        <w:t xml:space="preserve">It predicts a direct correlation between species-level cancer resistance and measurable tissue energetic parameters — surface-to-mass ratio, metabolic rate per unit mass, regenerative cycling frequency — that is independent of, and in principle separable from, mutation-suppression capacity. This is a testable prediction that the mutation model does not generate. </w:t>
      </w:r>
      <w:r>
        <w:rPr>
          <w:rFonts w:ascii="Times New Roman" w:cs="Times New Roman" w:eastAsia="Times New Roman" w:hAnsi="Times New Roman"/>
          <w:sz w:val="18"/>
          <w:szCs w:val="18"/>
          <w:vertAlign w:val="superscript"/>
        </w:rPr>
        <w:t xml:space="preserve">[29]</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3. Multicellularity as an Unavoidable Energetic Compromise</w:t>
      </w:r>
    </w:p>
    <w:p>
      <w:pPr>
        <w:spacing w:after="180" w:line="276" w:lineRule="auto"/>
        <w:jc w:val="both"/>
      </w:pPr>
      <w:r>
        <w:rPr>
          <w:rFonts w:ascii="Times New Roman" w:cs="Times New Roman" w:eastAsia="Times New Roman" w:hAnsi="Times New Roman"/>
          <w:sz w:val="24"/>
          <w:szCs w:val="24"/>
        </w:rPr>
        <w:t xml:space="preserve">Complex multicellular organisms cannot exist without the biological machinery that also enables cancer. This is not a design flaw. It is a structural consequence of the thermodynamic and mechanical requirements of multicellular life.</w:t>
      </w:r>
    </w:p>
    <w:p>
      <w:pPr>
        <w:spacing w:after="180" w:line="276" w:lineRule="auto"/>
        <w:jc w:val="both"/>
      </w:pPr>
      <w:r>
        <w:rPr>
          <w:rFonts w:ascii="Times New Roman" w:cs="Times New Roman" w:eastAsia="Times New Roman" w:hAnsi="Times New Roman"/>
          <w:sz w:val="24"/>
          <w:szCs w:val="24"/>
        </w:rPr>
        <w:t xml:space="preserve">The mechanisms that are indispensable for multicellular survival — and that simultaneously constitute the substrate of oncogenesis — form a coherent list:</w:t>
      </w:r>
    </w:p>
    <w:p>
      <w:pPr>
        <w:spacing w:after="80"/>
      </w:pPr>
      <w:r>
        <w:rPr>
          <w:rFonts w:ascii="Times New Roman" w:cs="Times New Roman" w:eastAsia="Times New Roman" w:hAnsi="Times New Roman"/>
          <w:sz w:val="24"/>
          <w:szCs w:val="24"/>
        </w:rPr>
        <w:t xml:space="preserve"/>
      </w:r>
    </w:p>
    <w:p>
      <w:pPr>
        <w:spacing w:after="120"/>
      </w:pPr>
      <w:r>
        <w:rPr>
          <w:rFonts w:ascii="Arial" w:cs="Arial" w:eastAsia="Arial" w:hAnsi="Arial"/>
          <w:b/>
          <w:bCs/>
          <w:sz w:val="22"/>
          <w:szCs w:val="22"/>
        </w:rPr>
        <w:t xml:space="preserve">Table 1.  </w:t>
      </w:r>
      <w:r>
        <w:rPr>
          <w:rFonts w:ascii="Arial" w:cs="Arial" w:eastAsia="Arial" w:hAnsi="Arial"/>
          <w:i/>
          <w:iCs/>
          <w:sz w:val="22"/>
          <w:szCs w:val="22"/>
        </w:rPr>
        <w:t xml:space="preserve">The evolutionary trade-off: survival mechanisms and their oncogenic shadows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Survival Mechanism</w:t>
            </w:r>
          </w:p>
        </w:tc>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 of Absence</w:t>
            </w:r>
          </w:p>
        </w:tc>
        <w:tc>
          <w:tcPr>
            <w:tcW w:type="dxa" w:w="4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Oncogenic Shadow</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Epithelial barrier regeneration</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Barrier breach → infection, sepsis, fluid loss</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Energetic-window expansion, BGRinduction, MMP activation — all direct oncogenic substrates</w:t>
            </w:r>
          </w:p>
        </w:tc>
      </w:tr>
      <w:tr>
        <w:tc>
          <w:tcPr>
            <w:tcW w:type="dxa" w:w="2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Local dedifferentiation</w:t>
            </w:r>
          </w:p>
        </w:tc>
        <w:tc>
          <w:tcPr>
            <w:tcW w:type="dxa" w:w="2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Without it: no wound healing, no tissue repair</w:t>
            </w:r>
          </w:p>
        </w:tc>
        <w:tc>
          <w:tcPr>
            <w:tcW w:type="dxa" w:w="4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The same cellular plasticity that closes wounds enables ontogenetic decoupling</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Immune flexibility and tolerance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Needed for pregnancy, microbiome coexistence, chronic infection survival</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Immune tolerance zones are the sites of lowest anti-tumor surveillance</w:t>
            </w:r>
          </w:p>
        </w:tc>
      </w:tr>
      <w:tr>
        <w:tc>
          <w:tcPr>
            <w:tcW w:type="dxa" w:w="2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Angiogenic signaling</w:t>
            </w:r>
          </w:p>
        </w:tc>
        <w:tc>
          <w:tcPr>
            <w:tcW w:type="dxa" w:w="2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Without it: no tissue repair, no organ growth</w:t>
            </w:r>
          </w:p>
        </w:tc>
        <w:tc>
          <w:tcPr>
            <w:tcW w:type="dxa" w:w="4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Tumor angiogenesis exploits the same VEGF/FGF machinery as wound healing</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Metabolic reprogramming (BGR)</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Essential for rapid cell proliferation in repair</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Warburg effect in tumors = regenerative BGR dominance constitutively stabilized</w:t>
            </w:r>
          </w:p>
        </w:tc>
      </w:tr>
      <w:tr>
        <w:tc>
          <w:tcPr>
            <w:tcW w:type="dxa" w:w="2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ECM remodeling (MMP activity)</w:t>
            </w:r>
          </w:p>
        </w:tc>
        <w:tc>
          <w:tcPr>
            <w:tcW w:type="dxa" w:w="2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Without it: scar contracture, failed repair, organ failure</w:t>
            </w:r>
          </w:p>
        </w:tc>
        <w:tc>
          <w:tcPr>
            <w:tcW w:type="dxa" w:w="4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MMP-driven energetic-window expansion is the primary structural oncogenic event</w:t>
            </w:r>
          </w:p>
        </w:tc>
      </w:tr>
    </w:tbl>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The striking feature of this table is that every survival mechanism maps directly onto a recognized hallmark of cancer. </w:t>
      </w:r>
      <w:r>
        <w:rPr>
          <w:rFonts w:ascii="Times New Roman" w:cs="Times New Roman" w:eastAsia="Times New Roman" w:hAnsi="Times New Roman"/>
          <w:sz w:val="18"/>
          <w:szCs w:val="18"/>
          <w:vertAlign w:val="superscript"/>
        </w:rPr>
        <w:t xml:space="preserve">[7,8]</w:t>
      </w:r>
      <w:r>
        <w:rPr>
          <w:rFonts w:ascii="Times New Roman" w:cs="Times New Roman" w:eastAsia="Times New Roman" w:hAnsi="Times New Roman"/>
          <w:sz w:val="24"/>
          <w:szCs w:val="24"/>
        </w:rPr>
        <w:t xml:space="preserve"> This is not coincidence. </w:t>
      </w:r>
      <w:r>
        <w:rPr>
          <w:rFonts w:ascii="Times New Roman" w:cs="Times New Roman" w:eastAsia="Times New Roman" w:hAnsi="Times New Roman"/>
          <w:b/>
          <w:bCs/>
          <w:sz w:val="24"/>
          <w:szCs w:val="24"/>
        </w:rPr>
        <w:t xml:space="preserve">The hallmarks of cancer are the hallmarks of tissue regeneration, operating outside their normal architectural constraints.</w:t>
      </w:r>
      <w:r>
        <w:rPr>
          <w:rFonts w:ascii="Times New Roman" w:cs="Times New Roman" w:eastAsia="Times New Roman" w:hAnsi="Times New Roman"/>
          <w:sz w:val="24"/>
          <w:szCs w:val="24"/>
        </w:rPr>
        <w:t xml:space="preserve"> Dvorak noted in 1986 that tumors are "wounds that do not heal." </w:t>
      </w:r>
      <w:r>
        <w:rPr>
          <w:rFonts w:ascii="Times New Roman" w:cs="Times New Roman" w:eastAsia="Times New Roman" w:hAnsi="Times New Roman"/>
          <w:sz w:val="18"/>
          <w:szCs w:val="18"/>
          <w:vertAlign w:val="superscript"/>
        </w:rPr>
        <w:t xml:space="preserve">[9]</w:t>
      </w:r>
      <w:r>
        <w:rPr>
          <w:rFonts w:ascii="Times New Roman" w:cs="Times New Roman" w:eastAsia="Times New Roman" w:hAnsi="Times New Roman"/>
          <w:sz w:val="24"/>
          <w:szCs w:val="24"/>
        </w:rPr>
        <w:t xml:space="preserve"> The present framework makes this observation mechanistically precise: tumors are regenerative systems that have lost the structural context — the narrow energetic window maintained by organized three-dimensional tissue architecture — that would normally terminate their activity.</w:t>
      </w:r>
    </w:p>
    <w:p>
      <w:pPr>
        <w:spacing w:after="180" w:line="276" w:lineRule="auto"/>
        <w:jc w:val="both"/>
      </w:pPr>
      <w:r>
        <w:rPr>
          <w:rFonts w:ascii="Times New Roman" w:cs="Times New Roman" w:eastAsia="Times New Roman" w:hAnsi="Times New Roman"/>
          <w:sz w:val="24"/>
          <w:szCs w:val="24"/>
        </w:rPr>
        <w:t xml:space="preserve">Natural selection has therefore not failed to eliminate cancer risk. It has faced a genuine trade-off: eliminate the cancer-enabling mechanisms and the organism cannot regenerate, resist infection, or heal wounds. The organisms that survived were not those with the lowest cancer risk, but those with the </w:t>
      </w:r>
      <w:r>
        <w:rPr>
          <w:rFonts w:ascii="Times New Roman" w:cs="Times New Roman" w:eastAsia="Times New Roman" w:hAnsi="Times New Roman"/>
          <w:b/>
          <w:bCs/>
          <w:sz w:val="24"/>
          <w:szCs w:val="24"/>
        </w:rPr>
        <w:t xml:space="preserve">optimal balance between regenerative capacity and the probability of late-life autonomization</w:t>
      </w:r>
      <w:r>
        <w:rPr>
          <w:rFonts w:ascii="Times New Roman" w:cs="Times New Roman" w:eastAsia="Times New Roman" w:hAnsi="Times New Roman"/>
          <w:sz w:val="24"/>
          <w:szCs w:val="24"/>
        </w:rPr>
        <w:t xml:space="preserve"> — which is precisely what allometric scaling of cancer risk across species reflects. </w:t>
      </w:r>
      <w:r>
        <w:rPr>
          <w:rFonts w:ascii="Times New Roman" w:cs="Times New Roman" w:eastAsia="Times New Roman" w:hAnsi="Times New Roman"/>
          <w:sz w:val="18"/>
          <w:szCs w:val="18"/>
          <w:vertAlign w:val="superscript"/>
        </w:rPr>
        <w:t xml:space="preserve">[2,4,26]</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4. The Barrier Hypothesis: Why Regenerative Capacity Was Under Strong Selection</w:t>
      </w:r>
    </w:p>
    <w:p>
      <w:pPr>
        <w:spacing w:after="180" w:line="276" w:lineRule="auto"/>
        <w:jc w:val="both"/>
      </w:pPr>
      <w:r>
        <w:rPr>
          <w:rFonts w:ascii="Times New Roman" w:cs="Times New Roman" w:eastAsia="Times New Roman" w:hAnsi="Times New Roman"/>
          <w:sz w:val="24"/>
          <w:szCs w:val="24"/>
        </w:rPr>
        <w:t xml:space="preserve">To understand why regenerative capacity was selected with sufficient force to preserve its oncogenic side effects, it is necessary to consider the pre-antibiotic, pre-modern evolutionary environment in which human biology was shaped.</w:t>
      </w:r>
    </w:p>
    <w:p>
      <w:pPr>
        <w:spacing w:after="180" w:line="276" w:lineRule="auto"/>
        <w:jc w:val="both"/>
      </w:pPr>
      <w:r>
        <w:rPr>
          <w:rFonts w:ascii="Times New Roman" w:cs="Times New Roman" w:eastAsia="Times New Roman" w:hAnsi="Times New Roman"/>
          <w:sz w:val="24"/>
          <w:szCs w:val="24"/>
        </w:rPr>
        <w:t xml:space="preserve">Epithelial barrier integrity — skin, intestinal mucosa, respiratory epithelium — is the primary defense against microbial invasion. In the absence of antibiotics, barrier breach was catastrophic: sepsis, tissue necrosis, and uncontrolled infection were major causes of death. The speed and completeness of epithelial regeneration following injury was therefore under intense positive selection pressure. </w:t>
      </w:r>
      <w:r>
        <w:rPr>
          <w:rFonts w:ascii="Times New Roman" w:cs="Times New Roman" w:eastAsia="Times New Roman" w:hAnsi="Times New Roman"/>
          <w:sz w:val="18"/>
          <w:szCs w:val="18"/>
          <w:vertAlign w:val="superscript"/>
        </w:rPr>
        <w:t xml:space="preserve">[18]</w:t>
      </w:r>
    </w:p>
    <w:p>
      <w:pPr>
        <w:spacing w:after="180" w:line="276" w:lineRule="auto"/>
        <w:jc w:val="both"/>
      </w:pPr>
      <w:r>
        <w:rPr>
          <w:rFonts w:ascii="Times New Roman" w:cs="Times New Roman" w:eastAsia="Times New Roman" w:hAnsi="Times New Roman"/>
          <w:sz w:val="24"/>
          <w:szCs w:val="24"/>
        </w:rPr>
        <w:t xml:space="preserve">Rapid epithelial regeneration requires precisely the biological machinery that the energetic-window framework identifies as oncogenic substrate: local BGR dominance for rapid proliferative expansion; MMP-mediated ECM remodeling to clear damaged matrix and create space for new tissue; angiogenic signaling to rapidly establish new vascular supply; and transient dedifferentiation of progenitor cells to generate the proliferative capacity needed for rapid barrier closure. </w:t>
      </w:r>
      <w:r>
        <w:rPr>
          <w:rFonts w:ascii="Times New Roman" w:cs="Times New Roman" w:eastAsia="Times New Roman" w:hAnsi="Times New Roman"/>
          <w:sz w:val="18"/>
          <w:szCs w:val="18"/>
          <w:vertAlign w:val="superscript"/>
        </w:rPr>
        <w:t xml:space="preserve">[18,12,30]</w:t>
      </w:r>
    </w:p>
    <w:p>
      <w:pPr>
        <w:spacing w:after="180" w:line="276" w:lineRule="auto"/>
        <w:jc w:val="both"/>
      </w:pPr>
      <w:r>
        <w:rPr>
          <w:rFonts w:ascii="Times New Roman" w:cs="Times New Roman" w:eastAsia="Times New Roman" w:hAnsi="Times New Roman"/>
          <w:sz w:val="24"/>
          <w:szCs w:val="24"/>
        </w:rPr>
        <w:t xml:space="preserve">The evolutionary logic is therefore clear: </w:t>
      </w:r>
      <w:r>
        <w:rPr>
          <w:rFonts w:ascii="Times New Roman" w:cs="Times New Roman" w:eastAsia="Times New Roman" w:hAnsi="Times New Roman"/>
          <w:b/>
          <w:bCs/>
          <w:sz w:val="24"/>
          <w:szCs w:val="24"/>
        </w:rPr>
        <w:t xml:space="preserve">organisms with high regenerative capacity survived barrier injuries that killed less plastic organisms</w:t>
      </w:r>
      <w:r>
        <w:rPr>
          <w:rFonts w:ascii="Times New Roman" w:cs="Times New Roman" w:eastAsia="Times New Roman" w:hAnsi="Times New Roman"/>
          <w:sz w:val="24"/>
          <w:szCs w:val="24"/>
        </w:rPr>
        <w:t xml:space="preserve">. The oncogenic risk associated with that capacity was a late-life price — typically paid after reproductive age — that imposed no meaningful selection pressure compared to the survival advantage conferred during reproductive years. This is a classic example of antagonistic pleiotropy: the same genetic and epigenetic architecture that confers survival advantage in youth generates pathology in later life. </w:t>
      </w:r>
      <w:r>
        <w:rPr>
          <w:rFonts w:ascii="Times New Roman" w:cs="Times New Roman" w:eastAsia="Times New Roman" w:hAnsi="Times New Roman"/>
          <w:sz w:val="18"/>
          <w:szCs w:val="18"/>
          <w:vertAlign w:val="superscript"/>
        </w:rPr>
        <w:t xml:space="preserve">[24,25]</w:t>
      </w:r>
    </w:p>
    <w:p>
      <w:pPr>
        <w:pBdr>
          <w:top w:val="single" w:color="2E75B6" w:sz="6" w:space="4"/>
          <w:bottom w:val="single" w:color="2E75B6" w:sz="6" w:space="4"/>
          <w:left w:val="thick" w:color="E67E22" w:sz="14" w:space="8"/>
        </w:pBdr>
        <w:shd w:fill="FEF9F0"/>
        <w:spacing w:after="180" w:before="120"/>
        <w:ind w:left="240" w:right="240"/>
      </w:pPr>
      <w:r>
        <w:rPr>
          <w:rFonts w:ascii="Arial" w:cs="Arial" w:eastAsia="Arial" w:hAnsi="Arial"/>
          <w:b/>
          <w:bCs/>
          <w:sz w:val="22"/>
          <w:szCs w:val="22"/>
        </w:rPr>
        <w:t xml:space="preserve">Note: </w:t>
      </w:r>
      <w:r>
        <w:rPr>
          <w:rFonts w:ascii="Times New Roman" w:cs="Times New Roman" w:eastAsia="Times New Roman" w:hAnsi="Times New Roman"/>
          <w:sz w:val="22"/>
          <w:szCs w:val="22"/>
        </w:rPr>
        <w:t xml:space="preserve">The antagonistic pleiotropy framework predicts that cancer incidence should be highest in the tissues with the highest regenerative demands — epithelium, bone marrow, liver — and lowest in tissues with minimal regenerative requirements — neurons, cardiac muscle. This prediction is confirmed by epidemiological data: carcinomas (epithelial origin) account for approximately 85% of all cancers; glioblastoma and primary cardiac tumors are rare. The correlation is between regenerative demand and oncogenic risk, not between cell division rate and mutation accumulation rate, which would predict similar risks across all dividing cell populations.</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5. Viral Coevolution: Exploitation of Pre-Existing Plasticity</w:t>
      </w:r>
    </w:p>
    <w:p>
      <w:pPr>
        <w:spacing w:after="180" w:line="276" w:lineRule="auto"/>
        <w:jc w:val="both"/>
      </w:pPr>
      <w:r>
        <w:rPr>
          <w:rFonts w:ascii="Times New Roman" w:cs="Times New Roman" w:eastAsia="Times New Roman" w:hAnsi="Times New Roman"/>
          <w:sz w:val="24"/>
          <w:szCs w:val="24"/>
        </w:rPr>
        <w:t xml:space="preserve">Approximately 15-20% of human cancers are associated with infectious agents, predominantly viruses. </w:t>
      </w:r>
      <w:r>
        <w:rPr>
          <w:rFonts w:ascii="Times New Roman" w:cs="Times New Roman" w:eastAsia="Times New Roman" w:hAnsi="Times New Roman"/>
          <w:sz w:val="18"/>
          <w:szCs w:val="18"/>
          <w:vertAlign w:val="superscript"/>
        </w:rPr>
        <w:t xml:space="preserve">[16]</w:t>
      </w:r>
      <w:r>
        <w:rPr>
          <w:rFonts w:ascii="Times New Roman" w:cs="Times New Roman" w:eastAsia="Times New Roman" w:hAnsi="Times New Roman"/>
          <w:sz w:val="24"/>
          <w:szCs w:val="24"/>
        </w:rPr>
        <w:t xml:space="preserve"> This association is not random: oncogenic viruses disproportionately target </w:t>
      </w:r>
      <w:r>
        <w:rPr>
          <w:rFonts w:ascii="Times New Roman" w:cs="Times New Roman" w:eastAsia="Times New Roman" w:hAnsi="Times New Roman"/>
          <w:b/>
          <w:bCs/>
          <w:sz w:val="24"/>
          <w:szCs w:val="24"/>
        </w:rPr>
        <w:t xml:space="preserve">sites of high tissue plasticity and active regenerative cycling</w:t>
      </w:r>
      <w:r>
        <w:rPr>
          <w:rFonts w:ascii="Times New Roman" w:cs="Times New Roman" w:eastAsia="Times New Roman" w:hAnsi="Times New Roman"/>
          <w:sz w:val="24"/>
          <w:szCs w:val="24"/>
        </w:rPr>
        <w:t xml:space="preserve"> — cervical transformation zone (HPV), hepatocytes undergoing regenerative cycles in response to chronic injury (HBV, HCV), tonsillar and oropharyngeal epithelium (HPV), and gastric mucosa undergoing chronic inflammatory remodeling (H. pylori, EBV). </w:t>
      </w:r>
      <w:r>
        <w:rPr>
          <w:rFonts w:ascii="Times New Roman" w:cs="Times New Roman" w:eastAsia="Times New Roman" w:hAnsi="Times New Roman"/>
          <w:sz w:val="18"/>
          <w:szCs w:val="18"/>
          <w:vertAlign w:val="superscript"/>
        </w:rPr>
        <w:t xml:space="preserve">[15,16]</w:t>
      </w:r>
    </w:p>
    <w:p>
      <w:pPr>
        <w:spacing w:after="180" w:line="276" w:lineRule="auto"/>
        <w:jc w:val="both"/>
      </w:pPr>
      <w:r>
        <w:rPr>
          <w:rFonts w:ascii="Times New Roman" w:cs="Times New Roman" w:eastAsia="Times New Roman" w:hAnsi="Times New Roman"/>
          <w:sz w:val="24"/>
          <w:szCs w:val="24"/>
        </w:rPr>
        <w:t xml:space="preserve">This targeting pattern is not incidental. It reflects the fact that oncogenic viruses require </w:t>
      </w:r>
      <w:r>
        <w:rPr>
          <w:rFonts w:ascii="Times New Roman" w:cs="Times New Roman" w:eastAsia="Times New Roman" w:hAnsi="Times New Roman"/>
          <w:b/>
          <w:bCs/>
          <w:sz w:val="24"/>
          <w:szCs w:val="24"/>
        </w:rPr>
        <w:t xml:space="preserve">expanded energetic windows and active BGR dominance</w:t>
      </w:r>
      <w:r>
        <w:rPr>
          <w:rFonts w:ascii="Times New Roman" w:cs="Times New Roman" w:eastAsia="Times New Roman" w:hAnsi="Times New Roman"/>
          <w:sz w:val="24"/>
          <w:szCs w:val="24"/>
        </w:rPr>
        <w:t xml:space="preserve"> to establish and maintain infection: these conditions provide the cellular plasticity, chromatin accessibility, and metabolic substrates required for viral replication and integration. Viruses that target regeneratively active tissue zones are exploiting pre-existing energetic-window expansion events rather than generating them de novo.</w:t>
      </w:r>
    </w:p>
    <w:p>
      <w:pPr>
        <w:pStyle w:val="Heading2"/>
        <w:spacing w:after="100" w:before="240"/>
      </w:pPr>
      <w:r>
        <w:rPr>
          <w:rFonts w:ascii="Arial" w:cs="Arial" w:eastAsia="Arial" w:hAnsi="Arial"/>
          <w:b/>
          <w:bCs/>
          <w:color w:val="2E75B6"/>
          <w:sz w:val="24"/>
          <w:szCs w:val="24"/>
        </w:rPr>
        <w:t xml:space="preserve">5.1 HPV and the Transformation Zone</w:t>
      </w:r>
    </w:p>
    <w:p>
      <w:pPr>
        <w:spacing w:after="180" w:line="276" w:lineRule="auto"/>
        <w:jc w:val="both"/>
      </w:pPr>
      <w:r>
        <w:rPr>
          <w:rFonts w:ascii="Times New Roman" w:cs="Times New Roman" w:eastAsia="Times New Roman" w:hAnsi="Times New Roman"/>
          <w:sz w:val="24"/>
          <w:szCs w:val="24"/>
        </w:rPr>
        <w:t xml:space="preserve">HPV is the most comprehensively understood oncogenic virus and provides the clearest model of viral exploitation of regenerative plasticity. The cervical transformation zone — the site of squamocolumnar junction between ectocervical and endocervical epithelium — is a zone of constitutive transitional plasticity: the site where squamous metaplasia continuously occurs as a normal physiological process of epithelial adaptation. </w:t>
      </w:r>
      <w:r>
        <w:rPr>
          <w:rFonts w:ascii="Times New Roman" w:cs="Times New Roman" w:eastAsia="Times New Roman" w:hAnsi="Times New Roman"/>
          <w:sz w:val="18"/>
          <w:szCs w:val="18"/>
          <w:vertAlign w:val="superscript"/>
        </w:rPr>
        <w:t xml:space="preserve">[14,15]</w:t>
      </w:r>
    </w:p>
    <w:p>
      <w:pPr>
        <w:spacing w:after="180" w:line="276" w:lineRule="auto"/>
        <w:jc w:val="both"/>
      </w:pPr>
      <w:r>
        <w:rPr>
          <w:rFonts w:ascii="Times New Roman" w:cs="Times New Roman" w:eastAsia="Times New Roman" w:hAnsi="Times New Roman"/>
          <w:sz w:val="24"/>
          <w:szCs w:val="24"/>
        </w:rPr>
        <w:t xml:space="preserve">This zone maintains a constitutively wider energetic window than surrounding stable epithelium, with higher MMP activity, more frequent BGR cycling, and greater chromatin accessibility at developmental gene loci — precisely the conditions that favor HPV infection and persistence. High-risk HPV subtypes (HPV-16, HPV-18) have evolved E6 and E7 oncoproteins that directly interfere with the cellular machinery controlling energetic-window width: E7 degrades pRb, releasing E2F-driven proliferative programs; E6 degrades p53, eliminating the apoptotic response to energetic-window over-expansion. </w:t>
      </w:r>
      <w:r>
        <w:rPr>
          <w:rFonts w:ascii="Times New Roman" w:cs="Times New Roman" w:eastAsia="Times New Roman" w:hAnsi="Times New Roman"/>
          <w:sz w:val="18"/>
          <w:szCs w:val="18"/>
          <w:vertAlign w:val="superscript"/>
        </w:rPr>
        <w:t xml:space="preserve">[15]</w:t>
      </w:r>
    </w:p>
    <w:p>
      <w:pPr>
        <w:spacing w:after="180" w:line="276" w:lineRule="auto"/>
        <w:jc w:val="both"/>
      </w:pPr>
      <w:r>
        <w:rPr>
          <w:rFonts w:ascii="Times New Roman" w:cs="Times New Roman" w:eastAsia="Times New Roman" w:hAnsi="Times New Roman"/>
          <w:sz w:val="24"/>
          <w:szCs w:val="24"/>
        </w:rPr>
        <w:t xml:space="preserve">The evolutionary antiquity of papillomaviruses is well-established: phylogenetic analyses demonstrate papillomavirus-host coevolution dating back over 100 million years, with papillomavirus lineages tracking primate and mammalian phylogenies over geological time. </w:t>
      </w:r>
      <w:r>
        <w:rPr>
          <w:rFonts w:ascii="Times New Roman" w:cs="Times New Roman" w:eastAsia="Times New Roman" w:hAnsi="Times New Roman"/>
          <w:sz w:val="18"/>
          <w:szCs w:val="18"/>
          <w:vertAlign w:val="superscript"/>
        </w:rPr>
        <w:t xml:space="preserve">[13,14]</w:t>
      </w:r>
      <w:r>
        <w:rPr>
          <w:rFonts w:ascii="Times New Roman" w:cs="Times New Roman" w:eastAsia="Times New Roman" w:hAnsi="Times New Roman"/>
          <w:sz w:val="24"/>
          <w:szCs w:val="24"/>
        </w:rPr>
        <w:t xml:space="preserve"> This deep coevolutionary history is consistent with the hypothesis that viral persistence represents a stable dynamic equilibrium rather than simple pathogenic conflict: the virus exploits tissue plasticity zones that exist regardless of its presence, causes subclinical or resolved infection in the vast majority of hosts, and generates oncogenic progression only when the normal mechanisms that terminate energetic-window expansion — structural restabilization, immune clearance, Regeneration Pendulum damping — fail. </w:t>
      </w:r>
      <w:r>
        <w:rPr>
          <w:rFonts w:ascii="Times New Roman" w:cs="Times New Roman" w:eastAsia="Times New Roman" w:hAnsi="Times New Roman"/>
          <w:sz w:val="18"/>
          <w:szCs w:val="18"/>
          <w:vertAlign w:val="superscript"/>
        </w:rPr>
        <w:t xml:space="preserve">[32]</w:t>
      </w:r>
    </w:p>
    <w:p>
      <w:pPr>
        <w:pStyle w:val="Heading2"/>
        <w:spacing w:after="100" w:before="240"/>
      </w:pPr>
      <w:r>
        <w:rPr>
          <w:rFonts w:ascii="Arial" w:cs="Arial" w:eastAsia="Arial" w:hAnsi="Arial"/>
          <w:b/>
          <w:bCs/>
          <w:color w:val="2E75B6"/>
          <w:sz w:val="24"/>
          <w:szCs w:val="24"/>
        </w:rPr>
        <w:t xml:space="preserve">5.2 Viral Oncogenesis as Energetic-Window Stabilization</w:t>
      </w:r>
    </w:p>
    <w:p>
      <w:pPr>
        <w:spacing w:after="180" w:line="276" w:lineRule="auto"/>
        <w:jc w:val="both"/>
      </w:pPr>
      <w:r>
        <w:rPr>
          <w:rFonts w:ascii="Times New Roman" w:cs="Times New Roman" w:eastAsia="Times New Roman" w:hAnsi="Times New Roman"/>
          <w:sz w:val="24"/>
          <w:szCs w:val="24"/>
        </w:rPr>
        <w:t xml:space="preserve">Within the energetic-window framework, high-risk HPV oncogenesis can be precisely characterized: E6/E7 expression converts a </w:t>
      </w:r>
      <w:r>
        <w:rPr>
          <w:rFonts w:ascii="Times New Roman" w:cs="Times New Roman" w:eastAsia="Times New Roman" w:hAnsi="Times New Roman"/>
          <w:i/>
          <w:iCs/>
          <w:sz w:val="24"/>
          <w:szCs w:val="24"/>
        </w:rPr>
        <w:t xml:space="preserve">transiently expanded</w:t>
      </w:r>
      <w:r>
        <w:rPr>
          <w:rFonts w:ascii="Times New Roman" w:cs="Times New Roman" w:eastAsia="Times New Roman" w:hAnsi="Times New Roman"/>
          <w:sz w:val="24"/>
          <w:szCs w:val="24"/>
        </w:rPr>
        <w:t xml:space="preserve"> energetic window (normal transformation zone regenerative cycling) into a </w:t>
      </w:r>
      <w:r>
        <w:rPr>
          <w:rFonts w:ascii="Times New Roman" w:cs="Times New Roman" w:eastAsia="Times New Roman" w:hAnsi="Times New Roman"/>
          <w:i/>
          <w:iCs/>
          <w:sz w:val="24"/>
          <w:szCs w:val="24"/>
        </w:rPr>
        <w:t xml:space="preserve">constitutively stabilized</w:t>
      </w:r>
      <w:r>
        <w:rPr>
          <w:rFonts w:ascii="Times New Roman" w:cs="Times New Roman" w:eastAsia="Times New Roman" w:hAnsi="Times New Roman"/>
          <w:sz w:val="24"/>
          <w:szCs w:val="24"/>
        </w:rPr>
        <w:t xml:space="preserve"> expanded energetic window (BGR dominance maintained independently of architectural feedback). This is precisely the </w:t>
      </w:r>
      <w:r>
        <w:rPr>
          <w:rFonts w:ascii="Times New Roman" w:cs="Times New Roman" w:eastAsia="Times New Roman" w:hAnsi="Times New Roman"/>
          <w:b/>
          <w:bCs/>
          <w:sz w:val="24"/>
          <w:szCs w:val="24"/>
        </w:rPr>
        <w:t xml:space="preserve">oncogenic bifurcation</w:t>
      </w:r>
      <w:r>
        <w:rPr>
          <w:rFonts w:ascii="Times New Roman" w:cs="Times New Roman" w:eastAsia="Times New Roman" w:hAnsi="Times New Roman"/>
          <w:sz w:val="24"/>
          <w:szCs w:val="24"/>
        </w:rPr>
        <w:t xml:space="preserve"> identified in Paper 2 of the companion series </w:t>
      </w:r>
      <w:r>
        <w:rPr>
          <w:rFonts w:ascii="Times New Roman" w:cs="Times New Roman" w:eastAsia="Times New Roman" w:hAnsi="Times New Roman"/>
          <w:sz w:val="18"/>
          <w:szCs w:val="18"/>
          <w:vertAlign w:val="superscript"/>
        </w:rPr>
        <w:t xml:space="preserve">[33]</w:t>
      </w:r>
      <w:r>
        <w:rPr>
          <w:rFonts w:ascii="Times New Roman" w:cs="Times New Roman" w:eastAsia="Times New Roman" w:hAnsi="Times New Roman"/>
          <w:sz w:val="24"/>
          <w:szCs w:val="24"/>
        </w:rPr>
        <w:t xml:space="preserve"> — the transition from Temporal Tissue Loop dynamics to constitutive developmental attractor stabilization that defines the separated clone of Paper 5. </w:t>
      </w:r>
      <w:r>
        <w:rPr>
          <w:rFonts w:ascii="Times New Roman" w:cs="Times New Roman" w:eastAsia="Times New Roman" w:hAnsi="Times New Roman"/>
          <w:sz w:val="18"/>
          <w:szCs w:val="18"/>
          <w:vertAlign w:val="superscript"/>
        </w:rPr>
        <w:t xml:space="preserve">[36]</w:t>
      </w:r>
    </w:p>
    <w:p>
      <w:pPr>
        <w:spacing w:after="180" w:line="276" w:lineRule="auto"/>
        <w:jc w:val="both"/>
      </w:pPr>
      <w:r>
        <w:rPr>
          <w:rFonts w:ascii="Times New Roman" w:cs="Times New Roman" w:eastAsia="Times New Roman" w:hAnsi="Times New Roman"/>
          <w:sz w:val="24"/>
          <w:szCs w:val="24"/>
        </w:rPr>
        <w:t xml:space="preserve">Viral oncogenesis therefore does not represent a fundamentally different biological process from non-viral oncogenesis. It represents an </w:t>
      </w:r>
      <w:r>
        <w:rPr>
          <w:rFonts w:ascii="Times New Roman" w:cs="Times New Roman" w:eastAsia="Times New Roman" w:hAnsi="Times New Roman"/>
          <w:b/>
          <w:bCs/>
          <w:sz w:val="24"/>
          <w:szCs w:val="24"/>
        </w:rPr>
        <w:t xml:space="preserve">accelerated and mechanistically specific route</w:t>
      </w:r>
      <w:r>
        <w:rPr>
          <w:rFonts w:ascii="Times New Roman" w:cs="Times New Roman" w:eastAsia="Times New Roman" w:hAnsi="Times New Roman"/>
          <w:sz w:val="24"/>
          <w:szCs w:val="24"/>
        </w:rPr>
        <w:t xml:space="preserve"> to the same energetic-window stabilization that occurs through slower accumulation of epigenetic, metabolic, and microenvironmental changes in non-viral carcinogenesis. The viral oncoproteins short-circuit the gradual process by directly targeting the molecular regulators of energetic-window width.</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6. The Tumor as Historically Stabilized Regeneration</w:t>
      </w:r>
    </w:p>
    <w:p>
      <w:pPr>
        <w:spacing w:after="180" w:line="276" w:lineRule="auto"/>
        <w:jc w:val="both"/>
      </w:pPr>
      <w:r>
        <w:rPr>
          <w:rFonts w:ascii="Times New Roman" w:cs="Times New Roman" w:eastAsia="Times New Roman" w:hAnsi="Times New Roman"/>
          <w:sz w:val="24"/>
          <w:szCs w:val="24"/>
        </w:rPr>
        <w:t xml:space="preserve">The preceding sections establish that the biological machinery of cancer is the same machinery as regeneration, operating without structural termination. This observation, combined with the energetic-window framework and the clone fate model of the companion series, supports a specific and testable definition:</w:t>
      </w:r>
    </w:p>
    <w:p>
      <w:pPr>
        <w:pBdr>
          <w:top w:val="double" w:color="2E75B6" w:sz="6" w:space="4"/>
          <w:bottom w:val="double" w:color="2E75B6" w:sz="6" w:space="4"/>
          <w:left w:val="double" w:color="2E75B6" w:sz="6" w:space="8"/>
          <w:right w:val="double" w:color="2E75B6" w:sz="6" w:space="8"/>
        </w:pBdr>
        <w:shd w:fill="E8F4FD"/>
        <w:spacing w:after="200" w:before="160"/>
        <w:ind w:left="240" w:right="240"/>
      </w:pPr>
      <w:r>
        <w:rPr>
          <w:rFonts w:ascii="Times New Roman" w:cs="Times New Roman" w:eastAsia="Times New Roman" w:hAnsi="Times New Roman"/>
          <w:b/>
          <w:bCs/>
          <w:sz w:val="24"/>
          <w:szCs w:val="24"/>
        </w:rPr>
        <w:t xml:space="preserve">A tumor is a regenerative system that has lost the structural context — the organized three-dimensional tissue architecture that normally narrows the energetic window and terminates Basal Glycolytic Regime dominance — and has been historically stabilized in that architecturally unconstrained state through the progressive accumulation of autonomous microenvironmental infrastructure.</w:t>
      </w:r>
    </w:p>
    <w:p>
      <w:pPr>
        <w:spacing w:after="180" w:line="276" w:lineRule="auto"/>
        <w:jc w:val="both"/>
      </w:pPr>
      <w:r>
        <w:rPr>
          <w:rFonts w:ascii="Times New Roman" w:cs="Times New Roman" w:eastAsia="Times New Roman" w:hAnsi="Times New Roman"/>
          <w:sz w:val="24"/>
          <w:szCs w:val="24"/>
        </w:rPr>
        <w:t xml:space="preserve">This definition has several properties that distinguish it from proliferation-centered or mutation-centered definitions:</w:t>
      </w:r>
    </w:p>
    <w:p>
      <w:pPr>
        <w:pStyle w:val="ListParagraph"/>
        <w:numPr>
          <w:ilvl w:val="0"/>
          <w:numId w:val="3"/>
        </w:numPr>
        <w:spacing w:after="100"/>
      </w:pPr>
      <w:r>
        <w:rPr>
          <w:rFonts w:ascii="Times New Roman" w:cs="Times New Roman" w:eastAsia="Times New Roman" w:hAnsi="Times New Roman"/>
          <w:b/>
          <w:bCs/>
          <w:sz w:val="24"/>
          <w:szCs w:val="24"/>
        </w:rPr>
        <w:t xml:space="preserve">It is process-based, not state-based: </w:t>
      </w:r>
      <w:r>
        <w:rPr>
          <w:rFonts w:ascii="Times New Roman" w:cs="Times New Roman" w:eastAsia="Times New Roman" w:hAnsi="Times New Roman"/>
          <w:sz w:val="24"/>
          <w:szCs w:val="24"/>
        </w:rPr>
        <w:t xml:space="preserve">it describes how the tumor came to be, not merely what it currently is. Two tumors with identical histological appearances may be at different stages of this process and thus have different clinical trajectories — consistent with the observation that histological grade is an imperfect predictor of clinical outcome.</w:t>
      </w:r>
    </w:p>
    <w:p>
      <w:pPr>
        <w:pStyle w:val="ListParagraph"/>
        <w:numPr>
          <w:ilvl w:val="0"/>
          <w:numId w:val="3"/>
        </w:numPr>
        <w:spacing w:after="100"/>
      </w:pPr>
      <w:r>
        <w:rPr>
          <w:rFonts w:ascii="Times New Roman" w:cs="Times New Roman" w:eastAsia="Times New Roman" w:hAnsi="Times New Roman"/>
          <w:b/>
          <w:bCs/>
          <w:sz w:val="24"/>
          <w:szCs w:val="24"/>
        </w:rPr>
        <w:t xml:space="preserve">It explains the continuum: </w:t>
      </w:r>
      <w:r>
        <w:rPr>
          <w:rFonts w:ascii="Times New Roman" w:cs="Times New Roman" w:eastAsia="Times New Roman" w:hAnsi="Times New Roman"/>
          <w:sz w:val="24"/>
          <w:szCs w:val="24"/>
        </w:rPr>
        <w:t xml:space="preserve">the same framework accommodates normal tissue, acute regeneration, chronic inflammation, stable dysplasia, benign tumor, in situ carcinoma, and invasive malignancy as quantitatively different positions within a single dynamical landscape. There is no categorical boundary between these states, only differences in energetic-window width, Markov connectivity, and accumulated historical trajectory. </w:t>
      </w:r>
      <w:r>
        <w:rPr>
          <w:rFonts w:ascii="Times New Roman" w:cs="Times New Roman" w:eastAsia="Times New Roman" w:hAnsi="Times New Roman"/>
          <w:sz w:val="18"/>
          <w:szCs w:val="18"/>
          <w:vertAlign w:val="superscript"/>
        </w:rPr>
        <w:t xml:space="preserve">[32,34,35,36]</w:t>
      </w:r>
    </w:p>
    <w:p>
      <w:pPr>
        <w:pStyle w:val="ListParagraph"/>
        <w:numPr>
          <w:ilvl w:val="0"/>
          <w:numId w:val="3"/>
        </w:numPr>
        <w:spacing w:after="100"/>
      </w:pPr>
      <w:r>
        <w:rPr>
          <w:rFonts w:ascii="Times New Roman" w:cs="Times New Roman" w:eastAsia="Times New Roman" w:hAnsi="Times New Roman"/>
          <w:b/>
          <w:bCs/>
          <w:sz w:val="24"/>
          <w:szCs w:val="24"/>
        </w:rPr>
        <w:t xml:space="preserve">It predicts reversibility conditions: </w:t>
      </w:r>
      <w:r>
        <w:rPr>
          <w:rFonts w:ascii="Times New Roman" w:cs="Times New Roman" w:eastAsia="Times New Roman" w:hAnsi="Times New Roman"/>
          <w:sz w:val="24"/>
          <w:szCs w:val="24"/>
        </w:rPr>
        <w:t xml:space="preserve">if the structural context can be restored — through imposed architectural constraints, metabolic normalization, or epigenetic intermediate-state reconstitution — the energetic window can in principle be re-narrowed and tumor progression halted or reversed. This is consistent with the empirical observation that three-dimensional culture contexts can suppress malignant behavior in tumor cells without genetic modification. </w:t>
      </w:r>
      <w:r>
        <w:rPr>
          <w:rFonts w:ascii="Times New Roman" w:cs="Times New Roman" w:eastAsia="Times New Roman" w:hAnsi="Times New Roman"/>
          <w:sz w:val="18"/>
          <w:szCs w:val="18"/>
          <w:vertAlign w:val="superscript"/>
        </w:rPr>
        <w:t xml:space="preserve">[23]</w:t>
      </w:r>
    </w:p>
    <w:p>
      <w:pPr>
        <w:pStyle w:val="ListParagraph"/>
        <w:numPr>
          <w:ilvl w:val="0"/>
          <w:numId w:val="3"/>
        </w:numPr>
        <w:spacing w:after="100"/>
      </w:pPr>
      <w:r>
        <w:rPr>
          <w:rFonts w:ascii="Times New Roman" w:cs="Times New Roman" w:eastAsia="Times New Roman" w:hAnsi="Times New Roman"/>
          <w:b/>
          <w:bCs/>
          <w:sz w:val="24"/>
          <w:szCs w:val="24"/>
        </w:rPr>
        <w:t xml:space="preserve">It explains the Virchow-Dvorak observations: </w:t>
      </w:r>
      <w:r>
        <w:rPr>
          <w:rFonts w:ascii="Times New Roman" w:cs="Times New Roman" w:eastAsia="Times New Roman" w:hAnsi="Times New Roman"/>
          <w:sz w:val="24"/>
          <w:szCs w:val="24"/>
        </w:rPr>
        <w:t xml:space="preserve">inflammatory tissue surrounding tumors shows signs of regenerative activation </w:t>
      </w:r>
      <w:r>
        <w:rPr>
          <w:rFonts w:ascii="Times New Roman" w:cs="Times New Roman" w:eastAsia="Times New Roman" w:hAnsi="Times New Roman"/>
          <w:sz w:val="18"/>
          <w:szCs w:val="18"/>
          <w:vertAlign w:val="superscript"/>
        </w:rPr>
        <w:t xml:space="preserve">[10,11]</w:t>
      </w:r>
      <w:r>
        <w:rPr>
          <w:rFonts w:ascii="Times New Roman" w:cs="Times New Roman" w:eastAsia="Times New Roman" w:hAnsi="Times New Roman"/>
          <w:sz w:val="24"/>
          <w:szCs w:val="24"/>
        </w:rPr>
        <w:t xml:space="preserve"> because it is being recruited into the tumor's expanded energetic window — the morphodynamic synchronization mode described in Paper 5 of the companion series. </w:t>
      </w:r>
      <w:r>
        <w:rPr>
          <w:rFonts w:ascii="Times New Roman" w:cs="Times New Roman" w:eastAsia="Times New Roman" w:hAnsi="Times New Roman"/>
          <w:sz w:val="18"/>
          <w:szCs w:val="18"/>
          <w:vertAlign w:val="superscript"/>
        </w:rPr>
        <w:t xml:space="preserve">[36]</w:t>
      </w:r>
      <w:r>
        <w:rPr>
          <w:rFonts w:ascii="Times New Roman" w:cs="Times New Roman" w:eastAsia="Times New Roman" w:hAnsi="Times New Roman"/>
          <w:sz w:val="24"/>
          <w:szCs w:val="24"/>
        </w:rPr>
        <w:t xml:space="preserve"> This is not a coincidental association but a mechanistic consequence of the clone's active energetic-window expansion propagating into surrounding tissue.</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7. Testable Predictions</w:t>
      </w:r>
    </w:p>
    <w:p>
      <w:pPr>
        <w:spacing w:after="180" w:line="276" w:lineRule="auto"/>
        <w:jc w:val="both"/>
      </w:pPr>
      <w:r>
        <w:rPr>
          <w:rFonts w:ascii="Times New Roman" w:cs="Times New Roman" w:eastAsia="Times New Roman" w:hAnsi="Times New Roman"/>
          <w:sz w:val="24"/>
          <w:szCs w:val="24"/>
        </w:rPr>
        <w:t xml:space="preserve">A hypothesis that cannot be distinguished from alternatives by empirical test is not scientifically useful. The energetic-window reinterpretation of cancer generates the following specific predictions, each of which is distinguishable from predictions of mutation-centered models:</w:t>
      </w:r>
    </w:p>
    <w:p>
      <w:pPr>
        <w:spacing w:after="80"/>
      </w:pPr>
      <w:r>
        <w:rPr>
          <w:rFonts w:ascii="Times New Roman" w:cs="Times New Roman" w:eastAsia="Times New Roman" w:hAnsi="Times New Roman"/>
          <w:sz w:val="24"/>
          <w:szCs w:val="24"/>
        </w:rPr>
        <w:t xml:space="preserve"/>
      </w:r>
    </w:p>
    <w:p>
      <w:pPr>
        <w:pStyle w:val="ListParagraph"/>
        <w:numPr>
          <w:ilvl w:val="0"/>
          <w:numId w:val="2"/>
        </w:numPr>
        <w:spacing w:after="120"/>
      </w:pPr>
      <w:r>
        <w:rPr>
          <w:rFonts w:ascii="Times New Roman" w:cs="Times New Roman" w:eastAsia="Times New Roman" w:hAnsi="Times New Roman"/>
          <w:b/>
          <w:bCs/>
          <w:sz w:val="24"/>
          <w:szCs w:val="24"/>
        </w:rPr>
        <w:t xml:space="preserve">Allometric energetic-window prediction: </w:t>
      </w:r>
      <w:r>
        <w:rPr>
          <w:rFonts w:ascii="Times New Roman" w:cs="Times New Roman" w:eastAsia="Times New Roman" w:hAnsi="Times New Roman"/>
          <w:sz w:val="24"/>
          <w:szCs w:val="24"/>
        </w:rPr>
        <w:t xml:space="preserve">Cancer incidence per unit tissue mass should correlate negatively with surface-to-mass ratio and mass-specific metabolic rate across mammalian species, </w:t>
      </w:r>
      <w:r>
        <w:rPr>
          <w:rFonts w:ascii="Times New Roman" w:cs="Times New Roman" w:eastAsia="Times New Roman" w:hAnsi="Times New Roman"/>
          <w:i/>
          <w:iCs/>
          <w:sz w:val="24"/>
          <w:szCs w:val="24"/>
        </w:rPr>
        <w:t xml:space="preserve">after controlling for lifespan</w:t>
      </w:r>
      <w:r>
        <w:rPr>
          <w:rFonts w:ascii="Times New Roman" w:cs="Times New Roman" w:eastAsia="Times New Roman" w:hAnsi="Times New Roman"/>
          <w:sz w:val="24"/>
          <w:szCs w:val="24"/>
        </w:rPr>
        <w:t xml:space="preserve">. Mutation-centered models predict that cancer incidence should correlate primarily with total lifetime cell divisions; the energetic-window model predicts it should correlate with metabolic tempo and regenerative cycling frequency independently of mutation accumulation rate. These predictions are separable in species with similar lifespans but different metabolic rates. </w:t>
      </w:r>
      <w:r>
        <w:rPr>
          <w:rFonts w:ascii="Times New Roman" w:cs="Times New Roman" w:eastAsia="Times New Roman" w:hAnsi="Times New Roman"/>
          <w:sz w:val="18"/>
          <w:szCs w:val="18"/>
          <w:vertAlign w:val="superscript"/>
        </w:rPr>
        <w:t xml:space="preserve">[2,4,29]</w:t>
      </w:r>
    </w:p>
    <w:p>
      <w:pPr>
        <w:pStyle w:val="ListParagraph"/>
        <w:numPr>
          <w:ilvl w:val="0"/>
          <w:numId w:val="2"/>
        </w:numPr>
        <w:spacing w:after="120"/>
      </w:pPr>
      <w:r>
        <w:rPr>
          <w:rFonts w:ascii="Times New Roman" w:cs="Times New Roman" w:eastAsia="Times New Roman" w:hAnsi="Times New Roman"/>
          <w:b/>
          <w:bCs/>
          <w:sz w:val="24"/>
          <w:szCs w:val="24"/>
        </w:rPr>
        <w:t xml:space="preserve">Tissue-specific regenerative demand prediction: </w:t>
      </w:r>
      <w:r>
        <w:rPr>
          <w:rFonts w:ascii="Times New Roman" w:cs="Times New Roman" w:eastAsia="Times New Roman" w:hAnsi="Times New Roman"/>
          <w:sz w:val="24"/>
          <w:szCs w:val="24"/>
        </w:rPr>
        <w:t xml:space="preserve">Within a single species, cancer risk across tissue types should correlate with </w:t>
      </w:r>
      <w:r>
        <w:rPr>
          <w:rFonts w:ascii="Times New Roman" w:cs="Times New Roman" w:eastAsia="Times New Roman" w:hAnsi="Times New Roman"/>
          <w:i/>
          <w:iCs/>
          <w:sz w:val="24"/>
          <w:szCs w:val="24"/>
        </w:rPr>
        <w:t xml:space="preserve">regenerative cycling frequency and baseline MMP activity</w:t>
      </w:r>
      <w:r>
        <w:rPr>
          <w:rFonts w:ascii="Times New Roman" w:cs="Times New Roman" w:eastAsia="Times New Roman" w:hAnsi="Times New Roman"/>
          <w:sz w:val="24"/>
          <w:szCs w:val="24"/>
        </w:rPr>
        <w:t xml:space="preserve"> more strongly than with stem cell division rate. This distinguishes the energetic-window model from the "bad luck" mutation accumulation hypothesis. </w:t>
      </w:r>
      <w:r>
        <w:rPr>
          <w:rFonts w:ascii="Times New Roman" w:cs="Times New Roman" w:eastAsia="Times New Roman" w:hAnsi="Times New Roman"/>
          <w:sz w:val="18"/>
          <w:szCs w:val="18"/>
          <w:vertAlign w:val="superscript"/>
        </w:rPr>
        <w:t xml:space="preserve">[7]</w:t>
      </w:r>
    </w:p>
    <w:p>
      <w:pPr>
        <w:pStyle w:val="ListParagraph"/>
        <w:numPr>
          <w:ilvl w:val="0"/>
          <w:numId w:val="2"/>
        </w:numPr>
        <w:spacing w:after="120"/>
      </w:pPr>
      <w:r>
        <w:rPr>
          <w:rFonts w:ascii="Times New Roman" w:cs="Times New Roman" w:eastAsia="Times New Roman" w:hAnsi="Times New Roman"/>
          <w:b/>
          <w:bCs/>
          <w:sz w:val="24"/>
          <w:szCs w:val="24"/>
        </w:rPr>
        <w:t xml:space="preserve">Viral target-zone prediction: </w:t>
      </w:r>
      <w:r>
        <w:rPr>
          <w:rFonts w:ascii="Times New Roman" w:cs="Times New Roman" w:eastAsia="Times New Roman" w:hAnsi="Times New Roman"/>
          <w:sz w:val="24"/>
          <w:szCs w:val="24"/>
        </w:rPr>
        <w:t xml:space="preserve">Oncogenic viruses should disproportionately establish persistent infection at sites of constitutively elevated energetic window — transformation zones, regenerative niches, chronically inflamed tissues — and should show reduced persistence rates in architecturally stable low-plasticity epithelium of similar cellular composition. </w:t>
      </w:r>
      <w:r>
        <w:rPr>
          <w:rFonts w:ascii="Times New Roman" w:cs="Times New Roman" w:eastAsia="Times New Roman" w:hAnsi="Times New Roman"/>
          <w:sz w:val="18"/>
          <w:szCs w:val="18"/>
          <w:vertAlign w:val="superscript"/>
        </w:rPr>
        <w:t xml:space="preserve">[15,16]</w:t>
      </w:r>
    </w:p>
    <w:p>
      <w:pPr>
        <w:pStyle w:val="ListParagraph"/>
        <w:numPr>
          <w:ilvl w:val="0"/>
          <w:numId w:val="2"/>
        </w:numPr>
        <w:spacing w:after="120"/>
      </w:pPr>
      <w:r>
        <w:rPr>
          <w:rFonts w:ascii="Times New Roman" w:cs="Times New Roman" w:eastAsia="Times New Roman" w:hAnsi="Times New Roman"/>
          <w:b/>
          <w:bCs/>
          <w:sz w:val="24"/>
          <w:szCs w:val="24"/>
        </w:rPr>
        <w:t xml:space="preserve">Historical trajectory prediction: </w:t>
      </w:r>
      <w:r>
        <w:rPr>
          <w:rFonts w:ascii="Times New Roman" w:cs="Times New Roman" w:eastAsia="Times New Roman" w:hAnsi="Times New Roman"/>
          <w:sz w:val="24"/>
          <w:szCs w:val="24"/>
        </w:rPr>
        <w:t xml:space="preserve">Lesions with identical current histological grade but different developmental histories (duration, number of inflammatory cycles, prior episodes of energetic-window expansion) should show different progression rates. Longitudinal molecular profiling of stable dysplasias could test this prediction by measuring the H integral proxy — accumulated ECM remodeling biomarkers, epigenetic clock advancement, inflammatory cycle counter markers.</w:t>
      </w:r>
      <w:r>
        <w:rPr>
          <w:rFonts w:ascii="Times New Roman" w:cs="Times New Roman" w:eastAsia="Times New Roman" w:hAnsi="Times New Roman"/>
          <w:sz w:val="18"/>
          <w:szCs w:val="18"/>
          <w:vertAlign w:val="superscript"/>
        </w:rPr>
        <w:t xml:space="preserve">[36]</w:t>
      </w:r>
    </w:p>
    <w:p>
      <w:pPr>
        <w:pStyle w:val="ListParagraph"/>
        <w:numPr>
          <w:ilvl w:val="0"/>
          <w:numId w:val="2"/>
        </w:numPr>
        <w:spacing w:after="120"/>
      </w:pPr>
      <w:r>
        <w:rPr>
          <w:rFonts w:ascii="Times New Roman" w:cs="Times New Roman" w:eastAsia="Times New Roman" w:hAnsi="Times New Roman"/>
          <w:b/>
          <w:bCs/>
          <w:sz w:val="24"/>
          <w:szCs w:val="24"/>
        </w:rPr>
        <w:t xml:space="preserve">Architectural reversion prediction: </w:t>
      </w:r>
      <w:r>
        <w:rPr>
          <w:rFonts w:ascii="Times New Roman" w:cs="Times New Roman" w:eastAsia="Times New Roman" w:hAnsi="Times New Roman"/>
          <w:sz w:val="24"/>
          <w:szCs w:val="24"/>
        </w:rPr>
        <w:t xml:space="preserve">Restoration of three-dimensional architectural constraints around separated clones — through biomaterial scaffolding, matrix stiffness normalization, or mechanical compression — should narrow the energetic window, reduce BGR dominance, and suppress progression, without requiring any genetic or pharmacological intervention targeting proliferative signaling. This prediction follows directly from the tissue architecture = energetic-window-narrowing equation and is testable in organoid and in vivo models. </w:t>
      </w:r>
      <w:r>
        <w:rPr>
          <w:rFonts w:ascii="Times New Roman" w:cs="Times New Roman" w:eastAsia="Times New Roman" w:hAnsi="Times New Roman"/>
          <w:sz w:val="18"/>
          <w:szCs w:val="18"/>
          <w:vertAlign w:val="superscript"/>
        </w:rPr>
        <w:t xml:space="preserve">[23,33]</w:t>
      </w:r>
    </w:p>
    <w:p>
      <w:pPr>
        <w:pStyle w:val="ListParagraph"/>
        <w:numPr>
          <w:ilvl w:val="0"/>
          <w:numId w:val="2"/>
        </w:numPr>
        <w:spacing w:after="120"/>
      </w:pPr>
      <w:r>
        <w:rPr>
          <w:rFonts w:ascii="Times New Roman" w:cs="Times New Roman" w:eastAsia="Times New Roman" w:hAnsi="Times New Roman"/>
          <w:b/>
          <w:bCs/>
          <w:sz w:val="24"/>
          <w:szCs w:val="24"/>
        </w:rPr>
        <w:t xml:space="preserve">Naked mole rat metabolic prediction: </w:t>
      </w:r>
      <w:r>
        <w:rPr>
          <w:rFonts w:ascii="Times New Roman" w:cs="Times New Roman" w:eastAsia="Times New Roman" w:hAnsi="Times New Roman"/>
          <w:sz w:val="24"/>
          <w:szCs w:val="24"/>
        </w:rPr>
        <w:t xml:space="preserve">The cancer resistance of naked mole rats should be attributable in part to their constitutively high tissue density (hyaluronan-mediated contact inhibition </w:t>
      </w:r>
      <w:r>
        <w:rPr>
          <w:rFonts w:ascii="Times New Roman" w:cs="Times New Roman" w:eastAsia="Times New Roman" w:hAnsi="Times New Roman"/>
          <w:sz w:val="18"/>
          <w:szCs w:val="18"/>
          <w:vertAlign w:val="superscript"/>
        </w:rPr>
        <w:t xml:space="preserve">[27]</w:t>
      </w:r>
      <w:r>
        <w:rPr>
          <w:rFonts w:ascii="Times New Roman" w:cs="Times New Roman" w:eastAsia="Times New Roman" w:hAnsi="Times New Roman"/>
          <w:sz w:val="24"/>
          <w:szCs w:val="24"/>
        </w:rPr>
        <w:t xml:space="preserve">) maintaining structurally narrow energetic windows, independently of their enhanced p53 activity. Specifically, naked mole rat tissues should show lower baseline MMP activity, lower BGR cycling frequency, and narrower energetic windows than mice of equivalent body mass. </w:t>
      </w:r>
      <w:r>
        <w:rPr>
          <w:rFonts w:ascii="Times New Roman" w:cs="Times New Roman" w:eastAsia="Times New Roman" w:hAnsi="Times New Roman"/>
          <w:sz w:val="18"/>
          <w:szCs w:val="18"/>
          <w:vertAlign w:val="superscript"/>
        </w:rPr>
        <w:t xml:space="preserve">[27,28]</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8. Discussion: What This Framework Adds and What It Does Not Claim</w:t>
      </w:r>
    </w:p>
    <w:p>
      <w:pPr>
        <w:pStyle w:val="Heading2"/>
        <w:spacing w:after="100" w:before="240"/>
      </w:pPr>
      <w:r>
        <w:rPr>
          <w:rFonts w:ascii="Arial" w:cs="Arial" w:eastAsia="Arial" w:hAnsi="Arial"/>
          <w:b/>
          <w:bCs/>
          <w:color w:val="2E75B6"/>
          <w:sz w:val="24"/>
          <w:szCs w:val="24"/>
        </w:rPr>
        <w:t xml:space="preserve">8.1 Complementarity, Not Replacement</w:t>
      </w:r>
    </w:p>
    <w:p>
      <w:pPr>
        <w:spacing w:after="180" w:line="276" w:lineRule="auto"/>
        <w:jc w:val="both"/>
      </w:pPr>
      <w:r>
        <w:rPr>
          <w:rFonts w:ascii="Times New Roman" w:cs="Times New Roman" w:eastAsia="Times New Roman" w:hAnsi="Times New Roman"/>
          <w:sz w:val="24"/>
          <w:szCs w:val="24"/>
        </w:rPr>
        <w:t xml:space="preserve">The energetic-window framework does not claim that somatic mutations are irrelevant to cancer. They are clearly important — driver mutations in specific oncogenes and tumor suppressors are reproducibly found in the vast majority of human cancers, and targeted therapies against these mutations produce clinical responses. The claim is more specific: </w:t>
      </w:r>
      <w:r>
        <w:rPr>
          <w:rFonts w:ascii="Times New Roman" w:cs="Times New Roman" w:eastAsia="Times New Roman" w:hAnsi="Times New Roman"/>
          <w:b/>
          <w:bCs/>
          <w:sz w:val="24"/>
          <w:szCs w:val="24"/>
        </w:rPr>
        <w:t xml:space="preserve">mutations are necessary but not sufficient, and their oncogenic effect is mediated through their impact on the energetic-window and tissue architectural dynamics described in this framework</w:t>
      </w:r>
      <w:r>
        <w:rPr>
          <w:rFonts w:ascii="Times New Roman" w:cs="Times New Roman" w:eastAsia="Times New Roman" w:hAnsi="Times New Roman"/>
          <w:sz w:val="24"/>
          <w:szCs w:val="24"/>
        </w:rPr>
        <w:t xml:space="preserve">. A mutation that stabilizes HIF-1α expression, for example, is oncogenic precisely because it maintains BGR dominance and prevents energetic-window re-narrowing — not because it directly drives proliferation.</w:t>
      </w:r>
    </w:p>
    <w:p>
      <w:pPr>
        <w:spacing w:after="180" w:line="276" w:lineRule="auto"/>
        <w:jc w:val="both"/>
      </w:pPr>
      <w:r>
        <w:rPr>
          <w:rFonts w:ascii="Times New Roman" w:cs="Times New Roman" w:eastAsia="Times New Roman" w:hAnsi="Times New Roman"/>
          <w:sz w:val="24"/>
          <w:szCs w:val="24"/>
        </w:rPr>
        <w:t xml:space="preserve">Similarly, the framework does not claim that all cancers are equivalent to regenerative processes. In advanced malignancy, the clone has undergone sufficient genomic diversification through the Nowell clonal evolution process </w:t>
      </w:r>
      <w:r>
        <w:rPr>
          <w:rFonts w:ascii="Times New Roman" w:cs="Times New Roman" w:eastAsia="Times New Roman" w:hAnsi="Times New Roman"/>
          <w:sz w:val="18"/>
          <w:szCs w:val="18"/>
          <w:vertAlign w:val="superscript"/>
        </w:rPr>
        <w:t xml:space="preserve">[17]</w:t>
      </w:r>
      <w:r>
        <w:rPr>
          <w:rFonts w:ascii="Times New Roman" w:cs="Times New Roman" w:eastAsia="Times New Roman" w:hAnsi="Times New Roman"/>
          <w:sz w:val="24"/>
          <w:szCs w:val="24"/>
        </w:rPr>
        <w:t xml:space="preserve"> that many of its properties are no longer simply those of a regenerating tissue. The claim is about </w:t>
      </w:r>
      <w:r>
        <w:rPr>
          <w:rFonts w:ascii="Times New Roman" w:cs="Times New Roman" w:eastAsia="Times New Roman" w:hAnsi="Times New Roman"/>
          <w:i/>
          <w:iCs/>
          <w:sz w:val="24"/>
          <w:szCs w:val="24"/>
        </w:rPr>
        <w:t xml:space="preserve">origins</w:t>
      </w:r>
      <w:r>
        <w:rPr>
          <w:rFonts w:ascii="Times New Roman" w:cs="Times New Roman" w:eastAsia="Times New Roman" w:hAnsi="Times New Roman"/>
          <w:sz w:val="24"/>
          <w:szCs w:val="24"/>
        </w:rPr>
        <w:t xml:space="preserve">: the initial transition from normal tissue to separated clone is an energetic-window event mediated by the same machinery as regeneration. What happens subsequently may increasingly diverge from simple regenerative biology.</w:t>
      </w:r>
    </w:p>
    <w:p>
      <w:pPr>
        <w:pStyle w:val="Heading2"/>
        <w:spacing w:after="100" w:before="240"/>
      </w:pPr>
      <w:r>
        <w:rPr>
          <w:rFonts w:ascii="Arial" w:cs="Arial" w:eastAsia="Arial" w:hAnsi="Arial"/>
          <w:b/>
          <w:bCs/>
          <w:color w:val="2E75B6"/>
          <w:sz w:val="24"/>
          <w:szCs w:val="24"/>
        </w:rPr>
        <w:t xml:space="preserve">8.2 The Virchow Line</w:t>
      </w:r>
    </w:p>
    <w:p>
      <w:pPr>
        <w:spacing w:after="180" w:line="276" w:lineRule="auto"/>
        <w:jc w:val="both"/>
      </w:pPr>
      <w:r>
        <w:rPr>
          <w:rFonts w:ascii="Times New Roman" w:cs="Times New Roman" w:eastAsia="Times New Roman" w:hAnsi="Times New Roman"/>
          <w:sz w:val="24"/>
          <w:szCs w:val="24"/>
        </w:rPr>
        <w:t xml:space="preserve">The intellectual lineage of this framework runs directly from Virchow's 1858 cellular pathology </w:t>
      </w:r>
      <w:r>
        <w:rPr>
          <w:rFonts w:ascii="Times New Roman" w:cs="Times New Roman" w:eastAsia="Times New Roman" w:hAnsi="Times New Roman"/>
          <w:sz w:val="18"/>
          <w:szCs w:val="18"/>
          <w:vertAlign w:val="superscript"/>
        </w:rPr>
        <w:t xml:space="preserve">[10]</w:t>
      </w:r>
      <w:r>
        <w:rPr>
          <w:rFonts w:ascii="Times New Roman" w:cs="Times New Roman" w:eastAsia="Times New Roman" w:hAnsi="Times New Roman"/>
          <w:sz w:val="24"/>
          <w:szCs w:val="24"/>
        </w:rPr>
        <w:t xml:space="preserve"> through Dvorak's 1986 "wounds that do not heal" </w:t>
      </w:r>
      <w:r>
        <w:rPr>
          <w:rFonts w:ascii="Times New Roman" w:cs="Times New Roman" w:eastAsia="Times New Roman" w:hAnsi="Times New Roman"/>
          <w:sz w:val="18"/>
          <w:szCs w:val="18"/>
          <w:vertAlign w:val="superscript"/>
        </w:rPr>
        <w:t xml:space="preserve">[9]</w:t>
      </w:r>
      <w:r>
        <w:rPr>
          <w:rFonts w:ascii="Times New Roman" w:cs="Times New Roman" w:eastAsia="Times New Roman" w:hAnsi="Times New Roman"/>
          <w:sz w:val="24"/>
          <w:szCs w:val="24"/>
        </w:rPr>
        <w:t xml:space="preserve"> through Balkwill and Mantovani's inflammation-cancer axis </w:t>
      </w:r>
      <w:r>
        <w:rPr>
          <w:rFonts w:ascii="Times New Roman" w:cs="Times New Roman" w:eastAsia="Times New Roman" w:hAnsi="Times New Roman"/>
          <w:sz w:val="18"/>
          <w:szCs w:val="18"/>
          <w:vertAlign w:val="superscript"/>
        </w:rPr>
        <w:t xml:space="preserve">[11]</w:t>
      </w:r>
      <w:r>
        <w:rPr>
          <w:rFonts w:ascii="Times New Roman" w:cs="Times New Roman" w:eastAsia="Times New Roman" w:hAnsi="Times New Roman"/>
          <w:sz w:val="24"/>
          <w:szCs w:val="24"/>
        </w:rPr>
        <w:t xml:space="preserve"> to the present synthesis. What this paper adds to that lineage is </w:t>
      </w:r>
      <w:r>
        <w:rPr>
          <w:rFonts w:ascii="Times New Roman" w:cs="Times New Roman" w:eastAsia="Times New Roman" w:hAnsi="Times New Roman"/>
          <w:b/>
          <w:bCs/>
          <w:sz w:val="24"/>
          <w:szCs w:val="24"/>
        </w:rPr>
        <w:t xml:space="preserve">mechanistic precision</w:t>
      </w:r>
      <w:r>
        <w:rPr>
          <w:rFonts w:ascii="Times New Roman" w:cs="Times New Roman" w:eastAsia="Times New Roman" w:hAnsi="Times New Roman"/>
          <w:sz w:val="24"/>
          <w:szCs w:val="24"/>
        </w:rPr>
        <w:t xml:space="preserve">: the energetic window, the OFF/BGR balance, the Regeneration Pendulum, the Markov connectivity of ontogenetic state space, and the clone fate attractor framework </w:t>
      </w:r>
      <w:r>
        <w:rPr>
          <w:rFonts w:ascii="Times New Roman" w:cs="Times New Roman" w:eastAsia="Times New Roman" w:hAnsi="Times New Roman"/>
          <w:sz w:val="18"/>
          <w:szCs w:val="18"/>
          <w:vertAlign w:val="superscript"/>
        </w:rPr>
        <w:t xml:space="preserve">[32,33,34,35,36]</w:t>
      </w:r>
      <w:r>
        <w:rPr>
          <w:rFonts w:ascii="Times New Roman" w:cs="Times New Roman" w:eastAsia="Times New Roman" w:hAnsi="Times New Roman"/>
          <w:sz w:val="24"/>
          <w:szCs w:val="24"/>
        </w:rPr>
        <w:t xml:space="preserve"> provide a formal language in which Virchow's and Dvorak's clinical intuitions can be expressed as quantitative predictions and tested empirically.</w:t>
      </w:r>
    </w:p>
    <w:p>
      <w:pPr>
        <w:pStyle w:val="Heading2"/>
        <w:spacing w:after="100" w:before="240"/>
      </w:pPr>
      <w:r>
        <w:rPr>
          <w:rFonts w:ascii="Arial" w:cs="Arial" w:eastAsia="Arial" w:hAnsi="Arial"/>
          <w:b/>
          <w:bCs/>
          <w:color w:val="2E75B6"/>
          <w:sz w:val="24"/>
          <w:szCs w:val="24"/>
        </w:rPr>
        <w:t xml:space="preserve">8.3 Implications for Prevention</w:t>
      </w:r>
    </w:p>
    <w:p>
      <w:pPr>
        <w:spacing w:after="180" w:line="276" w:lineRule="auto"/>
        <w:jc w:val="both"/>
      </w:pPr>
      <w:r>
        <w:rPr>
          <w:rFonts w:ascii="Times New Roman" w:cs="Times New Roman" w:eastAsia="Times New Roman" w:hAnsi="Times New Roman"/>
          <w:sz w:val="24"/>
          <w:szCs w:val="24"/>
        </w:rPr>
        <w:t xml:space="preserve">If cancer is the delayed price of regeneration, the primary prevention target is not mutation prevention but </w:t>
      </w:r>
      <w:r>
        <w:rPr>
          <w:rFonts w:ascii="Times New Roman" w:cs="Times New Roman" w:eastAsia="Times New Roman" w:hAnsi="Times New Roman"/>
          <w:b/>
          <w:bCs/>
          <w:sz w:val="24"/>
          <w:szCs w:val="24"/>
        </w:rPr>
        <w:t xml:space="preserve">energetic-window management</w:t>
      </w:r>
      <w:r>
        <w:rPr>
          <w:rFonts w:ascii="Times New Roman" w:cs="Times New Roman" w:eastAsia="Times New Roman" w:hAnsi="Times New Roman"/>
          <w:sz w:val="24"/>
          <w:szCs w:val="24"/>
        </w:rPr>
        <w:t xml:space="preserve">: reducing the frequency, depth, and duration of energetic-window expansion events in high-risk tissues. This reframes several existing prevention strategies:</w:t>
      </w:r>
    </w:p>
    <w:p>
      <w:pPr>
        <w:pStyle w:val="ListParagraph"/>
        <w:numPr>
          <w:ilvl w:val="0"/>
          <w:numId w:val="3"/>
        </w:numPr>
        <w:spacing w:after="100"/>
      </w:pPr>
      <w:r>
        <w:rPr>
          <w:rFonts w:ascii="Times New Roman" w:cs="Times New Roman" w:eastAsia="Times New Roman" w:hAnsi="Times New Roman"/>
          <w:sz w:val="24"/>
          <w:szCs w:val="24"/>
        </w:rPr>
        <w:t xml:space="preserve">Anti-inflammatory interventions (aspirin, NSAIDs in colorectal cancer prevention) work by reducing Regeneration Pendulum amplitude and frequency in chronically inflamed colonic epithelium — reducing H accumulation, not mutation rate.</w:t>
      </w:r>
    </w:p>
    <w:p>
      <w:pPr>
        <w:pStyle w:val="ListParagraph"/>
        <w:numPr>
          <w:ilvl w:val="0"/>
          <w:numId w:val="3"/>
        </w:numPr>
        <w:spacing w:after="100"/>
      </w:pPr>
      <w:r>
        <w:rPr>
          <w:rFonts w:ascii="Times New Roman" w:cs="Times New Roman" w:eastAsia="Times New Roman" w:hAnsi="Times New Roman"/>
          <w:sz w:val="24"/>
          <w:szCs w:val="24"/>
        </w:rPr>
        <w:t xml:space="preserve">HPV vaccination prevents viral E6/E7-mediated energetic-window stabilization in transformation zone epithelium — a structural intervention, not a mutagenesis-prevention intervention.</w:t>
      </w:r>
    </w:p>
    <w:p>
      <w:pPr>
        <w:pStyle w:val="ListParagraph"/>
        <w:numPr>
          <w:ilvl w:val="0"/>
          <w:numId w:val="3"/>
        </w:numPr>
        <w:spacing w:after="100"/>
      </w:pPr>
      <w:r>
        <w:rPr>
          <w:rFonts w:ascii="Times New Roman" w:cs="Times New Roman" w:eastAsia="Times New Roman" w:hAnsi="Times New Roman"/>
          <w:sz w:val="24"/>
          <w:szCs w:val="24"/>
        </w:rPr>
        <w:t xml:space="preserve">Caloric restriction, which robustly reduces cancer incidence in animal models, reduces metabolic tempo and BGR cycling frequency — narrowing the energetic window — rather than directly preventing mutation accumulation.</w:t>
      </w:r>
    </w:p>
    <w:p>
      <w:pPr>
        <w:pStyle w:val="ListParagraph"/>
        <w:numPr>
          <w:ilvl w:val="0"/>
          <w:numId w:val="3"/>
        </w:numPr>
        <w:spacing w:after="100"/>
      </w:pPr>
      <w:r>
        <w:rPr>
          <w:rFonts w:ascii="Times New Roman" w:cs="Times New Roman" w:eastAsia="Times New Roman" w:hAnsi="Times New Roman"/>
          <w:sz w:val="24"/>
          <w:szCs w:val="24"/>
        </w:rPr>
        <w:t xml:space="preserve">Exercise, which also reduces cancer risk across multiple tumor types, may act through its effects on tissue metabolic flexibility, reducing OFF/BGR cycling amplitude in resting tissue and maintaining structural tissue integrity.</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9. Conclusion</w:t>
      </w:r>
    </w:p>
    <w:p>
      <w:pPr>
        <w:spacing w:after="180" w:line="276" w:lineRule="auto"/>
        <w:jc w:val="both"/>
      </w:pPr>
      <w:r>
        <w:rPr>
          <w:rFonts w:ascii="Times New Roman" w:cs="Times New Roman" w:eastAsia="Times New Roman" w:hAnsi="Times New Roman"/>
          <w:sz w:val="24"/>
          <w:szCs w:val="24"/>
        </w:rPr>
        <w:t xml:space="preserve">Cancer is the delayed price of regeneration. This is not a metaphor. It is a structural consequence of the evolutionary trade-off that produced complex multicellular life: the same biological machinery — tissue plasticity, local dedifferentiation, Basal Glycolytic Regime dominance, MMP-mediated matrix remodeling, immune flexibility — that is indispensable for survival against infection, injury, and barrier breach is the substrate from which tumor autonomization emerges when the architectural constraints that normally terminate its activity are lost.</w:t>
      </w:r>
    </w:p>
    <w:p>
      <w:pPr>
        <w:spacing w:after="180" w:line="276" w:lineRule="auto"/>
        <w:jc w:val="both"/>
      </w:pPr>
      <w:r>
        <w:rPr>
          <w:rFonts w:ascii="Times New Roman" w:cs="Times New Roman" w:eastAsia="Times New Roman" w:hAnsi="Times New Roman"/>
          <w:sz w:val="24"/>
          <w:szCs w:val="24"/>
        </w:rPr>
        <w:t xml:space="preserve">Peto's paradox, correctly interpreted, is the empirical cornerstone of this claim. Large long-lived animals are not cancer-resistant because they suppress mutations better. They are cancer-resistant because their tissue architecture — low surface-to-mass ratio, slow metabolic tempo, infrequent regenerative cycling, low baseline MMP activity — maintains a structurally narrower energetic window. The paradox is evidence against mutation-centered models and evidence for energetic-window models of oncogenesis.</w:t>
      </w:r>
    </w:p>
    <w:p>
      <w:pPr>
        <w:spacing w:after="180" w:line="276" w:lineRule="auto"/>
        <w:jc w:val="both"/>
      </w:pPr>
      <w:r>
        <w:rPr>
          <w:rFonts w:ascii="Times New Roman" w:cs="Times New Roman" w:eastAsia="Times New Roman" w:hAnsi="Times New Roman"/>
          <w:sz w:val="24"/>
          <w:szCs w:val="24"/>
        </w:rPr>
        <w:t xml:space="preserve">Oncogenic viruses, including HPV, provide a second line of evidence: their deep coevolutionary antiquity, their selective targeting of tissue plasticity zones, and their molecular mechanisms of action are all consistent with exploitation of pre-existing regenerative dynamics rather than creation of novel biology. Viral oncogenesis is an accelerated route to the same energetic-window stabilization that characterizes non-viral carcinogenesis.</w:t>
      </w:r>
    </w:p>
    <w:p>
      <w:pPr>
        <w:spacing w:after="180" w:line="276" w:lineRule="auto"/>
        <w:jc w:val="both"/>
      </w:pPr>
      <w:r>
        <w:rPr>
          <w:rFonts w:ascii="Times New Roman" w:cs="Times New Roman" w:eastAsia="Times New Roman" w:hAnsi="Times New Roman"/>
          <w:sz w:val="24"/>
          <w:szCs w:val="24"/>
        </w:rPr>
        <w:t xml:space="preserve">The framework generates testable predictions that distinguish it from mutation-centered alternatives, connects to a formally developed companion theory across five papers, and provides a conceptual basis for understanding the continuum from normal tissue through regeneration, chronic inflammation, dysplasia, and malignancy as a single unified dynamical system.</w:t>
      </w:r>
    </w:p>
    <w:p>
      <w:pPr>
        <w:pBdr>
          <w:top w:val="double" w:color="2E75B6" w:sz="6" w:space="4"/>
          <w:bottom w:val="double" w:color="2E75B6" w:sz="6" w:space="4"/>
          <w:left w:val="double" w:color="2E75B6" w:sz="6" w:space="8"/>
          <w:right w:val="double" w:color="2E75B6" w:sz="6" w:space="8"/>
        </w:pBdr>
        <w:shd w:fill="E8F4FD"/>
        <w:spacing w:after="200" w:before="160"/>
        <w:ind w:left="240" w:right="240"/>
      </w:pPr>
      <w:r>
        <w:rPr>
          <w:rFonts w:ascii="Times New Roman" w:cs="Times New Roman" w:eastAsia="Times New Roman" w:hAnsi="Times New Roman"/>
          <w:b/>
          <w:bCs/>
          <w:sz w:val="24"/>
          <w:szCs w:val="24"/>
        </w:rPr>
        <w:t xml:space="preserve">Final statement: </w:t>
      </w:r>
      <w:r>
        <w:rPr>
          <w:rFonts w:ascii="Times New Roman" w:cs="Times New Roman" w:eastAsia="Times New Roman" w:hAnsi="Times New Roman"/>
          <w:sz w:val="24"/>
          <w:szCs w:val="24"/>
        </w:rPr>
        <w:t xml:space="preserve">Cancer is not an alien process imposed on the multicellular organism. It is an extreme attractor state of the organism's own developmental machinery — the historical stabilization of a regenerative system that has lost its structural context and can no longer return to tissue-compatible states through a chain of locally permissible ontogenetic transitions. Understanding cancer requires understanding regeneration. Understanding regeneration requires understanding the evolutionary trade-offs that made complex multicellular life possible.</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References</w:t>
      </w:r>
    </w:p>
    <w:p>
      <w:pPr>
        <w:spacing w:after="100"/>
        <w:ind w:left="480" w:hanging="48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Peto R. Epidemiology, multistage models, and short-term mutagenicity tests. In: Hiatt HH, Watson JD, Winsten JA, eds. Origins of Human Cancer. Cold Spring Harbor, NY: Cold Spring Harbor Laboratory; 1977:1403-1428.</w:t>
      </w:r>
    </w:p>
    <w:p>
      <w:pPr>
        <w:spacing w:after="100"/>
        <w:ind w:left="480" w:hanging="48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Caulin AF, Maley CC. Peto's paradox: evolution's prescription for cancer prevention. Trends Ecol Evol. 2011;26(4):175-182.</w:t>
      </w:r>
    </w:p>
    <w:p>
      <w:pPr>
        <w:spacing w:after="100"/>
        <w:ind w:left="480" w:hanging="48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Abegglen LM, Caulin AF, Chan A, et al. Potential mechanisms for cancer resistance in elephants and comparative cellular responses to DNA damage in humans. JAMA. 2015;314(17):1850-1860.</w:t>
      </w:r>
    </w:p>
    <w:p>
      <w:pPr>
        <w:spacing w:after="100"/>
        <w:ind w:left="480" w:hanging="48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Tollis M, Boddy AM, Maley CC. Peto's paradox: how has evolution solved the problem of cancer prevention? BMC Biol. 2017;15(1):60.</w:t>
      </w:r>
    </w:p>
    <w:p>
      <w:pPr>
        <w:spacing w:after="100"/>
        <w:ind w:left="480" w:hanging="48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Kleiber M. Body size and metabolism. Hilgardia. 1932;6(11):315-353.</w:t>
      </w:r>
    </w:p>
    <w:p>
      <w:pPr>
        <w:spacing w:after="100"/>
        <w:ind w:left="480" w:hanging="48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West GB, Brown JH, Enquist BJ. A general model for the origin of allometric scaling laws in biology. Science. 1997;276(5309):122-126.</w:t>
      </w:r>
    </w:p>
    <w:p>
      <w:pPr>
        <w:spacing w:after="100"/>
        <w:ind w:left="480" w:hanging="48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Hanahan D, Weinberg RA. Hallmarks of cancer: the next generation. Cell. 2011;144(5):646-674.</w:t>
      </w:r>
    </w:p>
    <w:p>
      <w:pPr>
        <w:spacing w:after="100"/>
        <w:ind w:left="480" w:hanging="48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Hanahan D. Hallmarks of cancer: new dimensions. Cancer Discov. 2022;12(1):31-46.</w:t>
      </w:r>
    </w:p>
    <w:p>
      <w:pPr>
        <w:spacing w:after="100"/>
        <w:ind w:left="480" w:hanging="480"/>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Dvorak HF. Tumors: wounds that do not heal. N Engl J Med. 1986;315(26):1650-1659.</w:t>
      </w:r>
    </w:p>
    <w:p>
      <w:pPr>
        <w:spacing w:after="100"/>
        <w:ind w:left="480" w:hanging="480"/>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Virchow R. Cellular Pathology as Based upon Physiological and Pathological Histology. Berlin: August Hirschwald; 1858.</w:t>
      </w:r>
    </w:p>
    <w:p>
      <w:pPr>
        <w:spacing w:after="100"/>
        <w:ind w:left="480" w:hanging="480"/>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Balkwill F, Mantovani A. Inflammation and cancer: back to Virchow? Lancet. 2001;357(9255):539-545.</w:t>
      </w:r>
    </w:p>
    <w:p>
      <w:pPr>
        <w:spacing w:after="100"/>
        <w:ind w:left="480" w:hanging="480"/>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Vander Heiden MG, Cantley LC, Thompson CB. Understanding the Warburg effect: the metabolic requirements of cell proliferation. Science. 2009;324(5930):1029-1033.</w:t>
      </w:r>
    </w:p>
    <w:p>
      <w:pPr>
        <w:spacing w:after="100"/>
        <w:ind w:left="480" w:hanging="480"/>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van Doorslaer K, McBride AA. Molecular archeological evidence in support of the repeated loss of a papillomavirus gene. Sci Rep. 2016;6:33028.</w:t>
      </w:r>
    </w:p>
    <w:p>
      <w:pPr>
        <w:spacing w:after="100"/>
        <w:ind w:left="480" w:hanging="480"/>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de Villiers EM, Fauquet C, Broker TR, Bernard HU, zur Hausen H. Classification of papillomaviruses. Virology. 2004;324(1):17-27.</w:t>
      </w:r>
    </w:p>
    <w:p>
      <w:pPr>
        <w:spacing w:after="100"/>
        <w:ind w:left="480" w:hanging="480"/>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zur Hausen H. Papillomaviruses and cancer: from basic studies to clinical application. Nat Rev Cancer. 2002;2(5):342-350.</w:t>
      </w:r>
    </w:p>
    <w:p>
      <w:pPr>
        <w:spacing w:after="100"/>
        <w:ind w:left="480" w:hanging="480"/>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de Martel C, Georges D, Bray F, Ferlay J, Clifford GM. Global burden of cancer attributable to infections in 2018: a worldwide incidence analysis. Lancet Glob Health. 2020;8(2):e180-e190.</w:t>
      </w:r>
    </w:p>
    <w:p>
      <w:pPr>
        <w:spacing w:after="100"/>
        <w:ind w:left="480" w:hanging="480"/>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Nowell PC. The clonal evolution of tumor cell populations. Science. 1976;194(4260):23-28.</w:t>
      </w:r>
    </w:p>
    <w:p>
      <w:pPr>
        <w:spacing w:after="100"/>
        <w:ind w:left="480" w:hanging="480"/>
      </w:pPr>
      <w:r>
        <w:rPr>
          <w:rFonts w:ascii="Times New Roman" w:cs="Times New Roman" w:eastAsia="Times New Roman" w:hAnsi="Times New Roman"/>
          <w:b/>
          <w:bCs/>
          <w:sz w:val="20"/>
          <w:szCs w:val="20"/>
        </w:rPr>
        <w:t xml:space="preserve">18.	</w:t>
      </w:r>
      <w:r>
        <w:rPr>
          <w:rFonts w:ascii="Times New Roman" w:cs="Times New Roman" w:eastAsia="Times New Roman" w:hAnsi="Times New Roman"/>
          <w:sz w:val="20"/>
          <w:szCs w:val="20"/>
        </w:rPr>
        <w:t xml:space="preserve">Gurtner GC, Werner S, Barrandon Y, Longaker MT. Wound repair and regeneration. Nature. 2008;453(7193):314-321.</w:t>
      </w:r>
    </w:p>
    <w:p>
      <w:pPr>
        <w:spacing w:after="100"/>
        <w:ind w:left="480" w:hanging="480"/>
      </w:pPr>
      <w:r>
        <w:rPr>
          <w:rFonts w:ascii="Times New Roman" w:cs="Times New Roman" w:eastAsia="Times New Roman" w:hAnsi="Times New Roman"/>
          <w:b/>
          <w:bCs/>
          <w:sz w:val="20"/>
          <w:szCs w:val="20"/>
        </w:rPr>
        <w:t xml:space="preserve">19.	</w:t>
      </w:r>
      <w:r>
        <w:rPr>
          <w:rFonts w:ascii="Times New Roman" w:cs="Times New Roman" w:eastAsia="Times New Roman" w:hAnsi="Times New Roman"/>
          <w:sz w:val="20"/>
          <w:szCs w:val="20"/>
        </w:rPr>
        <w:t xml:space="preserve">Jopling C, Boue S, Izpisua Belmonte JC. Dedifferentiation, transdifferentiation and reprogramming: three routes to regeneration. Nat Rev Mol Cell Biol. 2011;12(2):79-89.</w:t>
      </w:r>
    </w:p>
    <w:p>
      <w:pPr>
        <w:spacing w:after="100"/>
        <w:ind w:left="480" w:hanging="480"/>
      </w:pPr>
      <w:r>
        <w:rPr>
          <w:rFonts w:ascii="Times New Roman" w:cs="Times New Roman" w:eastAsia="Times New Roman" w:hAnsi="Times New Roman"/>
          <w:b/>
          <w:bCs/>
          <w:sz w:val="20"/>
          <w:szCs w:val="20"/>
        </w:rPr>
        <w:t xml:space="preserve">20.	</w:t>
      </w:r>
      <w:r>
        <w:rPr>
          <w:rFonts w:ascii="Times New Roman" w:cs="Times New Roman" w:eastAsia="Times New Roman" w:hAnsi="Times New Roman"/>
          <w:sz w:val="20"/>
          <w:szCs w:val="20"/>
        </w:rPr>
        <w:t xml:space="preserve">Takahashi K, Yamanaka S. Induction of pluripotent stem cells from mouse embryonic and adult fibroblast cultures by defined factors. Cell. 2006;126(4):663-676.</w:t>
      </w:r>
    </w:p>
    <w:p>
      <w:pPr>
        <w:spacing w:after="100"/>
        <w:ind w:left="480" w:hanging="480"/>
      </w:pPr>
      <w:r>
        <w:rPr>
          <w:rFonts w:ascii="Times New Roman" w:cs="Times New Roman" w:eastAsia="Times New Roman" w:hAnsi="Times New Roman"/>
          <w:b/>
          <w:bCs/>
          <w:sz w:val="20"/>
          <w:szCs w:val="20"/>
        </w:rPr>
        <w:t xml:space="preserve">21.	</w:t>
      </w:r>
      <w:r>
        <w:rPr>
          <w:rFonts w:ascii="Times New Roman" w:cs="Times New Roman" w:eastAsia="Times New Roman" w:hAnsi="Times New Roman"/>
          <w:sz w:val="20"/>
          <w:szCs w:val="20"/>
        </w:rPr>
        <w:t xml:space="preserve">Folmes CD, Nelson TJ, Martinez-Fernandez A, et al. Somatic oxidative bioenergetics transitions into pluripotency-dependent glycolysis. Cell Metab. 2011;14(2):264-271.</w:t>
      </w:r>
    </w:p>
    <w:p>
      <w:pPr>
        <w:spacing w:after="100"/>
        <w:ind w:left="480" w:hanging="480"/>
      </w:pPr>
      <w:r>
        <w:rPr>
          <w:rFonts w:ascii="Times New Roman" w:cs="Times New Roman" w:eastAsia="Times New Roman" w:hAnsi="Times New Roman"/>
          <w:b/>
          <w:bCs/>
          <w:sz w:val="20"/>
          <w:szCs w:val="20"/>
        </w:rPr>
        <w:t xml:space="preserve">22.	</w:t>
      </w:r>
      <w:r>
        <w:rPr>
          <w:rFonts w:ascii="Times New Roman" w:cs="Times New Roman" w:eastAsia="Times New Roman" w:hAnsi="Times New Roman"/>
          <w:sz w:val="20"/>
          <w:szCs w:val="20"/>
        </w:rPr>
        <w:t xml:space="preserve">Soto AM, Sonnenschein C. The tissue organization field theory of cancer. Nat Rev Cancer. 2011;11(5):371-379.</w:t>
      </w:r>
    </w:p>
    <w:p>
      <w:pPr>
        <w:spacing w:after="100"/>
        <w:ind w:left="480" w:hanging="480"/>
      </w:pPr>
      <w:r>
        <w:rPr>
          <w:rFonts w:ascii="Times New Roman" w:cs="Times New Roman" w:eastAsia="Times New Roman" w:hAnsi="Times New Roman"/>
          <w:b/>
          <w:bCs/>
          <w:sz w:val="20"/>
          <w:szCs w:val="20"/>
        </w:rPr>
        <w:t xml:space="preserve">23.	</w:t>
      </w:r>
      <w:r>
        <w:rPr>
          <w:rFonts w:ascii="Times New Roman" w:cs="Times New Roman" w:eastAsia="Times New Roman" w:hAnsi="Times New Roman"/>
          <w:sz w:val="20"/>
          <w:szCs w:val="20"/>
        </w:rPr>
        <w:t xml:space="preserve">Bissell MJ, Hines WC. Why don't we get more cancer? A proposed role of the microenvironment in restraining cancer progression. Nat Med. 2011;17(3):320-329.</w:t>
      </w:r>
    </w:p>
    <w:p>
      <w:pPr>
        <w:spacing w:after="100"/>
        <w:ind w:left="480" w:hanging="480"/>
      </w:pPr>
      <w:r>
        <w:rPr>
          <w:rFonts w:ascii="Times New Roman" w:cs="Times New Roman" w:eastAsia="Times New Roman" w:hAnsi="Times New Roman"/>
          <w:b/>
          <w:bCs/>
          <w:sz w:val="20"/>
          <w:szCs w:val="20"/>
        </w:rPr>
        <w:t xml:space="preserve">24.	</w:t>
      </w:r>
      <w:r>
        <w:rPr>
          <w:rFonts w:ascii="Times New Roman" w:cs="Times New Roman" w:eastAsia="Times New Roman" w:hAnsi="Times New Roman"/>
          <w:sz w:val="20"/>
          <w:szCs w:val="20"/>
        </w:rPr>
        <w:t xml:space="preserve">Basanta D, Anderson ARA. Exploiting ecological principles to better understand cancer progression and treatment. Interface Focus. 2013;3(4):20130020.</w:t>
      </w:r>
    </w:p>
    <w:p>
      <w:pPr>
        <w:spacing w:after="100"/>
        <w:ind w:left="480" w:hanging="480"/>
      </w:pPr>
      <w:r>
        <w:rPr>
          <w:rFonts w:ascii="Times New Roman" w:cs="Times New Roman" w:eastAsia="Times New Roman" w:hAnsi="Times New Roman"/>
          <w:b/>
          <w:bCs/>
          <w:sz w:val="20"/>
          <w:szCs w:val="20"/>
        </w:rPr>
        <w:t xml:space="preserve">25.	</w:t>
      </w:r>
      <w:r>
        <w:rPr>
          <w:rFonts w:ascii="Times New Roman" w:cs="Times New Roman" w:eastAsia="Times New Roman" w:hAnsi="Times New Roman"/>
          <w:sz w:val="20"/>
          <w:szCs w:val="20"/>
        </w:rPr>
        <w:t xml:space="preserve">Huang S. On the intrinsic inevitability of cancer: from foetal to fatal attraction. Semin Cancer Biol. 2011;21(3):183-199.</w:t>
      </w:r>
    </w:p>
    <w:p>
      <w:pPr>
        <w:spacing w:after="100"/>
        <w:ind w:left="480" w:hanging="480"/>
      </w:pPr>
      <w:r>
        <w:rPr>
          <w:rFonts w:ascii="Times New Roman" w:cs="Times New Roman" w:eastAsia="Times New Roman" w:hAnsi="Times New Roman"/>
          <w:b/>
          <w:bCs/>
          <w:sz w:val="20"/>
          <w:szCs w:val="20"/>
        </w:rPr>
        <w:t xml:space="preserve">26.	</w:t>
      </w:r>
      <w:r>
        <w:rPr>
          <w:rFonts w:ascii="Times New Roman" w:cs="Times New Roman" w:eastAsia="Times New Roman" w:hAnsi="Times New Roman"/>
          <w:sz w:val="20"/>
          <w:szCs w:val="20"/>
        </w:rPr>
        <w:t xml:space="preserve">Nagy JD, Victor EM, Cropper JH. Why don't all whales have cancer? A novel hypothesis resolving Peto's paradox. Integr Comp Biol. 2007;47(2):317-328.</w:t>
      </w:r>
    </w:p>
    <w:p>
      <w:pPr>
        <w:spacing w:after="100"/>
        <w:ind w:left="480" w:hanging="480"/>
      </w:pPr>
      <w:r>
        <w:rPr>
          <w:rFonts w:ascii="Times New Roman" w:cs="Times New Roman" w:eastAsia="Times New Roman" w:hAnsi="Times New Roman"/>
          <w:b/>
          <w:bCs/>
          <w:sz w:val="20"/>
          <w:szCs w:val="20"/>
        </w:rPr>
        <w:t xml:space="preserve">27.	</w:t>
      </w:r>
      <w:r>
        <w:rPr>
          <w:rFonts w:ascii="Times New Roman" w:cs="Times New Roman" w:eastAsia="Times New Roman" w:hAnsi="Times New Roman"/>
          <w:sz w:val="20"/>
          <w:szCs w:val="20"/>
        </w:rPr>
        <w:t xml:space="preserve">Tian X, Azpurua J, Hine C, et al. High-molecular-mass hyaluronan mediates the cancer resistance of the naked mole rat. Nature. 2013;499(7458):346-349.</w:t>
      </w:r>
    </w:p>
    <w:p>
      <w:pPr>
        <w:spacing w:after="100"/>
        <w:ind w:left="480" w:hanging="480"/>
      </w:pPr>
      <w:r>
        <w:rPr>
          <w:rFonts w:ascii="Times New Roman" w:cs="Times New Roman" w:eastAsia="Times New Roman" w:hAnsi="Times New Roman"/>
          <w:b/>
          <w:bCs/>
          <w:sz w:val="20"/>
          <w:szCs w:val="20"/>
        </w:rPr>
        <w:t xml:space="preserve">28.	</w:t>
      </w:r>
      <w:r>
        <w:rPr>
          <w:rFonts w:ascii="Times New Roman" w:cs="Times New Roman" w:eastAsia="Times New Roman" w:hAnsi="Times New Roman"/>
          <w:sz w:val="20"/>
          <w:szCs w:val="20"/>
        </w:rPr>
        <w:t xml:space="preserve">Seluanov A, Gladyshev VN, Vijg J, Gorbunova V. Mechanisms of cancer resistance in long-lived mammals. Nat Rev Cancer. 2018;18(7):433-441.</w:t>
      </w:r>
    </w:p>
    <w:p>
      <w:pPr>
        <w:spacing w:after="100"/>
        <w:ind w:left="480" w:hanging="480"/>
      </w:pPr>
      <w:r>
        <w:rPr>
          <w:rFonts w:ascii="Times New Roman" w:cs="Times New Roman" w:eastAsia="Times New Roman" w:hAnsi="Times New Roman"/>
          <w:b/>
          <w:bCs/>
          <w:sz w:val="20"/>
          <w:szCs w:val="20"/>
        </w:rPr>
        <w:t xml:space="preserve">29.	</w:t>
      </w:r>
      <w:r>
        <w:rPr>
          <w:rFonts w:ascii="Times New Roman" w:cs="Times New Roman" w:eastAsia="Times New Roman" w:hAnsi="Times New Roman"/>
          <w:sz w:val="20"/>
          <w:szCs w:val="20"/>
        </w:rPr>
        <w:t xml:space="preserve">Nabholz M, Bhatt DL. Metabolic rate, body size, and cancer risk across species: an allometric perspective. J Theor Biol. 2014;362:100-108.</w:t>
      </w:r>
    </w:p>
    <w:p>
      <w:pPr>
        <w:spacing w:after="100"/>
        <w:ind w:left="480" w:hanging="480"/>
      </w:pPr>
      <w:r>
        <w:rPr>
          <w:rFonts w:ascii="Times New Roman" w:cs="Times New Roman" w:eastAsia="Times New Roman" w:hAnsi="Times New Roman"/>
          <w:b/>
          <w:bCs/>
          <w:sz w:val="20"/>
          <w:szCs w:val="20"/>
        </w:rPr>
        <w:t xml:space="preserve">30.	</w:t>
      </w:r>
      <w:r>
        <w:rPr>
          <w:rFonts w:ascii="Times New Roman" w:cs="Times New Roman" w:eastAsia="Times New Roman" w:hAnsi="Times New Roman"/>
          <w:sz w:val="20"/>
          <w:szCs w:val="20"/>
        </w:rPr>
        <w:t xml:space="preserve">Nagase H, Visse R, Murphy G. Structure and function of matrix metalloproteinases and tissue inhibitors of metalloproteinases. Cardiovasc Res. 2006;69(3):562-573.</w:t>
      </w:r>
    </w:p>
    <w:p>
      <w:pPr>
        <w:spacing w:after="100"/>
        <w:ind w:left="480" w:hanging="480"/>
      </w:pPr>
      <w:r>
        <w:rPr>
          <w:rFonts w:ascii="Times New Roman" w:cs="Times New Roman" w:eastAsia="Times New Roman" w:hAnsi="Times New Roman"/>
          <w:b/>
          <w:bCs/>
          <w:sz w:val="20"/>
          <w:szCs w:val="20"/>
        </w:rPr>
        <w:t xml:space="preserve">31.	</w:t>
      </w:r>
      <w:r>
        <w:rPr>
          <w:rFonts w:ascii="Times New Roman" w:cs="Times New Roman" w:eastAsia="Times New Roman" w:hAnsi="Times New Roman"/>
          <w:sz w:val="20"/>
          <w:szCs w:val="20"/>
        </w:rPr>
        <w:t xml:space="preserve">Wynn TA. Cellular and molecular mechanisms of fibrosis. J Pathol. 2008;214(2):199-210.</w:t>
      </w:r>
    </w:p>
    <w:p>
      <w:pPr>
        <w:spacing w:after="100"/>
        <w:ind w:left="480" w:hanging="480"/>
      </w:pPr>
      <w:r>
        <w:rPr>
          <w:rFonts w:ascii="Times New Roman" w:cs="Times New Roman" w:eastAsia="Times New Roman" w:hAnsi="Times New Roman"/>
          <w:b/>
          <w:bCs/>
          <w:sz w:val="20"/>
          <w:szCs w:val="20"/>
        </w:rPr>
        <w:t xml:space="preserve">32.	</w:t>
      </w:r>
      <w:r>
        <w:rPr>
          <w:rFonts w:ascii="Times New Roman" w:cs="Times New Roman" w:eastAsia="Times New Roman" w:hAnsi="Times New Roman"/>
          <w:sz w:val="20"/>
          <w:szCs w:val="20"/>
        </w:rPr>
        <w:t xml:space="preserve">Dmitrochenko Y. Embryonic-Associated Programs Outside Pregnancy and Cancer: Energetic Window Expansion, Regeneration Pendulum, and Temporal Tissue Loops. [Series Paper 1]; 2024.</w:t>
      </w:r>
    </w:p>
    <w:p>
      <w:pPr>
        <w:spacing w:after="100"/>
        <w:ind w:left="480" w:hanging="480"/>
      </w:pPr>
      <w:r>
        <w:rPr>
          <w:rFonts w:ascii="Times New Roman" w:cs="Times New Roman" w:eastAsia="Times New Roman" w:hAnsi="Times New Roman"/>
          <w:b/>
          <w:bCs/>
          <w:sz w:val="20"/>
          <w:szCs w:val="20"/>
        </w:rPr>
        <w:t xml:space="preserve">33.	</w:t>
      </w:r>
      <w:r>
        <w:rPr>
          <w:rFonts w:ascii="Times New Roman" w:cs="Times New Roman" w:eastAsia="Times New Roman" w:hAnsi="Times New Roman"/>
          <w:sz w:val="20"/>
          <w:szCs w:val="20"/>
        </w:rPr>
        <w:t xml:space="preserve">Dmitrochenko Y. Dual-Flux Energetics and Stochastic Ontogenetic Dynamics. [Series Paper 2]; 2024.</w:t>
      </w:r>
    </w:p>
    <w:p>
      <w:pPr>
        <w:spacing w:after="100"/>
        <w:ind w:left="480" w:hanging="480"/>
      </w:pPr>
      <w:r>
        <w:rPr>
          <w:rFonts w:ascii="Times New Roman" w:cs="Times New Roman" w:eastAsia="Times New Roman" w:hAnsi="Times New Roman"/>
          <w:b/>
          <w:bCs/>
          <w:sz w:val="20"/>
          <w:szCs w:val="20"/>
        </w:rPr>
        <w:t xml:space="preserve">34.	</w:t>
      </w:r>
      <w:r>
        <w:rPr>
          <w:rFonts w:ascii="Times New Roman" w:cs="Times New Roman" w:eastAsia="Times New Roman" w:hAnsi="Times New Roman"/>
          <w:sz w:val="20"/>
          <w:szCs w:val="20"/>
        </w:rPr>
        <w:t xml:space="preserve">Dmitrochenko Y. Loss of Tissue Integration and the Transition from 3D to 2D Organization in Malignancy. [Series Paper 3]; 2024.</w:t>
      </w:r>
    </w:p>
    <w:p>
      <w:pPr>
        <w:spacing w:after="100"/>
        <w:ind w:left="480" w:hanging="480"/>
      </w:pPr>
      <w:r>
        <w:rPr>
          <w:rFonts w:ascii="Times New Roman" w:cs="Times New Roman" w:eastAsia="Times New Roman" w:hAnsi="Times New Roman"/>
          <w:b/>
          <w:bCs/>
          <w:sz w:val="20"/>
          <w:szCs w:val="20"/>
        </w:rPr>
        <w:t xml:space="preserve">35.	</w:t>
      </w:r>
      <w:r>
        <w:rPr>
          <w:rFonts w:ascii="Times New Roman" w:cs="Times New Roman" w:eastAsia="Times New Roman" w:hAnsi="Times New Roman"/>
          <w:sz w:val="20"/>
          <w:szCs w:val="20"/>
        </w:rPr>
        <w:t xml:space="preserve">Dmitrochenko Y. Loss of Intermediate Ontogenetic States and Disruption of Local Markov Connectivity. [Series Paper 4]; 2024.</w:t>
      </w:r>
    </w:p>
    <w:p>
      <w:pPr>
        <w:spacing w:after="100"/>
        <w:ind w:left="480" w:hanging="480"/>
      </w:pPr>
      <w:r>
        <w:rPr>
          <w:rFonts w:ascii="Times New Roman" w:cs="Times New Roman" w:eastAsia="Times New Roman" w:hAnsi="Times New Roman"/>
          <w:b/>
          <w:bCs/>
          <w:sz w:val="20"/>
          <w:szCs w:val="20"/>
        </w:rPr>
        <w:t xml:space="preserve">36.	</w:t>
      </w:r>
      <w:r>
        <w:rPr>
          <w:rFonts w:ascii="Times New Roman" w:cs="Times New Roman" w:eastAsia="Times New Roman" w:hAnsi="Times New Roman"/>
          <w:sz w:val="20"/>
          <w:szCs w:val="20"/>
        </w:rPr>
        <w:t xml:space="preserve">Dmitrochenko Y. The Separated Clone: Developmental Fate, Attractor Dynamics, and Gradual Autonomization. [Series Paper 5]; 2024.</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2"/>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2"/>
      </w:pBdr>
      <w:spacing w:after="120"/>
    </w:pPr>
    <w:r>
      <w:rPr>
        <w:rFonts w:ascii="Arial" w:cs="Arial" w:eastAsia="Arial" w:hAnsi="Arial"/>
        <w:i/>
        <w:iCs/>
        <w:color w:val="555555"/>
        <w:sz w:val="18"/>
        <w:szCs w:val="18"/>
      </w:rPr>
      <w:t xml:space="preserve">Cancer as the Delayed Price of Regeneration — Yuri Dmitrochenko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2"/>
      </w:pBd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2026-05-13T21:03:38.636Z</dcterms:created>
  <dcterms:modified xsi:type="dcterms:W3CDTF">2026-05-13T21:03:38.651Z</dcterms:modified>
</cp:coreProperties>
</file>

<file path=docProps/custom.xml><?xml version="1.0" encoding="utf-8"?>
<Properties xmlns="http://schemas.openxmlformats.org/officeDocument/2006/custom-properties" xmlns:vt="http://schemas.openxmlformats.org/officeDocument/2006/docPropsVTypes"/>
</file>