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8"/>
          <w:szCs w:val="38"/>
        </w:rPr>
        <w:t xml:space="preserve">Preeclampsia, HELLP Syndrome, and Eclampsia</w:t>
      </w:r>
    </w:p>
    <w:p>
      <w:pPr>
        <w:spacing w:after="80"/>
        <w:jc w:val="center"/>
      </w:pPr>
      <w:r>
        <w:rPr>
          <w:rFonts w:ascii="Arial" w:cs="Arial" w:eastAsia="Arial" w:hAnsi="Arial"/>
          <w:b/>
          <w:bCs/>
          <w:color w:val="2E75B6"/>
          <w:sz w:val="30"/>
          <w:szCs w:val="30"/>
        </w:rPr>
        <w:t xml:space="preserve">as a Unified Cascade of Basal Glycolytic Regime Collapse</w:t>
      </w:r>
    </w:p>
    <w:p>
      <w:pPr>
        <w:spacing w:after="80"/>
        <w:jc w:val="center"/>
      </w:pPr>
      <w:r>
        <w:rPr>
          <w:rFonts w:ascii="Arial" w:cs="Arial" w:eastAsia="Arial" w:hAnsi="Arial"/>
          <w:b/>
          <w:bCs/>
          <w:color w:val="2E75B6"/>
          <w:sz w:val="30"/>
          <w:szCs w:val="30"/>
        </w:rPr>
        <w:t xml:space="preserve">in Metabolically Vulnerable Maternal Cell Populations:</w:t>
      </w:r>
    </w:p>
    <w:p>
      <w:pPr>
        <w:spacing w:after="200"/>
        <w:jc w:val="center"/>
      </w:pPr>
      <w:r>
        <w:rPr>
          <w:rFonts w:ascii="Arial" w:cs="Arial" w:eastAsia="Arial" w:hAnsi="Arial"/>
          <w:b/>
          <w:bCs/>
          <w:color w:val="1F3864"/>
          <w:sz w:val="26"/>
          <w:szCs w:val="26"/>
        </w:rPr>
        <w:t xml:space="preserve">Two Phenotypes, One Mechanism</w:t>
      </w:r>
    </w:p>
    <w:p>
      <w:pPr>
        <w:spacing w:after="80"/>
        <w:jc w:val="center"/>
      </w:pPr>
      <w:r>
        <w:rPr>
          <w:rFonts w:ascii="Arial" w:cs="Arial" w:eastAsia="Arial" w:hAnsi="Arial"/>
          <w:b/>
          <w:bCs/>
          <w:sz w:val="24"/>
          <w:szCs w:val="24"/>
        </w:rPr>
        <w:t xml:space="preserve">Yuri Dmitrochenko</w:t>
      </w:r>
    </w:p>
    <w:p>
      <w:pPr>
        <w:spacing w:after="320"/>
        <w:jc w:val="center"/>
      </w:pPr>
      <w:r>
        <w:rPr>
          <w:rFonts w:ascii="Arial" w:cs="Arial" w:eastAsia="Arial" w:hAnsi="Arial"/>
          <w:i/>
          <w:iCs/>
          <w:color w:val="555555"/>
          <w:sz w:val="22"/>
          <w:szCs w:val="22"/>
        </w:rPr>
        <w:t xml:space="preserve">A Conceptual Hypothesis Paper</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Abstract</w:t>
      </w:r>
    </w:p>
    <w:p>
      <w:pPr>
        <w:spacing w:after="180" w:line="276" w:lineRule="auto"/>
        <w:jc w:val="both"/>
      </w:pPr>
      <w:r>
        <w:rPr>
          <w:rFonts w:ascii="Times New Roman" w:cs="Times New Roman" w:eastAsia="Times New Roman" w:hAnsi="Times New Roman"/>
          <w:sz w:val="24"/>
          <w:szCs w:val="24"/>
        </w:rPr>
        <w:t xml:space="preserve">Preeclampsia, HELLP syndrome, and eclampsia are currently understood as a spectrum of hypertensive disorders of pregnancy arising from placental dysfunction, angiogenic imbalance, and systemic inflammation. While this model captures important features, it fails to provide a unified account of the full clinical picture: why HELLP components co-occur, why proteinuria involves albumin degradation products, why eclamptic seizures present at normal blood glucose, and — critically — why pure preeclampsia predominantly affects young primigravidae and rarely recurs in subsequent pregnancies.</w:t>
      </w:r>
    </w:p>
    <w:p>
      <w:pPr>
        <w:spacing w:after="180" w:line="276" w:lineRule="auto"/>
        <w:jc w:val="both"/>
      </w:pPr>
      <w:r>
        <w:rPr>
          <w:rFonts w:ascii="Times New Roman" w:cs="Times New Roman" w:eastAsia="Times New Roman" w:hAnsi="Times New Roman"/>
          <w:sz w:val="24"/>
          <w:szCs w:val="24"/>
        </w:rPr>
        <w:t xml:space="preserve">This paper proposes a unified metabolic hypothesis centred on </w:t>
      </w:r>
      <w:r>
        <w:rPr>
          <w:rFonts w:ascii="Times New Roman" w:cs="Times New Roman" w:eastAsia="Times New Roman" w:hAnsi="Times New Roman"/>
          <w:b/>
          <w:bCs/>
          <w:sz w:val="24"/>
          <w:szCs w:val="24"/>
        </w:rPr>
        <w:t xml:space="preserve">Basal Glycolytic Regime (BGR) collapse</w:t>
      </w:r>
      <w:r>
        <w:rPr>
          <w:rFonts w:ascii="Times New Roman" w:cs="Times New Roman" w:eastAsia="Times New Roman" w:hAnsi="Times New Roman"/>
          <w:sz w:val="24"/>
          <w:szCs w:val="24"/>
        </w:rPr>
        <w:t xml:space="preserve"> in constitutively glycolysis-dependent maternal cell populations, driven by human placental lactogen (hPL)-mediated glucose competition. Two clinically distinct phenotypes are identified, sharing the same final common pathway but differing in the primary point of entry:</w:t>
      </w:r>
    </w:p>
    <w:p>
      <w:pPr>
        <w:spacing w:after="180" w:line="276" w:lineRule="auto"/>
        <w:jc w:val="both"/>
      </w:pPr>
      <w:r>
        <w:rPr>
          <w:rFonts w:ascii="Times New Roman" w:cs="Times New Roman" w:eastAsia="Times New Roman" w:hAnsi="Times New Roman"/>
          <w:b/>
          <w:bCs/>
          <w:sz w:val="24"/>
          <w:szCs w:val="24"/>
        </w:rPr>
        <w:t xml:space="preserve">Type I — Pure preeclampsia of young primigravidae: </w:t>
      </w:r>
      <w:r>
        <w:rPr>
          <w:rFonts w:ascii="Times New Roman" w:cs="Times New Roman" w:eastAsia="Times New Roman" w:hAnsi="Times New Roman"/>
          <w:sz w:val="24"/>
          <w:szCs w:val="24"/>
        </w:rPr>
        <w:t xml:space="preserve">reflects constitutional ontogenetic immaturity of the maternal organism. Young women carry a higher proportion of incompletely differentiated, BGR-dominant cell populations (S₋₁ states in the ontogenetic framework) — a normal feature of biological youth. Elevated fetal haemoglobin (HbF) in maternal circulation is proposed as a marker not only of placental stress but of this constitutional cellular immaturity. Rising hPL selectively depletes these BGR-dependent populations, initiating the cascade. This phenotype rarely recurs because subsequent pregnancies occur in a biologically more mature organism with a lower proportion of S₋₁ cells.</w:t>
      </w:r>
    </w:p>
    <w:p>
      <w:pPr>
        <w:spacing w:after="180" w:line="276" w:lineRule="auto"/>
        <w:jc w:val="both"/>
      </w:pPr>
      <w:r>
        <w:rPr>
          <w:rFonts w:ascii="Times New Roman" w:cs="Times New Roman" w:eastAsia="Times New Roman" w:hAnsi="Times New Roman"/>
          <w:b/>
          <w:bCs/>
          <w:sz w:val="24"/>
          <w:szCs w:val="24"/>
        </w:rPr>
        <w:t xml:space="preserve">Type II — Preeclampsia on pre-existing pathology: </w:t>
      </w:r>
      <w:r>
        <w:rPr>
          <w:rFonts w:ascii="Times New Roman" w:cs="Times New Roman" w:eastAsia="Times New Roman" w:hAnsi="Times New Roman"/>
          <w:sz w:val="24"/>
          <w:szCs w:val="24"/>
        </w:rPr>
        <w:t xml:space="preserve">reflects a BGR system already compromised before conception by diabetes, chronic hypertension, autoimmune disease, obesity, or chronic kidney disease. The BGR-collapse threshold is lower, the cascade initiates earlier in gestation, and clinical course is more severe. This phenotype carries higher recurrence risk because the underlying BGR compromise persists between pregnancies.</w:t>
      </w:r>
    </w:p>
    <w:p>
      <w:pPr>
        <w:spacing w:after="180" w:line="276" w:lineRule="auto"/>
        <w:jc w:val="both"/>
      </w:pPr>
      <w:r>
        <w:rPr>
          <w:rFonts w:ascii="Times New Roman" w:cs="Times New Roman" w:eastAsia="Times New Roman" w:hAnsi="Times New Roman"/>
          <w:sz w:val="24"/>
          <w:szCs w:val="24"/>
        </w:rPr>
        <w:t xml:space="preserve">Four clinical observations directly support the BGR-collapse framework: (1) pure preeclampsia predominantly affects young primigravidae; (2) physical rest ameliorates the condition by reducing metabolic competition for glucose; (3) delivery of the placenta rapidly resolves the syndrome by removing the hPL source; and (4) pure preeclampsia rarely recurs due to ontogenetic maturation between pregnancies. All four observations are predicted by the model and are not explained by existing angiogenic or inflammatory frameworks.</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preeclampsia; HELLP; eclampsia; Basal Glycolytic Regime; BGR collapse; human placental lactogen; fetal haemoglobin; ontogenetic immaturity; S₋₁ cell populations; two phenotypes; physical rest; delivery; recurrence; magnesium sulphate</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1. Introduction</w:t>
      </w:r>
    </w:p>
    <w:p>
      <w:pPr>
        <w:spacing w:after="180" w:line="276" w:lineRule="auto"/>
        <w:jc w:val="both"/>
      </w:pPr>
      <w:r>
        <w:rPr>
          <w:rFonts w:ascii="Times New Roman" w:cs="Times New Roman" w:eastAsia="Times New Roman" w:hAnsi="Times New Roman"/>
          <w:sz w:val="24"/>
          <w:szCs w:val="24"/>
        </w:rPr>
        <w:t xml:space="preserve">Preeclampsia affects 2–8% of pregnancies worldwide and remains a leading cause of maternal and perinatal mortality. </w:t>
      </w:r>
      <w:r>
        <w:rPr>
          <w:rFonts w:ascii="Times New Roman" w:cs="Times New Roman" w:eastAsia="Times New Roman" w:hAnsi="Times New Roman"/>
          <w:sz w:val="18"/>
          <w:szCs w:val="18"/>
          <w:vertAlign w:val="superscript"/>
        </w:rPr>
        <w:t xml:space="preserve">[2]</w:t>
      </w:r>
      <w:r>
        <w:rPr>
          <w:rFonts w:ascii="Times New Roman" w:cs="Times New Roman" w:eastAsia="Times New Roman" w:hAnsi="Times New Roman"/>
          <w:sz w:val="24"/>
          <w:szCs w:val="24"/>
        </w:rPr>
        <w:t xml:space="preserve"> Its clinical spectrum — from gestational hypertension with proteinuria to HELLP syndrome and eclamptic seizures — has been intensively studied for decades, yet a unified mechanistic account remains elusive.</w:t>
      </w:r>
    </w:p>
    <w:p>
      <w:pPr>
        <w:spacing w:after="180" w:line="276" w:lineRule="auto"/>
        <w:jc w:val="both"/>
      </w:pPr>
      <w:r>
        <w:rPr>
          <w:rFonts w:ascii="Times New Roman" w:cs="Times New Roman" w:eastAsia="Times New Roman" w:hAnsi="Times New Roman"/>
          <w:sz w:val="24"/>
          <w:szCs w:val="24"/>
        </w:rPr>
        <w:t xml:space="preserve">The dominant model implicates abnormal placental implantation, release of anti-angiogenic factors (principally sFlt-1), and systemic endothelial activation. </w:t>
      </w:r>
      <w:r>
        <w:rPr>
          <w:rFonts w:ascii="Times New Roman" w:cs="Times New Roman" w:eastAsia="Times New Roman" w:hAnsi="Times New Roman"/>
          <w:sz w:val="18"/>
          <w:szCs w:val="18"/>
          <w:vertAlign w:val="superscript"/>
        </w:rPr>
        <w:t xml:space="preserve">[3,4,15]</w:t>
      </w:r>
      <w:r>
        <w:rPr>
          <w:rFonts w:ascii="Times New Roman" w:cs="Times New Roman" w:eastAsia="Times New Roman" w:hAnsi="Times New Roman"/>
          <w:sz w:val="24"/>
          <w:szCs w:val="24"/>
        </w:rPr>
        <w:t xml:space="preserve"> This model has generated diagnostically useful biomarkers but cannot explain several fundamental clinical observations:</w:t>
      </w:r>
    </w:p>
    <w:p>
      <w:pPr>
        <w:pStyle w:val="ListParagraph"/>
        <w:numPr>
          <w:ilvl w:val="0"/>
          <w:numId w:val="2"/>
        </w:numPr>
        <w:spacing w:after="100"/>
      </w:pPr>
      <w:r>
        <w:rPr>
          <w:rFonts w:ascii="Times New Roman" w:cs="Times New Roman" w:eastAsia="Times New Roman" w:hAnsi="Times New Roman"/>
          <w:b/>
          <w:bCs/>
          <w:sz w:val="24"/>
          <w:szCs w:val="24"/>
        </w:rPr>
        <w:t xml:space="preserve">Epidemiological paradox: </w:t>
      </w:r>
      <w:r>
        <w:rPr>
          <w:rFonts w:ascii="Times New Roman" w:cs="Times New Roman" w:eastAsia="Times New Roman" w:hAnsi="Times New Roman"/>
          <w:sz w:val="24"/>
          <w:szCs w:val="24"/>
        </w:rPr>
        <w:t xml:space="preserve">Pure preeclampsia disproportionately affects young, healthy primigravidae — women with no prior vascular disease and optimal endothelial function. Why is the "healthiest" group most vulnerable?</w:t>
      </w:r>
    </w:p>
    <w:p>
      <w:pPr>
        <w:pStyle w:val="ListParagraph"/>
        <w:numPr>
          <w:ilvl w:val="0"/>
          <w:numId w:val="2"/>
        </w:numPr>
        <w:spacing w:after="100"/>
      </w:pPr>
      <w:r>
        <w:rPr>
          <w:rFonts w:ascii="Times New Roman" w:cs="Times New Roman" w:eastAsia="Times New Roman" w:hAnsi="Times New Roman"/>
          <w:b/>
          <w:bCs/>
          <w:sz w:val="24"/>
          <w:szCs w:val="24"/>
        </w:rPr>
        <w:t xml:space="preserve">Non-recurrence: </w:t>
      </w:r>
      <w:r>
        <w:rPr>
          <w:rFonts w:ascii="Times New Roman" w:cs="Times New Roman" w:eastAsia="Times New Roman" w:hAnsi="Times New Roman"/>
          <w:sz w:val="24"/>
          <w:szCs w:val="24"/>
        </w:rPr>
        <w:t xml:space="preserve">Pure preeclampsia rarely recurs in subsequent pregnancies despite identical placental implantation biology. What changes between pregnancies?</w:t>
      </w:r>
    </w:p>
    <w:p>
      <w:pPr>
        <w:pStyle w:val="ListParagraph"/>
        <w:numPr>
          <w:ilvl w:val="0"/>
          <w:numId w:val="2"/>
        </w:numPr>
        <w:spacing w:after="100"/>
      </w:pPr>
      <w:r>
        <w:rPr>
          <w:rFonts w:ascii="Times New Roman" w:cs="Times New Roman" w:eastAsia="Times New Roman" w:hAnsi="Times New Roman"/>
          <w:b/>
          <w:bCs/>
          <w:sz w:val="24"/>
          <w:szCs w:val="24"/>
        </w:rPr>
        <w:t xml:space="preserve">Rapid resolution: </w:t>
      </w:r>
      <w:r>
        <w:rPr>
          <w:rFonts w:ascii="Times New Roman" w:cs="Times New Roman" w:eastAsia="Times New Roman" w:hAnsi="Times New Roman"/>
          <w:sz w:val="24"/>
          <w:szCs w:val="24"/>
        </w:rPr>
        <w:t xml:space="preserve">Delivery of the placenta produces rapid clinical resolution — not the slow recovery expected if the primary pathology were accumulated endothelial damage.</w:t>
      </w:r>
    </w:p>
    <w:p>
      <w:pPr>
        <w:pStyle w:val="ListParagraph"/>
        <w:numPr>
          <w:ilvl w:val="0"/>
          <w:numId w:val="2"/>
        </w:numPr>
        <w:spacing w:after="100"/>
      </w:pPr>
      <w:r>
        <w:rPr>
          <w:rFonts w:ascii="Times New Roman" w:cs="Times New Roman" w:eastAsia="Times New Roman" w:hAnsi="Times New Roman"/>
          <w:b/>
          <w:bCs/>
          <w:sz w:val="24"/>
          <w:szCs w:val="24"/>
        </w:rPr>
        <w:t xml:space="preserve">Rest effect: </w:t>
      </w:r>
      <w:r>
        <w:rPr>
          <w:rFonts w:ascii="Times New Roman" w:cs="Times New Roman" w:eastAsia="Times New Roman" w:hAnsi="Times New Roman"/>
          <w:sz w:val="24"/>
          <w:szCs w:val="24"/>
        </w:rPr>
        <w:t xml:space="preserve">Physical rest observably ameliorates preeclampsia severity. This cannot be explained by vascular mechanics alone.</w:t>
      </w:r>
    </w:p>
    <w:p>
      <w:pPr>
        <w:pStyle w:val="ListParagraph"/>
        <w:numPr>
          <w:ilvl w:val="0"/>
          <w:numId w:val="2"/>
        </w:numPr>
        <w:spacing w:after="100"/>
      </w:pPr>
      <w:r>
        <w:rPr>
          <w:rFonts w:ascii="Times New Roman" w:cs="Times New Roman" w:eastAsia="Times New Roman" w:hAnsi="Times New Roman"/>
          <w:b/>
          <w:bCs/>
          <w:sz w:val="24"/>
          <w:szCs w:val="24"/>
        </w:rPr>
        <w:t xml:space="preserve">HbF in maternal circulation: </w:t>
      </w:r>
      <w:r>
        <w:rPr>
          <w:rFonts w:ascii="Times New Roman" w:cs="Times New Roman" w:eastAsia="Times New Roman" w:hAnsi="Times New Roman"/>
          <w:sz w:val="24"/>
          <w:szCs w:val="24"/>
        </w:rPr>
        <w:t xml:space="preserve">Elevated fetal haemoglobin in maternal blood in preeclampsia is attributed to placental stress, but its presence in young primigravidae may indicate something deeper about the maternal organism itself.</w:t>
      </w:r>
    </w:p>
    <w:p>
      <w:pPr>
        <w:pStyle w:val="ListParagraph"/>
        <w:numPr>
          <w:ilvl w:val="0"/>
          <w:numId w:val="2"/>
        </w:numPr>
        <w:spacing w:after="100"/>
      </w:pPr>
      <w:r>
        <w:rPr>
          <w:rFonts w:ascii="Times New Roman" w:cs="Times New Roman" w:eastAsia="Times New Roman" w:hAnsi="Times New Roman"/>
          <w:b/>
          <w:bCs/>
          <w:sz w:val="24"/>
          <w:szCs w:val="24"/>
        </w:rPr>
        <w:t xml:space="preserve">HELLP co-occurrence: </w:t>
      </w:r>
      <w:r>
        <w:rPr>
          <w:rFonts w:ascii="Times New Roman" w:cs="Times New Roman" w:eastAsia="Times New Roman" w:hAnsi="Times New Roman"/>
          <w:sz w:val="24"/>
          <w:szCs w:val="24"/>
        </w:rPr>
        <w:t xml:space="preserve">Why do haemolysis, hepatic injury, and thrombocytopenia consistently occur together?</w:t>
      </w:r>
    </w:p>
    <w:p>
      <w:pPr>
        <w:pStyle w:val="ListParagraph"/>
        <w:numPr>
          <w:ilvl w:val="0"/>
          <w:numId w:val="2"/>
        </w:numPr>
        <w:spacing w:after="100"/>
      </w:pPr>
      <w:r>
        <w:rPr>
          <w:rFonts w:ascii="Times New Roman" w:cs="Times New Roman" w:eastAsia="Times New Roman" w:hAnsi="Times New Roman"/>
          <w:b/>
          <w:bCs/>
          <w:sz w:val="24"/>
          <w:szCs w:val="24"/>
        </w:rPr>
        <w:t xml:space="preserve">Eclampsia at normal glycaemia: </w:t>
      </w:r>
      <w:r>
        <w:rPr>
          <w:rFonts w:ascii="Times New Roman" w:cs="Times New Roman" w:eastAsia="Times New Roman" w:hAnsi="Times New Roman"/>
          <w:sz w:val="24"/>
          <w:szCs w:val="24"/>
        </w:rPr>
        <w:t xml:space="preserve">Eclamptic seizures resemble hypoglycaemic seizures yet occur at normal blood glucose concentrations.</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This paper proposes a unified metabolic hypothesis — BGR collapse in glycolysis-dependent maternal cell populations — that addresses all seven observations through a single mechanistic framework, and identifies two clinically distinct phenotypes sharing the same final common pathway.</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2. Theoretical Framework</w:t>
      </w:r>
    </w:p>
    <w:p>
      <w:pPr>
        <w:pStyle w:val="Heading2"/>
        <w:spacing w:after="100" w:before="240"/>
      </w:pPr>
      <w:r>
        <w:rPr>
          <w:rFonts w:ascii="Arial" w:cs="Arial" w:eastAsia="Arial" w:hAnsi="Arial"/>
          <w:b/>
          <w:bCs/>
          <w:color w:val="2E75B6"/>
          <w:sz w:val="24"/>
          <w:szCs w:val="24"/>
        </w:rPr>
        <w:t xml:space="preserve">2.1 The Dual-Flux Metabolic Architecture and BGR-Dependent Cell Populations</w:t>
      </w:r>
    </w:p>
    <w:p>
      <w:pPr>
        <w:spacing w:after="180" w:line="276" w:lineRule="auto"/>
        <w:jc w:val="both"/>
      </w:pPr>
      <w:r>
        <w:rPr>
          <w:rFonts w:ascii="Times New Roman" w:cs="Times New Roman" w:eastAsia="Times New Roman" w:hAnsi="Times New Roman"/>
          <w:sz w:val="24"/>
          <w:szCs w:val="24"/>
        </w:rPr>
        <w:t xml:space="preserve">The hypothesis is grounded in a dual-flux energetic framework in which adult tissues operate through two metabolic regimes. </w:t>
      </w:r>
      <w:r>
        <w:rPr>
          <w:rFonts w:ascii="Times New Roman" w:cs="Times New Roman" w:eastAsia="Times New Roman" w:hAnsi="Times New Roman"/>
          <w:sz w:val="18"/>
          <w:szCs w:val="18"/>
          <w:vertAlign w:val="superscript"/>
        </w:rPr>
        <w:t xml:space="preserve">[44]</w:t>
      </w:r>
      <w:r>
        <w:rPr>
          <w:rFonts w:ascii="Times New Roman" w:cs="Times New Roman" w:eastAsia="Times New Roman" w:hAnsi="Times New Roman"/>
          <w:sz w:val="24"/>
          <w:szCs w:val="24"/>
        </w:rPr>
        <w:t xml:space="preserve"> Oxidative Functional Flux (OFF) — characteristic of mature differentiated cells — provides metabolic flexibility: switching between glucose, fatty acids, and glutamine. Basal Glycolytic Regime (BGR) — characteristic of stem cells, progenitor cells, and incompletely differentiated populations — relies critically on glycolysis and cannot readily substitute alternative substrates. </w:t>
      </w:r>
      <w:r>
        <w:rPr>
          <w:rFonts w:ascii="Times New Roman" w:cs="Times New Roman" w:eastAsia="Times New Roman" w:hAnsi="Times New Roman"/>
          <w:sz w:val="18"/>
          <w:szCs w:val="18"/>
          <w:vertAlign w:val="superscript"/>
        </w:rPr>
        <w:t xml:space="preserve">[5,6,7]</w:t>
      </w:r>
    </w:p>
    <w:p>
      <w:pPr>
        <w:spacing w:after="180" w:line="276" w:lineRule="auto"/>
        <w:jc w:val="both"/>
      </w:pPr>
      <w:r>
        <w:rPr>
          <w:rFonts w:ascii="Times New Roman" w:cs="Times New Roman" w:eastAsia="Times New Roman" w:hAnsi="Times New Roman"/>
          <w:sz w:val="24"/>
          <w:szCs w:val="24"/>
        </w:rPr>
        <w:t xml:space="preserve">In the ontogenetic state-space framework (Paper 4 of the companion series), </w:t>
      </w:r>
      <w:r>
        <w:rPr>
          <w:rFonts w:ascii="Times New Roman" w:cs="Times New Roman" w:eastAsia="Times New Roman" w:hAnsi="Times New Roman"/>
          <w:sz w:val="18"/>
          <w:szCs w:val="18"/>
          <w:vertAlign w:val="superscript"/>
        </w:rPr>
        <w:t xml:space="preserve">[45]</w:t>
      </w:r>
      <w:r>
        <w:rPr>
          <w:rFonts w:ascii="Times New Roman" w:cs="Times New Roman" w:eastAsia="Times New Roman" w:hAnsi="Times New Roman"/>
          <w:sz w:val="24"/>
          <w:szCs w:val="24"/>
        </w:rPr>
        <w:t xml:space="preserve"> cells exist along a continuum from fully differentiated states (S₀, OFF-dominant) through intermediate states (S₋₁, mixed) to progenitor states (S₋₂ and beyond, BGR-dominant). BGR-dominant S₋₁ and S₋₂ populations include endothelial progenitor cells (EPC), thrombocytes, regulatory T-cells (Treg), erythroid precursors, and neurons. These populations share critical functional roles in vascular integrity, immunity, haemostasis, and neural function — and critical metabolic vulnerability to glucose deprivation.</w:t>
      </w:r>
    </w:p>
    <w:p>
      <w:pPr>
        <w:pStyle w:val="Heading2"/>
        <w:spacing w:after="100" w:before="240"/>
      </w:pPr>
      <w:r>
        <w:rPr>
          <w:rFonts w:ascii="Arial" w:cs="Arial" w:eastAsia="Arial" w:hAnsi="Arial"/>
          <w:b/>
          <w:bCs/>
          <w:color w:val="2E75B6"/>
          <w:sz w:val="24"/>
          <w:szCs w:val="24"/>
        </w:rPr>
        <w:t xml:space="preserve">2.2 Human Placental Lactogen as a Progressive Metabolic Competitor</w:t>
      </w:r>
    </w:p>
    <w:p>
      <w:pPr>
        <w:spacing w:after="180" w:line="276" w:lineRule="auto"/>
        <w:jc w:val="both"/>
      </w:pPr>
      <w:r>
        <w:rPr>
          <w:rFonts w:ascii="Times New Roman" w:cs="Times New Roman" w:eastAsia="Times New Roman" w:hAnsi="Times New Roman"/>
          <w:sz w:val="24"/>
          <w:szCs w:val="24"/>
        </w:rPr>
        <w:t xml:space="preserve">Human placental lactogen (hPL) rises progressively from the second trimester, inducing maternal insulin resistance that redirects glucose toward the fetoplacental unit. </w:t>
      </w:r>
      <w:r>
        <w:rPr>
          <w:rFonts w:ascii="Times New Roman" w:cs="Times New Roman" w:eastAsia="Times New Roman" w:hAnsi="Times New Roman"/>
          <w:sz w:val="18"/>
          <w:szCs w:val="18"/>
          <w:vertAlign w:val="superscript"/>
        </w:rPr>
        <w:t xml:space="preserve">[32]</w:t>
      </w:r>
      <w:r>
        <w:rPr>
          <w:rFonts w:ascii="Times New Roman" w:cs="Times New Roman" w:eastAsia="Times New Roman" w:hAnsi="Times New Roman"/>
          <w:sz w:val="24"/>
          <w:szCs w:val="24"/>
        </w:rPr>
        <w:t xml:space="preserve"> For OFF-dominant (S₀) cell populations, this metabolic shift is tolerable — they switch to fatty acid oxidation. For BGR-dominant (S₋₁) populations, the same shift is selectively lethal: they cannot substitute alternative substrates, and progressive glucose deprivation drives apoptosis.</w:t>
      </w:r>
    </w:p>
    <w:p>
      <w:pPr>
        <w:spacing w:after="180" w:line="276" w:lineRule="auto"/>
        <w:jc w:val="both"/>
      </w:pPr>
      <w:r>
        <w:rPr>
          <w:rFonts w:ascii="Times New Roman" w:cs="Times New Roman" w:eastAsia="Times New Roman" w:hAnsi="Times New Roman"/>
          <w:sz w:val="24"/>
          <w:szCs w:val="24"/>
        </w:rPr>
        <w:t xml:space="preserve">The critical variable determining disease risk and phenotype is therefore not hPL concentration per se — which is similar across pregnancies — but the </w:t>
      </w:r>
      <w:r>
        <w:rPr>
          <w:rFonts w:ascii="Times New Roman" w:cs="Times New Roman" w:eastAsia="Times New Roman" w:hAnsi="Times New Roman"/>
          <w:b/>
          <w:bCs/>
          <w:sz w:val="24"/>
          <w:szCs w:val="24"/>
        </w:rPr>
        <w:t xml:space="preserve">proportion of BGR-dependent S₋₁ cell populations in the maternal organism</w:t>
      </w:r>
      <w:r>
        <w:rPr>
          <w:rFonts w:ascii="Times New Roman" w:cs="Times New Roman" w:eastAsia="Times New Roman" w:hAnsi="Times New Roman"/>
          <w:sz w:val="24"/>
          <w:szCs w:val="24"/>
        </w:rPr>
        <w:t xml:space="preserve"> at the time of pregnancy. This proportion varies between individuals and across the lifespan, and is the mechanistic basis for the two phenotypes identified in this paper.</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3. Two Clinical Phenotypes: Same Mechanism, Different Entry Points</w:t>
      </w:r>
    </w:p>
    <w:p>
      <w:pPr>
        <w:pStyle w:val="Heading2"/>
        <w:spacing w:after="100" w:before="240"/>
      </w:pPr>
      <w:r>
        <w:rPr>
          <w:rFonts w:ascii="Arial" w:cs="Arial" w:eastAsia="Arial" w:hAnsi="Arial"/>
          <w:b/>
          <w:bCs/>
          <w:color w:val="2E75B6"/>
          <w:sz w:val="24"/>
          <w:szCs w:val="24"/>
        </w:rPr>
        <w:t xml:space="preserve">3.1 Type I — Pure Preeclampsia of Young Primigravidae: Constitutional Ontogenetic Immaturity</w:t>
      </w:r>
    </w:p>
    <w:p>
      <w:pPr>
        <w:spacing w:after="180" w:line="276" w:lineRule="auto"/>
        <w:jc w:val="both"/>
      </w:pPr>
      <w:r>
        <w:rPr>
          <w:rFonts w:ascii="Times New Roman" w:cs="Times New Roman" w:eastAsia="Times New Roman" w:hAnsi="Times New Roman"/>
          <w:sz w:val="24"/>
          <w:szCs w:val="24"/>
        </w:rPr>
        <w:t xml:space="preserve">Pure preeclampsia predominantly affects young primigravidae — women in their first pregnancy, typically under 25 years of age, with no prior cardiovascular or metabolic disease. </w:t>
      </w:r>
      <w:r>
        <w:rPr>
          <w:rFonts w:ascii="Times New Roman" w:cs="Times New Roman" w:eastAsia="Times New Roman" w:hAnsi="Times New Roman"/>
          <w:sz w:val="18"/>
          <w:szCs w:val="18"/>
          <w:vertAlign w:val="superscript"/>
        </w:rPr>
        <w:t xml:space="preserve">[30,31]</w:t>
      </w:r>
      <w:r>
        <w:rPr>
          <w:rFonts w:ascii="Times New Roman" w:cs="Times New Roman" w:eastAsia="Times New Roman" w:hAnsi="Times New Roman"/>
          <w:sz w:val="24"/>
          <w:szCs w:val="24"/>
        </w:rPr>
        <w:t xml:space="preserve"> This epidemiological pattern is paradoxical within vascular damage models but directly predicted by the BGR-collapse hypothesis.</w:t>
      </w:r>
    </w:p>
    <w:p>
      <w:pPr>
        <w:spacing w:after="180" w:line="276" w:lineRule="auto"/>
        <w:jc w:val="both"/>
      </w:pPr>
      <w:r>
        <w:rPr>
          <w:rFonts w:ascii="Times New Roman" w:cs="Times New Roman" w:eastAsia="Times New Roman" w:hAnsi="Times New Roman"/>
          <w:sz w:val="24"/>
          <w:szCs w:val="24"/>
        </w:rPr>
        <w:t xml:space="preserve">Young organisms are biologically characterised by a </w:t>
      </w:r>
      <w:r>
        <w:rPr>
          <w:rFonts w:ascii="Times New Roman" w:cs="Times New Roman" w:eastAsia="Times New Roman" w:hAnsi="Times New Roman"/>
          <w:b/>
          <w:bCs/>
          <w:sz w:val="24"/>
          <w:szCs w:val="24"/>
        </w:rPr>
        <w:t xml:space="preserve">higher proportion of incompletely differentiated, BGR-dominant cell populations</w:t>
      </w:r>
      <w:r>
        <w:rPr>
          <w:rFonts w:ascii="Times New Roman" w:cs="Times New Roman" w:eastAsia="Times New Roman" w:hAnsi="Times New Roman"/>
          <w:sz w:val="24"/>
          <w:szCs w:val="24"/>
        </w:rPr>
        <w:t xml:space="preserve"> — a normal feature of developmental maturation rather than a pathological state. In the ontogenetic state-space framework, young adults retain more cells in S₋₁ intermediate states: more circulating EPC relative to mature endothelial cells, more erythroid precursors with incomplete γ→β globin switching, a higher Treg-to-effector ratio with more glycolysis-dependent Treg. This is not dysfunction — it is the normal metabolic architecture of biological youth. </w:t>
      </w:r>
      <w:r>
        <w:rPr>
          <w:rFonts w:ascii="Times New Roman" w:cs="Times New Roman" w:eastAsia="Times New Roman" w:hAnsi="Times New Roman"/>
          <w:sz w:val="18"/>
          <w:szCs w:val="18"/>
          <w:vertAlign w:val="superscript"/>
        </w:rPr>
        <w:t xml:space="preserve">[33,45]</w:t>
      </w:r>
    </w:p>
    <w:p>
      <w:pPr>
        <w:spacing w:after="180" w:line="276" w:lineRule="auto"/>
        <w:jc w:val="both"/>
      </w:pPr>
      <w:r>
        <w:rPr>
          <w:rFonts w:ascii="Times New Roman" w:cs="Times New Roman" w:eastAsia="Times New Roman" w:hAnsi="Times New Roman"/>
          <w:sz w:val="24"/>
          <w:szCs w:val="24"/>
        </w:rPr>
        <w:t xml:space="preserve">When hPL rises in the second trimester, this constitutionally higher S₋₁ population is selectively vulnerable. The BGR-collapse threshold is reached at lower hPL concentrations than in an older, more ontogenetically mature organism. The clinical result is preeclampsia in a woman who, by all standard vascular risk assessments, should be the least susceptible.</w:t>
      </w:r>
    </w:p>
    <w:p>
      <w:pPr>
        <w:pBdr>
          <w:top w:val="double" w:color="2E75B6" w:sz="6" w:space="4"/>
          <w:bottom w:val="double" w:color="2E75B6" w:sz="6" w:space="4"/>
          <w:left w:val="double" w:color="2E75B6" w:sz="6" w:space="8"/>
          <w:right w:val="double" w:color="2E75B6" w:sz="6" w:space="8"/>
        </w:pBdr>
        <w:shd w:fill="E8F4FD"/>
        <w:spacing w:after="200" w:before="160"/>
        <w:ind w:left="240" w:right="240"/>
      </w:pPr>
      <w:r>
        <w:rPr>
          <w:rFonts w:ascii="Times New Roman" w:cs="Times New Roman" w:eastAsia="Times New Roman" w:hAnsi="Times New Roman"/>
          <w:b/>
          <w:bCs/>
          <w:sz w:val="24"/>
          <w:szCs w:val="24"/>
        </w:rPr>
        <w:t xml:space="preserve">Proposed reinterpretation: </w:t>
      </w:r>
      <w:r>
        <w:rPr>
          <w:rFonts w:ascii="Times New Roman" w:cs="Times New Roman" w:eastAsia="Times New Roman" w:hAnsi="Times New Roman"/>
          <w:sz w:val="24"/>
          <w:szCs w:val="24"/>
        </w:rPr>
        <w:t xml:space="preserve">Pure preeclampsia in young primigravidae is not a disease of abnormal vascular biology. It is a </w:t>
      </w:r>
      <w:r>
        <w:rPr>
          <w:rFonts w:ascii="Times New Roman" w:cs="Times New Roman" w:eastAsia="Times New Roman" w:hAnsi="Times New Roman"/>
          <w:b/>
          <w:bCs/>
          <w:sz w:val="24"/>
          <w:szCs w:val="24"/>
        </w:rPr>
        <w:t xml:space="preserve">metabolic compatibility mismatch</w:t>
      </w:r>
      <w:r>
        <w:rPr>
          <w:rFonts w:ascii="Times New Roman" w:cs="Times New Roman" w:eastAsia="Times New Roman" w:hAnsi="Times New Roman"/>
          <w:sz w:val="24"/>
          <w:szCs w:val="24"/>
        </w:rPr>
        <w:t xml:space="preserve"> between the constitutionally BGR-rich cellular landscape of a biologically young organism and the progressive glucose-competitive demands of the growing fetoplacental unit.</w:t>
      </w:r>
    </w:p>
    <w:p>
      <w:pPr>
        <w:pStyle w:val="Heading3"/>
        <w:spacing w:after="80" w:before="160"/>
      </w:pPr>
      <w:r>
        <w:rPr>
          <w:rFonts w:ascii="Arial" w:cs="Arial" w:eastAsia="Arial" w:hAnsi="Arial"/>
          <w:b/>
          <w:bCs/>
          <w:i/>
          <w:iCs/>
          <w:color w:val="34495E"/>
          <w:sz w:val="23"/>
          <w:szCs w:val="23"/>
        </w:rPr>
        <w:t xml:space="preserve">3.1.1 HbF as a Marker of Maternal Ontogenetic Immaturity</w:t>
      </w:r>
    </w:p>
    <w:p>
      <w:pPr>
        <w:spacing w:after="180" w:line="276" w:lineRule="auto"/>
        <w:jc w:val="both"/>
      </w:pPr>
      <w:r>
        <w:rPr>
          <w:rFonts w:ascii="Times New Roman" w:cs="Times New Roman" w:eastAsia="Times New Roman" w:hAnsi="Times New Roman"/>
          <w:sz w:val="24"/>
          <w:szCs w:val="24"/>
        </w:rPr>
        <w:t xml:space="preserve">Elevated HbF in maternal circulation in preeclampsia has been documented in multiple studies and attributed primarily to placental overproduction. </w:t>
      </w:r>
      <w:r>
        <w:rPr>
          <w:rFonts w:ascii="Times New Roman" w:cs="Times New Roman" w:eastAsia="Times New Roman" w:hAnsi="Times New Roman"/>
          <w:sz w:val="18"/>
          <w:szCs w:val="18"/>
          <w:vertAlign w:val="superscript"/>
        </w:rPr>
        <w:t xml:space="preserve">[8,9,10]</w:t>
      </w:r>
      <w:r>
        <w:rPr>
          <w:rFonts w:ascii="Times New Roman" w:cs="Times New Roman" w:eastAsia="Times New Roman" w:hAnsi="Times New Roman"/>
          <w:sz w:val="24"/>
          <w:szCs w:val="24"/>
        </w:rPr>
        <w:t xml:space="preserve"> The present framework proposes a </w:t>
      </w:r>
      <w:r>
        <w:rPr>
          <w:rFonts w:ascii="Times New Roman" w:cs="Times New Roman" w:eastAsia="Times New Roman" w:hAnsi="Times New Roman"/>
          <w:b/>
          <w:bCs/>
          <w:sz w:val="24"/>
          <w:szCs w:val="24"/>
        </w:rPr>
        <w:t xml:space="preserve">complementary maternal source</w:t>
      </w:r>
      <w:r>
        <w:rPr>
          <w:rFonts w:ascii="Times New Roman" w:cs="Times New Roman" w:eastAsia="Times New Roman" w:hAnsi="Times New Roman"/>
          <w:sz w:val="24"/>
          <w:szCs w:val="24"/>
        </w:rPr>
        <w:t xml:space="preserve">: erythroid precursors in the maternal bone marrow that retain γ-globin expression due to incomplete ontogenetic maturation of the haematopoietic system.</w:t>
      </w:r>
    </w:p>
    <w:p>
      <w:pPr>
        <w:spacing w:after="180" w:line="276" w:lineRule="auto"/>
        <w:jc w:val="both"/>
      </w:pPr>
      <w:r>
        <w:rPr>
          <w:rFonts w:ascii="Times New Roman" w:cs="Times New Roman" w:eastAsia="Times New Roman" w:hAnsi="Times New Roman"/>
          <w:sz w:val="24"/>
          <w:szCs w:val="24"/>
        </w:rPr>
        <w:t xml:space="preserve">In young women with constitutionally higher proportions of S₋₁ erythroid precursors, a greater fraction of circulating erythrocytes and reticulocytes may retain partial HbF expression — reflecting the baseline ontogenetic state of the haematopoietic compartment. Under hPL-driven glucose competition, these BGR-dependent precursors are selectively apoptosed before completing γ→β switching, releasing HbF into the maternal circulation. </w:t>
      </w:r>
      <w:r>
        <w:rPr>
          <w:rFonts w:ascii="Times New Roman" w:cs="Times New Roman" w:eastAsia="Times New Roman" w:hAnsi="Times New Roman"/>
          <w:sz w:val="18"/>
          <w:szCs w:val="18"/>
          <w:vertAlign w:val="superscript"/>
        </w:rPr>
        <w:t xml:space="preserve">[11,23]</w:t>
      </w:r>
    </w:p>
    <w:p>
      <w:pPr>
        <w:spacing w:after="180" w:line="276" w:lineRule="auto"/>
        <w:jc w:val="both"/>
      </w:pPr>
      <w:r>
        <w:rPr>
          <w:rFonts w:ascii="Times New Roman" w:cs="Times New Roman" w:eastAsia="Times New Roman" w:hAnsi="Times New Roman"/>
          <w:sz w:val="24"/>
          <w:szCs w:val="24"/>
        </w:rPr>
        <w:t xml:space="preserve">HbF in maternal blood therefore carries dual diagnostic significance in Type I preeclampsia: it reflects both placental stress (as currently understood) and </w:t>
      </w:r>
      <w:r>
        <w:rPr>
          <w:rFonts w:ascii="Times New Roman" w:cs="Times New Roman" w:eastAsia="Times New Roman" w:hAnsi="Times New Roman"/>
          <w:b/>
          <w:bCs/>
          <w:sz w:val="24"/>
          <w:szCs w:val="24"/>
        </w:rPr>
        <w:t xml:space="preserve">maternal constitutional BGR-immaturity</w:t>
      </w:r>
      <w:r>
        <w:rPr>
          <w:rFonts w:ascii="Times New Roman" w:cs="Times New Roman" w:eastAsia="Times New Roman" w:hAnsi="Times New Roman"/>
          <w:sz w:val="24"/>
          <w:szCs w:val="24"/>
        </w:rPr>
        <w:t xml:space="preserve"> — a pre-existing vulnerability that predicts susceptibility before clinical manifestation. Pre-pregnancy or first-trimester HbF measurement in the mother may have predictive value independent of placental biomarkers.</w:t>
      </w:r>
    </w:p>
    <w:p>
      <w:pPr>
        <w:pStyle w:val="Heading3"/>
        <w:spacing w:after="80" w:before="160"/>
      </w:pPr>
      <w:r>
        <w:rPr>
          <w:rFonts w:ascii="Arial" w:cs="Arial" w:eastAsia="Arial" w:hAnsi="Arial"/>
          <w:b/>
          <w:bCs/>
          <w:i/>
          <w:iCs/>
          <w:color w:val="34495E"/>
          <w:sz w:val="23"/>
          <w:szCs w:val="23"/>
        </w:rPr>
        <w:t xml:space="preserve">3.1.2 Non-Recurrence and Ontogenetic Maturation Between Pregnancies</w:t>
      </w:r>
    </w:p>
    <w:p>
      <w:pPr>
        <w:spacing w:after="180" w:line="276" w:lineRule="auto"/>
        <w:jc w:val="both"/>
      </w:pPr>
      <w:r>
        <w:rPr>
          <w:rFonts w:ascii="Times New Roman" w:cs="Times New Roman" w:eastAsia="Times New Roman" w:hAnsi="Times New Roman"/>
          <w:sz w:val="24"/>
          <w:szCs w:val="24"/>
        </w:rPr>
        <w:t xml:space="preserve">Pure preeclampsia rarely recurs in subsequent pregnancies in women without underlying chronic disease. </w:t>
      </w:r>
      <w:r>
        <w:rPr>
          <w:rFonts w:ascii="Times New Roman" w:cs="Times New Roman" w:eastAsia="Times New Roman" w:hAnsi="Times New Roman"/>
          <w:sz w:val="18"/>
          <w:szCs w:val="18"/>
          <w:vertAlign w:val="superscript"/>
        </w:rPr>
        <w:t xml:space="preserve">[36,37]</w:t>
      </w:r>
      <w:r>
        <w:rPr>
          <w:rFonts w:ascii="Times New Roman" w:cs="Times New Roman" w:eastAsia="Times New Roman" w:hAnsi="Times New Roman"/>
          <w:sz w:val="24"/>
          <w:szCs w:val="24"/>
        </w:rPr>
        <w:t xml:space="preserve"> This clinical observation is unexplained by angiogenic or immune sensitisation models — if placental implantation biology were the primary determinant, recurrence would be expected.</w:t>
      </w:r>
    </w:p>
    <w:p>
      <w:pPr>
        <w:spacing w:after="180" w:line="276" w:lineRule="auto"/>
        <w:jc w:val="both"/>
      </w:pPr>
      <w:r>
        <w:rPr>
          <w:rFonts w:ascii="Times New Roman" w:cs="Times New Roman" w:eastAsia="Times New Roman" w:hAnsi="Times New Roman"/>
          <w:sz w:val="24"/>
          <w:szCs w:val="24"/>
        </w:rPr>
        <w:t xml:space="preserve">The BGR-collapse hypothesis provides a direct explanation: </w:t>
      </w:r>
      <w:r>
        <w:rPr>
          <w:rFonts w:ascii="Times New Roman" w:cs="Times New Roman" w:eastAsia="Times New Roman" w:hAnsi="Times New Roman"/>
          <w:b/>
          <w:bCs/>
          <w:sz w:val="24"/>
          <w:szCs w:val="24"/>
        </w:rPr>
        <w:t xml:space="preserve">the maternal organism matures ontogenetically between pregnancies</w:t>
      </w:r>
      <w:r>
        <w:rPr>
          <w:rFonts w:ascii="Times New Roman" w:cs="Times New Roman" w:eastAsia="Times New Roman" w:hAnsi="Times New Roman"/>
          <w:sz w:val="24"/>
          <w:szCs w:val="24"/>
        </w:rPr>
        <w:t xml:space="preserve">. The proportion of BGR-dominant S₋₁ cell populations naturally decreases with age and with the physiological "ageing" of tissue systems that occurs after the first pregnancy (including hormonal, immune, and vascular adaptations). By the time of a second pregnancy — typically 2–5 years later — the mother has a lower proportion of S₋₁ cells, a higher proportion of metabolically flexible S₀ cells, and a higher BGR-collapse threshold. The same hPL concentrations no longer deplete the BGR-dependent populations sufficiently to initiate the clinical cascade. </w:t>
      </w:r>
      <w:r>
        <w:rPr>
          <w:rFonts w:ascii="Times New Roman" w:cs="Times New Roman" w:eastAsia="Times New Roman" w:hAnsi="Times New Roman"/>
          <w:sz w:val="18"/>
          <w:szCs w:val="18"/>
          <w:vertAlign w:val="superscript"/>
        </w:rPr>
        <w:t xml:space="preserve">[33,36]</w:t>
      </w:r>
    </w:p>
    <w:p>
      <w:pPr>
        <w:pBdr>
          <w:top w:val="single" w:color="CCCCCC" w:sz="4" w:space="2"/>
          <w:bottom w:val="single" w:color="CCCCCC" w:sz="4" w:space="2"/>
          <w:left w:val="thick" w:color="27AE60" w:sz="14" w:space="8"/>
        </w:pBdr>
        <w:shd w:fill="F0FBF4"/>
        <w:spacing w:after="180" w:before="120"/>
        <w:ind w:left="240" w:right="240"/>
      </w:pPr>
      <w:r>
        <w:rPr>
          <w:rFonts w:ascii="Arial" w:cs="Arial" w:eastAsia="Arial" w:hAnsi="Arial"/>
          <w:b/>
          <w:bCs/>
          <w:sz w:val="22"/>
          <w:szCs w:val="22"/>
        </w:rPr>
        <w:t xml:space="preserve">Testable prediction: </w:t>
      </w:r>
      <w:r>
        <w:rPr>
          <w:rFonts w:ascii="Times New Roman" w:cs="Times New Roman" w:eastAsia="Times New Roman" w:hAnsi="Times New Roman"/>
          <w:sz w:val="22"/>
          <w:szCs w:val="22"/>
        </w:rPr>
        <w:t xml:space="preserve">The proportion of BGR-dominant cell populations in maternal blood (EPC count, reticulocyte HbF fraction, Treg glycolytic reserve) should be measurably higher in young primigravidae who develop preeclampsia than in age-matched primigravidae who do not, and should be lower in the same women at the time of their subsequent uncomplicated pregnancies. This prediction distinguishes the ontogenetic maturation hypothesis from all existing models.</w:t>
      </w:r>
    </w:p>
    <w:p>
      <w:pPr>
        <w:pStyle w:val="Heading2"/>
        <w:spacing w:after="100" w:before="240"/>
      </w:pPr>
      <w:r>
        <w:rPr>
          <w:rFonts w:ascii="Arial" w:cs="Arial" w:eastAsia="Arial" w:hAnsi="Arial"/>
          <w:b/>
          <w:bCs/>
          <w:color w:val="2E75B6"/>
          <w:sz w:val="24"/>
          <w:szCs w:val="24"/>
        </w:rPr>
        <w:t xml:space="preserve">3.2 Type II — Preeclampsia on Pre-Existing Pathology: Compromised BGR Baseline</w:t>
      </w:r>
    </w:p>
    <w:p>
      <w:pPr>
        <w:spacing w:after="180" w:line="276" w:lineRule="auto"/>
        <w:jc w:val="both"/>
      </w:pPr>
      <w:r>
        <w:rPr>
          <w:rFonts w:ascii="Times New Roman" w:cs="Times New Roman" w:eastAsia="Times New Roman" w:hAnsi="Times New Roman"/>
          <w:sz w:val="24"/>
          <w:szCs w:val="24"/>
        </w:rPr>
        <w:t xml:space="preserve">The second phenotype affects women with pre-existing medical conditions that independently compromise the BGR system before conception: diabetes mellitus, chronic hypertension, autoimmune disease, obesity, and chronic kidney disease. </w:t>
      </w:r>
      <w:r>
        <w:rPr>
          <w:rFonts w:ascii="Times New Roman" w:cs="Times New Roman" w:eastAsia="Times New Roman" w:hAnsi="Times New Roman"/>
          <w:sz w:val="18"/>
          <w:szCs w:val="18"/>
          <w:vertAlign w:val="superscript"/>
        </w:rPr>
        <w:t xml:space="preserve">[30,31]</w:t>
      </w:r>
      <w:r>
        <w:rPr>
          <w:rFonts w:ascii="Times New Roman" w:cs="Times New Roman" w:eastAsia="Times New Roman" w:hAnsi="Times New Roman"/>
          <w:sz w:val="24"/>
          <w:szCs w:val="24"/>
        </w:rPr>
        <w:t xml:space="preserve"> In these women, the BGR-collapse threshold is lowered not by constitutional immaturity but by pre-existing metabolic damage. The clinical consequences are characteristic:</w:t>
      </w:r>
    </w:p>
    <w:p>
      <w:pPr>
        <w:pStyle w:val="ListParagraph"/>
        <w:numPr>
          <w:ilvl w:val="0"/>
          <w:numId w:val="2"/>
        </w:numPr>
        <w:spacing w:after="100"/>
      </w:pPr>
      <w:r>
        <w:rPr>
          <w:rFonts w:ascii="Times New Roman" w:cs="Times New Roman" w:eastAsia="Times New Roman" w:hAnsi="Times New Roman"/>
          <w:b/>
          <w:bCs/>
          <w:sz w:val="24"/>
          <w:szCs w:val="24"/>
        </w:rPr>
        <w:t xml:space="preserve">Earlier onset: </w:t>
      </w:r>
      <w:r>
        <w:rPr>
          <w:rFonts w:ascii="Times New Roman" w:cs="Times New Roman" w:eastAsia="Times New Roman" w:hAnsi="Times New Roman"/>
          <w:sz w:val="24"/>
          <w:szCs w:val="24"/>
        </w:rPr>
        <w:t xml:space="preserve">preeclampsia manifests before 34 weeks (early-onset preeclampsia) because the BGR threshold is already low at the start of pregnancy and is reached at lower hPL concentrations. </w:t>
      </w:r>
      <w:r>
        <w:rPr>
          <w:rFonts w:ascii="Times New Roman" w:cs="Times New Roman" w:eastAsia="Times New Roman" w:hAnsi="Times New Roman"/>
          <w:sz w:val="18"/>
          <w:szCs w:val="18"/>
          <w:vertAlign w:val="superscript"/>
        </w:rPr>
        <w:t xml:space="preserve">[2]</w:t>
      </w:r>
    </w:p>
    <w:p>
      <w:pPr>
        <w:pStyle w:val="ListParagraph"/>
        <w:numPr>
          <w:ilvl w:val="0"/>
          <w:numId w:val="2"/>
        </w:numPr>
        <w:spacing w:after="100"/>
      </w:pPr>
      <w:r>
        <w:rPr>
          <w:rFonts w:ascii="Times New Roman" w:cs="Times New Roman" w:eastAsia="Times New Roman" w:hAnsi="Times New Roman"/>
          <w:b/>
          <w:bCs/>
          <w:sz w:val="24"/>
          <w:szCs w:val="24"/>
        </w:rPr>
        <w:t xml:space="preserve">Greater severity: </w:t>
      </w:r>
      <w:r>
        <w:rPr>
          <w:rFonts w:ascii="Times New Roman" w:cs="Times New Roman" w:eastAsia="Times New Roman" w:hAnsi="Times New Roman"/>
          <w:sz w:val="24"/>
          <w:szCs w:val="24"/>
        </w:rPr>
        <w:t xml:space="preserve">the pre-existing BGR compromise provides less reserve against hPL-driven glucose competition, producing more rapid and complete cascade progression.</w:t>
      </w:r>
    </w:p>
    <w:p>
      <w:pPr>
        <w:pStyle w:val="ListParagraph"/>
        <w:numPr>
          <w:ilvl w:val="0"/>
          <w:numId w:val="2"/>
        </w:numPr>
        <w:spacing w:after="100"/>
      </w:pPr>
      <w:r>
        <w:rPr>
          <w:rFonts w:ascii="Times New Roman" w:cs="Times New Roman" w:eastAsia="Times New Roman" w:hAnsi="Times New Roman"/>
          <w:b/>
          <w:bCs/>
          <w:sz w:val="24"/>
          <w:szCs w:val="24"/>
        </w:rPr>
        <w:t xml:space="preserve">Higher HELLP rate: </w:t>
      </w:r>
      <w:r>
        <w:rPr>
          <w:rFonts w:ascii="Times New Roman" w:cs="Times New Roman" w:eastAsia="Times New Roman" w:hAnsi="Times New Roman"/>
          <w:sz w:val="24"/>
          <w:szCs w:val="24"/>
        </w:rPr>
        <w:t xml:space="preserve">thrombocyte populations are already metabolically stressed by chronic hyperglycaemia (diabetes), chronic inflammation (autoimmune disease), or chronic oxidative load (obesity), reducing the additional stress required to trigger thrombocytopenia and haemolysis.</w:t>
      </w:r>
    </w:p>
    <w:p>
      <w:pPr>
        <w:pStyle w:val="ListParagraph"/>
        <w:numPr>
          <w:ilvl w:val="0"/>
          <w:numId w:val="2"/>
        </w:numPr>
        <w:spacing w:after="100"/>
      </w:pPr>
      <w:r>
        <w:rPr>
          <w:rFonts w:ascii="Times New Roman" w:cs="Times New Roman" w:eastAsia="Times New Roman" w:hAnsi="Times New Roman"/>
          <w:b/>
          <w:bCs/>
          <w:sz w:val="24"/>
          <w:szCs w:val="24"/>
        </w:rPr>
        <w:t xml:space="preserve">Higher recurrence risk: </w:t>
      </w:r>
      <w:r>
        <w:rPr>
          <w:rFonts w:ascii="Times New Roman" w:cs="Times New Roman" w:eastAsia="Times New Roman" w:hAnsi="Times New Roman"/>
          <w:sz w:val="24"/>
          <w:szCs w:val="24"/>
        </w:rPr>
        <w:t xml:space="preserve">unlike Type I, where the underlying vulnerability resolves through ontogenetic maturation, Type II recurs because the underlying metabolic compromise persists or progresses between pregnancies. </w:t>
      </w:r>
      <w:r>
        <w:rPr>
          <w:rFonts w:ascii="Times New Roman" w:cs="Times New Roman" w:eastAsia="Times New Roman" w:hAnsi="Times New Roman"/>
          <w:sz w:val="18"/>
          <w:szCs w:val="18"/>
          <w:vertAlign w:val="superscript"/>
        </w:rPr>
        <w:t xml:space="preserve">[36]</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The pre-existing conditions and their specific BGR-compromise mechanisms:</w:t>
      </w:r>
    </w:p>
    <w:p>
      <w:pPr>
        <w:spacing w:after="80"/>
      </w:pPr>
      <w:r>
        <w:rPr>
          <w:rFonts w:ascii="Times New Roman" w:cs="Times New Roman" w:eastAsia="Times New Roman" w:hAnsi="Times New Roman"/>
          <w:sz w:val="24"/>
          <w:szCs w:val="24"/>
        </w:rPr>
        <w:t xml:space="preserve"/>
      </w:r>
    </w:p>
    <w:p>
      <w:pPr>
        <w:spacing w:after="120"/>
      </w:pPr>
      <w:r>
        <w:rPr>
          <w:rFonts w:ascii="Arial" w:cs="Arial" w:eastAsia="Arial" w:hAnsi="Arial"/>
          <w:b/>
          <w:bCs/>
          <w:sz w:val="22"/>
          <w:szCs w:val="22"/>
        </w:rPr>
        <w:t xml:space="preserve">Table 1.  </w:t>
      </w:r>
      <w:r>
        <w:rPr>
          <w:rFonts w:ascii="Arial" w:cs="Arial" w:eastAsia="Arial" w:hAnsi="Arial"/>
          <w:i/>
          <w:iCs/>
          <w:sz w:val="22"/>
          <w:szCs w:val="22"/>
        </w:rPr>
        <w:t xml:space="preserve">Pre-existing conditions and their mechanisms of BGR baseline compromise in Type II preeclampsia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160"/>
      </w:tblGrid>
      <w:t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Pre-existing Condition</w:t>
            </w:r>
          </w:p>
        </w:tc>
        <w:tc>
          <w:tcPr>
            <w:tcW w:type="dxa" w:w="3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BGR Compromise Mechanism</w:t>
            </w:r>
          </w:p>
        </w:tc>
        <w:tc>
          <w:tcPr>
            <w:tcW w:type="dxa" w:w="3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Clinical Consequence in Pregnancy</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Diabetes mellitus type 2</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Chronic hyperglycaemia → advanced glycation end-products → mitochondrial dysfunction in BGR cells; insulin resistance → impaired glucose uptake in BGR-dependent populations</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Earlier hPL threshold reached; EPC pool pre-depleted; Treg dysfunction from metabolic stress</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Chronic hypertension</w:t>
            </w:r>
          </w:p>
        </w:tc>
        <w:tc>
          <w:tcPr>
            <w:tcW w:type="dxa" w:w="3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Long-standing endothelial stress → EPC pool depleted in ongoing repair; elevated oxidative burden reduces BGR cell resilience</w:t>
            </w:r>
          </w:p>
        </w:tc>
        <w:tc>
          <w:tcPr>
            <w:tcW w:type="dxa" w:w="3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EPC reserve critically low at conception; minimal additional hPL stress triggers cascade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Autoimmune disease (SLE, APS)</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Pre-existing Treg dysfunction → constitutively elevated inflammatory tone; immune-mediated EPC consumption</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Immune activation accelerates cascade; APS additionally causes direct thrombocyte consumption</w:t>
            </w:r>
          </w:p>
        </w:tc>
      </w:tr>
      <w:tr>
        <w:tc>
          <w:tcPr>
            <w:tcW w:type="dxa" w:w="20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Obesity</w:t>
            </w:r>
          </w:p>
        </w:tc>
        <w:tc>
          <w:tcPr>
            <w:tcW w:type="dxa" w:w="3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Chronic low-grade inflammation → sustained cytokine-mediated BGR cell stress; mitochondrial dysfunction in adipose-associated immune cells; pre-existing insulin resistance</w:t>
            </w:r>
          </w:p>
        </w:tc>
        <w:tc>
          <w:tcPr>
            <w:tcW w:type="dxa" w:w="31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Baseline MMP elevation from adipose inflammation; oncotic pressure already reduced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Chronic kidney disease</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Reduced clearance of MMP-generated protein fragments; accelerated EPC apoptosis from uraemic toxins; pre-existing anaemia with erythroid precursor stress</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Proteinuria cascade accelerated; haemolysis amplified by pre-existing erythroid compromise</w:t>
            </w:r>
          </w:p>
        </w:tc>
      </w:tr>
    </w:tbl>
    <w:p>
      <w:pPr>
        <w:spacing w:after="80"/>
      </w:pPr>
      <w:r>
        <w:rPr>
          <w:rFonts w:ascii="Times New Roman" w:cs="Times New Roman" w:eastAsia="Times New Roman" w:hAnsi="Times New Roman"/>
          <w:sz w:val="24"/>
          <w:szCs w:val="24"/>
        </w:rPr>
        <w:t xml:space="preserve"/>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4. Four Clinical Observations as Direct Mechanistic Evidence</w:t>
      </w:r>
    </w:p>
    <w:p>
      <w:pPr>
        <w:spacing w:after="180" w:line="276" w:lineRule="auto"/>
        <w:jc w:val="both"/>
      </w:pPr>
      <w:r>
        <w:rPr>
          <w:rFonts w:ascii="Times New Roman" w:cs="Times New Roman" w:eastAsia="Times New Roman" w:hAnsi="Times New Roman"/>
          <w:sz w:val="24"/>
          <w:szCs w:val="24"/>
        </w:rPr>
        <w:t xml:space="preserve">Four well-established clinical observations in preeclampsia management directly support the BGR-collapse hypothesis and are not explained by existing models.</w:t>
      </w:r>
    </w:p>
    <w:p>
      <w:pPr>
        <w:pStyle w:val="Heading2"/>
        <w:spacing w:after="100" w:before="240"/>
      </w:pPr>
      <w:r>
        <w:rPr>
          <w:rFonts w:ascii="Arial" w:cs="Arial" w:eastAsia="Arial" w:hAnsi="Arial"/>
          <w:b/>
          <w:bCs/>
          <w:color w:val="2E75B6"/>
          <w:sz w:val="24"/>
          <w:szCs w:val="24"/>
        </w:rPr>
        <w:t xml:space="preserve">4.1 Physical Rest Ameliorates Preeclampsia</w:t>
      </w:r>
    </w:p>
    <w:p>
      <w:pPr>
        <w:spacing w:after="180" w:line="276" w:lineRule="auto"/>
        <w:jc w:val="both"/>
      </w:pPr>
      <w:r>
        <w:rPr>
          <w:rFonts w:ascii="Times New Roman" w:cs="Times New Roman" w:eastAsia="Times New Roman" w:hAnsi="Times New Roman"/>
          <w:sz w:val="24"/>
          <w:szCs w:val="24"/>
        </w:rPr>
        <w:t xml:space="preserve">It has been recognised for decades — predating modern pharmacological management — that reduced physical activity and bed rest are associated with milder preeclampsia course and delayed progression. </w:t>
      </w:r>
      <w:r>
        <w:rPr>
          <w:rFonts w:ascii="Times New Roman" w:cs="Times New Roman" w:eastAsia="Times New Roman" w:hAnsi="Times New Roman"/>
          <w:sz w:val="18"/>
          <w:szCs w:val="18"/>
          <w:vertAlign w:val="superscript"/>
        </w:rPr>
        <w:t xml:space="preserve">[34,19]</w:t>
      </w:r>
      <w:r>
        <w:rPr>
          <w:rFonts w:ascii="Times New Roman" w:cs="Times New Roman" w:eastAsia="Times New Roman" w:hAnsi="Times New Roman"/>
          <w:sz w:val="24"/>
          <w:szCs w:val="24"/>
        </w:rPr>
        <w:t xml:space="preserve"> Within the sFlt-1/PlGF framework, this observation lacks a satisfactory mechanistic explanation beyond non-specific "reduced haemodynamic stress."</w:t>
      </w:r>
    </w:p>
    <w:p>
      <w:pPr>
        <w:spacing w:after="180" w:line="276" w:lineRule="auto"/>
        <w:jc w:val="both"/>
      </w:pPr>
      <w:r>
        <w:rPr>
          <w:rFonts w:ascii="Times New Roman" w:cs="Times New Roman" w:eastAsia="Times New Roman" w:hAnsi="Times New Roman"/>
          <w:sz w:val="24"/>
          <w:szCs w:val="24"/>
        </w:rPr>
        <w:t xml:space="preserve">The BGR-collapse hypothesis provides a precise mechanism. Physical activity increases glucose consumption by skeletal muscle — an OFF-dominant, metabolically flexible tissue that efficiently burns glucose through oxidative phosphorylation. During exercise, working muscles compete directly with hPL-redirected fetoplacental glucose demand, </w:t>
      </w:r>
      <w:r>
        <w:rPr>
          <w:rFonts w:ascii="Times New Roman" w:cs="Times New Roman" w:eastAsia="Times New Roman" w:hAnsi="Times New Roman"/>
          <w:b/>
          <w:bCs/>
          <w:sz w:val="24"/>
          <w:szCs w:val="24"/>
        </w:rPr>
        <w:t xml:space="preserve">intensifying the glucose deficit experienced by BGR-dependent maternal cell populations</w:t>
      </w:r>
      <w:r>
        <w:rPr>
          <w:rFonts w:ascii="Times New Roman" w:cs="Times New Roman" w:eastAsia="Times New Roman" w:hAnsi="Times New Roman"/>
          <w:sz w:val="24"/>
          <w:szCs w:val="24"/>
        </w:rPr>
        <w:t xml:space="preserve">. Physical rest eliminates this additional competitive pressure, allowing BGR-dependent EPC, Treg, thrombocytes, and erythroid precursors to access more glucose substrate. Cell survival improves, the cascade slows, and clinical severity is reduced. </w:t>
      </w:r>
      <w:r>
        <w:rPr>
          <w:rFonts w:ascii="Times New Roman" w:cs="Times New Roman" w:eastAsia="Times New Roman" w:hAnsi="Times New Roman"/>
          <w:sz w:val="18"/>
          <w:szCs w:val="18"/>
          <w:vertAlign w:val="superscript"/>
        </w:rPr>
        <w:t xml:space="preserve">[34]</w:t>
      </w:r>
    </w:p>
    <w:p>
      <w:pPr>
        <w:pBdr>
          <w:top w:val="single" w:color="CCCCCC" w:sz="4" w:space="2"/>
          <w:bottom w:val="single" w:color="CCCCCC" w:sz="4" w:space="2"/>
          <w:left w:val="thick" w:color="E67E22" w:sz="14" w:space="8"/>
        </w:pBdr>
        <w:shd w:fill="FEF9F0"/>
        <w:spacing w:after="180" w:before="120"/>
        <w:ind w:left="240" w:right="240"/>
      </w:pPr>
      <w:r>
        <w:rPr>
          <w:rFonts w:ascii="Arial" w:cs="Arial" w:eastAsia="Arial" w:hAnsi="Arial"/>
          <w:b/>
          <w:bCs/>
          <w:sz w:val="22"/>
          <w:szCs w:val="22"/>
        </w:rPr>
        <w:t xml:space="preserve">Mechanistic interpretation of bed rest: </w:t>
      </w:r>
      <w:r>
        <w:rPr>
          <w:rFonts w:ascii="Times New Roman" w:cs="Times New Roman" w:eastAsia="Times New Roman" w:hAnsi="Times New Roman"/>
          <w:sz w:val="22"/>
          <w:szCs w:val="22"/>
        </w:rPr>
        <w:t xml:space="preserve">Bed rest in preeclampsia works not by reducing blood pressure per se, but by reducing OFF-dominant skeletal muscle glucose consumption, thereby increasing the glucose availability for BGR-dependent cell populations and raising the effective BGR-collapse threshold. This predicts that the benefit of rest should be measurable as increased EPC survival and reduced thrombocyte apoptosis rate, independent of blood pressure changes.</w:t>
      </w:r>
    </w:p>
    <w:p>
      <w:pPr>
        <w:pStyle w:val="Heading2"/>
        <w:spacing w:after="100" w:before="240"/>
      </w:pPr>
      <w:r>
        <w:rPr>
          <w:rFonts w:ascii="Arial" w:cs="Arial" w:eastAsia="Arial" w:hAnsi="Arial"/>
          <w:b/>
          <w:bCs/>
          <w:color w:val="2E75B6"/>
          <w:sz w:val="24"/>
          <w:szCs w:val="24"/>
        </w:rPr>
        <w:t xml:space="preserve">4.2 Delivery Rapidly Resolves Preeclampsia</w:t>
      </w:r>
    </w:p>
    <w:p>
      <w:pPr>
        <w:spacing w:after="180" w:line="276" w:lineRule="auto"/>
        <w:jc w:val="both"/>
      </w:pPr>
      <w:r>
        <w:rPr>
          <w:rFonts w:ascii="Times New Roman" w:cs="Times New Roman" w:eastAsia="Times New Roman" w:hAnsi="Times New Roman"/>
          <w:sz w:val="24"/>
          <w:szCs w:val="24"/>
        </w:rPr>
        <w:t xml:space="preserve">Delivery of the placenta produces rapid and near-complete resolution of preeclampsia in the vast majority of cases. </w:t>
      </w:r>
      <w:r>
        <w:rPr>
          <w:rFonts w:ascii="Times New Roman" w:cs="Times New Roman" w:eastAsia="Times New Roman" w:hAnsi="Times New Roman"/>
          <w:sz w:val="18"/>
          <w:szCs w:val="18"/>
          <w:vertAlign w:val="superscript"/>
        </w:rPr>
        <w:t xml:space="preserve">[18,2]</w:t>
      </w:r>
      <w:r>
        <w:rPr>
          <w:rFonts w:ascii="Times New Roman" w:cs="Times New Roman" w:eastAsia="Times New Roman" w:hAnsi="Times New Roman"/>
          <w:sz w:val="24"/>
          <w:szCs w:val="24"/>
        </w:rPr>
        <w:t xml:space="preserve"> This speed of resolution is difficult to reconcile with models centred on accumulated endothelial damage — structural endothelial repair would require days to weeks. It is, however, precisely predicted by the BGR-collapse hypothesis.</w:t>
      </w:r>
    </w:p>
    <w:p>
      <w:pPr>
        <w:spacing w:after="180" w:line="276" w:lineRule="auto"/>
        <w:jc w:val="both"/>
      </w:pPr>
      <w:r>
        <w:rPr>
          <w:rFonts w:ascii="Times New Roman" w:cs="Times New Roman" w:eastAsia="Times New Roman" w:hAnsi="Times New Roman"/>
          <w:sz w:val="24"/>
          <w:szCs w:val="24"/>
        </w:rPr>
        <w:t xml:space="preserve">Delivery removes the hPL-secreting syncytiotrophoblast. Within hours, circulating hPL concentrations fall. The glucose-competitive pressure on maternal BGR-dependent cell populations is eliminated. BGR-dominant EPC, Treg, and thrombocyte populations cease apoptosing, begin recovering, and the downstream cascade — MMP release, albumin proteolysis, oncotic pressure loss, vasoconstriction — rapidly reverses as its cellular source disappears. </w:t>
      </w:r>
      <w:r>
        <w:rPr>
          <w:rFonts w:ascii="Times New Roman" w:cs="Times New Roman" w:eastAsia="Times New Roman" w:hAnsi="Times New Roman"/>
          <w:sz w:val="18"/>
          <w:szCs w:val="18"/>
          <w:vertAlign w:val="superscript"/>
        </w:rPr>
        <w:t xml:space="preserve">[32]</w:t>
      </w:r>
    </w:p>
    <w:p>
      <w:pPr>
        <w:pBdr>
          <w:top w:val="double" w:color="2E75B6" w:sz="6" w:space="4"/>
          <w:bottom w:val="double" w:color="2E75B6" w:sz="6" w:space="4"/>
          <w:left w:val="double" w:color="2E75B6" w:sz="6" w:space="8"/>
          <w:right w:val="double" w:color="2E75B6" w:sz="6" w:space="8"/>
        </w:pBdr>
        <w:shd w:fill="E8F4FD"/>
        <w:spacing w:after="200" w:before="160"/>
        <w:ind w:left="240" w:right="240"/>
      </w:pPr>
      <w:r>
        <w:rPr>
          <w:rFonts w:ascii="Times New Roman" w:cs="Times New Roman" w:eastAsia="Times New Roman" w:hAnsi="Times New Roman"/>
          <w:b/>
          <w:bCs/>
          <w:sz w:val="24"/>
          <w:szCs w:val="24"/>
        </w:rPr>
        <w:t xml:space="preserve">The speed of post-delivery resolution is diagnostic: </w:t>
      </w:r>
      <w:r>
        <w:rPr>
          <w:rFonts w:ascii="Times New Roman" w:cs="Times New Roman" w:eastAsia="Times New Roman" w:hAnsi="Times New Roman"/>
          <w:sz w:val="24"/>
          <w:szCs w:val="24"/>
        </w:rPr>
        <w:t xml:space="preserve">it indicates that the pathological process is actively maintained by a circulating factor (hPL) rather than by accumulated structural damage. Removal of the factor terminates the process. This is the clearest clinical evidence that hPL-mediated BGR collapse, not endothelial injury per se, is the primary sustaining mechanism.</w:t>
      </w:r>
    </w:p>
    <w:p>
      <w:pPr>
        <w:pStyle w:val="Heading2"/>
        <w:spacing w:after="100" w:before="240"/>
      </w:pPr>
      <w:r>
        <w:rPr>
          <w:rFonts w:ascii="Arial" w:cs="Arial" w:eastAsia="Arial" w:hAnsi="Arial"/>
          <w:b/>
          <w:bCs/>
          <w:color w:val="2E75B6"/>
          <w:sz w:val="24"/>
          <w:szCs w:val="24"/>
        </w:rPr>
        <w:t xml:space="preserve">4.3 Pure Preeclampsia Rarely Recurs — Ontogenetic Maturation</w:t>
      </w:r>
    </w:p>
    <w:p>
      <w:pPr>
        <w:spacing w:after="180" w:line="276" w:lineRule="auto"/>
        <w:jc w:val="both"/>
      </w:pPr>
      <w:r>
        <w:rPr>
          <w:rFonts w:ascii="Times New Roman" w:cs="Times New Roman" w:eastAsia="Times New Roman" w:hAnsi="Times New Roman"/>
          <w:sz w:val="24"/>
          <w:szCs w:val="24"/>
        </w:rPr>
        <w:t xml:space="preserve">The low recurrence rate of pure preeclampsia (Type I) in subsequent pregnancies is one of the most clinically significant and mechanistically underexplained features of the disease. </w:t>
      </w:r>
      <w:r>
        <w:rPr>
          <w:rFonts w:ascii="Times New Roman" w:cs="Times New Roman" w:eastAsia="Times New Roman" w:hAnsi="Times New Roman"/>
          <w:sz w:val="18"/>
          <w:szCs w:val="18"/>
          <w:vertAlign w:val="superscript"/>
        </w:rPr>
        <w:t xml:space="preserve">[36,37]</w:t>
      </w:r>
      <w:r>
        <w:rPr>
          <w:rFonts w:ascii="Times New Roman" w:cs="Times New Roman" w:eastAsia="Times New Roman" w:hAnsi="Times New Roman"/>
          <w:sz w:val="24"/>
          <w:szCs w:val="24"/>
        </w:rPr>
        <w:t xml:space="preserve"> Estimates suggest that women with preeclampsia in their first pregnancy have a recurrence risk of approximately 15–25% — substantially lower than would be expected if the primary pathology were structural or immunological, where prior sensitisation typically increases rather than decreases recurrence risk.</w:t>
      </w:r>
    </w:p>
    <w:p>
      <w:pPr>
        <w:spacing w:after="180" w:line="276" w:lineRule="auto"/>
        <w:jc w:val="both"/>
      </w:pPr>
      <w:r>
        <w:rPr>
          <w:rFonts w:ascii="Times New Roman" w:cs="Times New Roman" w:eastAsia="Times New Roman" w:hAnsi="Times New Roman"/>
          <w:sz w:val="24"/>
          <w:szCs w:val="24"/>
        </w:rPr>
        <w:t xml:space="preserve">The BGR-collapse hypothesis predicts this precisely. Between pregnancies, the maternal organism undergoes </w:t>
      </w:r>
      <w:r>
        <w:rPr>
          <w:rFonts w:ascii="Times New Roman" w:cs="Times New Roman" w:eastAsia="Times New Roman" w:hAnsi="Times New Roman"/>
          <w:b/>
          <w:bCs/>
          <w:sz w:val="24"/>
          <w:szCs w:val="24"/>
        </w:rPr>
        <w:t xml:space="preserve">ontogenetic maturation</w:t>
      </w:r>
      <w:r>
        <w:rPr>
          <w:rFonts w:ascii="Times New Roman" w:cs="Times New Roman" w:eastAsia="Times New Roman" w:hAnsi="Times New Roman"/>
          <w:sz w:val="24"/>
          <w:szCs w:val="24"/>
        </w:rPr>
        <w:t xml:space="preserve">: the normal biological process through which the proportion of BGR-dominant S₋₁ cell populations decreases and the proportion of metabolically flexible S₀ populations increases. This is not a specific adaptive response to the prior preeclamptic episode — it is the normal trajectory of biological maturation that occurs in all women as they age from their early twenties into their late twenties and thirties. </w:t>
      </w:r>
      <w:r>
        <w:rPr>
          <w:rFonts w:ascii="Times New Roman" w:cs="Times New Roman" w:eastAsia="Times New Roman" w:hAnsi="Times New Roman"/>
          <w:sz w:val="18"/>
          <w:szCs w:val="18"/>
          <w:vertAlign w:val="superscript"/>
        </w:rPr>
        <w:t xml:space="preserve">[33]</w:t>
      </w:r>
    </w:p>
    <w:p>
      <w:pPr>
        <w:spacing w:after="180" w:line="276" w:lineRule="auto"/>
        <w:jc w:val="both"/>
      </w:pPr>
      <w:r>
        <w:rPr>
          <w:rFonts w:ascii="Times New Roman" w:cs="Times New Roman" w:eastAsia="Times New Roman" w:hAnsi="Times New Roman"/>
          <w:sz w:val="24"/>
          <w:szCs w:val="24"/>
        </w:rPr>
        <w:t xml:space="preserve">The result is that at the time of a subsequent pregnancy, the same woman has a higher BGR-collapse threshold: fewer S₋₁ cells means that hPL-driven glucose competition depletes a smaller proportion of the total BGR-dependent pool before compensatory mechanisms can stabilise the system. The clinical cascade does not initiate.</w:t>
      </w:r>
    </w:p>
    <w:p>
      <w:pPr>
        <w:spacing w:after="180" w:line="276" w:lineRule="auto"/>
        <w:jc w:val="both"/>
      </w:pPr>
      <w:r>
        <w:rPr>
          <w:rFonts w:ascii="Times New Roman" w:cs="Times New Roman" w:eastAsia="Times New Roman" w:hAnsi="Times New Roman"/>
          <w:sz w:val="24"/>
          <w:szCs w:val="24"/>
        </w:rPr>
        <w:t xml:space="preserve">This also explains why recurrence risk is higher when the interval between pregnancies is short (less than 18 months) — insufficient time for significant ontogenetic maturation — and lower when the interval is longer. </w:t>
      </w:r>
      <w:r>
        <w:rPr>
          <w:rFonts w:ascii="Times New Roman" w:cs="Times New Roman" w:eastAsia="Times New Roman" w:hAnsi="Times New Roman"/>
          <w:sz w:val="18"/>
          <w:szCs w:val="18"/>
          <w:vertAlign w:val="superscript"/>
        </w:rPr>
        <w:t xml:space="preserve">[36]</w:t>
      </w:r>
    </w:p>
    <w:p>
      <w:pPr>
        <w:pStyle w:val="Heading2"/>
        <w:spacing w:after="100" w:before="240"/>
      </w:pPr>
      <w:r>
        <w:rPr>
          <w:rFonts w:ascii="Arial" w:cs="Arial" w:eastAsia="Arial" w:hAnsi="Arial"/>
          <w:b/>
          <w:bCs/>
          <w:color w:val="2E75B6"/>
          <w:sz w:val="24"/>
          <w:szCs w:val="24"/>
        </w:rPr>
        <w:t xml:space="preserve">4.4 Preeclampsia on Pre-Existing Pathology Shows Higher Recurrence</w:t>
      </w:r>
    </w:p>
    <w:p>
      <w:pPr>
        <w:spacing w:after="180" w:line="276" w:lineRule="auto"/>
        <w:jc w:val="both"/>
      </w:pPr>
      <w:r>
        <w:rPr>
          <w:rFonts w:ascii="Times New Roman" w:cs="Times New Roman" w:eastAsia="Times New Roman" w:hAnsi="Times New Roman"/>
          <w:sz w:val="24"/>
          <w:szCs w:val="24"/>
        </w:rPr>
        <w:t xml:space="preserve">In contrast to Type I, preeclampsia associated with pre-existing metabolic or vascular disease (Type II) carries substantially higher recurrence risk. </w:t>
      </w:r>
      <w:r>
        <w:rPr>
          <w:rFonts w:ascii="Times New Roman" w:cs="Times New Roman" w:eastAsia="Times New Roman" w:hAnsi="Times New Roman"/>
          <w:sz w:val="18"/>
          <w:szCs w:val="18"/>
          <w:vertAlign w:val="superscript"/>
        </w:rPr>
        <w:t xml:space="preserve">[30,31]</w:t>
      </w:r>
      <w:r>
        <w:rPr>
          <w:rFonts w:ascii="Times New Roman" w:cs="Times New Roman" w:eastAsia="Times New Roman" w:hAnsi="Times New Roman"/>
          <w:sz w:val="24"/>
          <w:szCs w:val="24"/>
        </w:rPr>
        <w:t xml:space="preserve"> This is directly predicted by the two-phenotype model: the underlying BGR compromise that set the low initial threshold — chronic hyperglycaemia in diabetes, endothelial depletion in hypertension, Treg dysfunction in autoimmune disease — persists and typically worsens between pregnancies. The BGR-collapse threshold does not rise between pregnancies; it may fall further.</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5. The Unified BGR-Collapse Cascade</w:t>
      </w:r>
    </w:p>
    <w:p>
      <w:pPr>
        <w:spacing w:after="180" w:line="276" w:lineRule="auto"/>
        <w:jc w:val="both"/>
      </w:pPr>
      <w:r>
        <w:rPr>
          <w:rFonts w:ascii="Times New Roman" w:cs="Times New Roman" w:eastAsia="Times New Roman" w:hAnsi="Times New Roman"/>
          <w:sz w:val="24"/>
          <w:szCs w:val="24"/>
        </w:rPr>
        <w:t xml:space="preserve">Once the BGR-collapse threshold is reached — whether through constitutional immaturity (Type I) or pre-existing compromise (Type II) — the downstream pathogenetic cascade is identical in both phenotypes. The cascade proceeds through six sequential stages.</w:t>
      </w:r>
    </w:p>
    <w:p>
      <w:pPr>
        <w:spacing w:after="80"/>
      </w:pPr>
      <w:r>
        <w:rPr>
          <w:rFonts w:ascii="Times New Roman" w:cs="Times New Roman" w:eastAsia="Times New Roman" w:hAnsi="Times New Roman"/>
          <w:sz w:val="24"/>
          <w:szCs w:val="24"/>
        </w:rPr>
        <w:t xml:space="preserve"/>
      </w:r>
    </w:p>
    <w:p>
      <w:pPr>
        <w:pStyle w:val="Heading2"/>
        <w:spacing w:after="100" w:before="240"/>
      </w:pPr>
      <w:r>
        <w:rPr>
          <w:rFonts w:ascii="Arial" w:cs="Arial" w:eastAsia="Arial" w:hAnsi="Arial"/>
          <w:b/>
          <w:bCs/>
          <w:color w:val="2E75B6"/>
          <w:sz w:val="24"/>
          <w:szCs w:val="24"/>
        </w:rPr>
        <w:t xml:space="preserve">Stage 1: EPC Apoptosis → Endothelial Dysfunction → Hypertension</w:t>
      </w:r>
    </w:p>
    <w:p>
      <w:pPr>
        <w:spacing w:after="180" w:line="276" w:lineRule="auto"/>
        <w:jc w:val="both"/>
      </w:pPr>
      <w:r>
        <w:rPr>
          <w:rFonts w:ascii="Times New Roman" w:cs="Times New Roman" w:eastAsia="Times New Roman" w:hAnsi="Times New Roman"/>
          <w:sz w:val="24"/>
          <w:szCs w:val="24"/>
        </w:rPr>
        <w:t xml:space="preserve">hPL-driven glucose competition selectively apoptoses BGR-dominant EPC. The maternal endothelial repair deficit produces endothelial dysfunction: reduced nitric oxide bioavailability, increased vascular permeability, and vasoconstriction. This is the primary hypertensive mechanism. </w:t>
      </w:r>
      <w:r>
        <w:rPr>
          <w:rFonts w:ascii="Times New Roman" w:cs="Times New Roman" w:eastAsia="Times New Roman" w:hAnsi="Times New Roman"/>
          <w:sz w:val="18"/>
          <w:szCs w:val="18"/>
          <w:vertAlign w:val="superscript"/>
        </w:rPr>
        <w:t xml:space="preserve">[12,13,20]</w:t>
      </w:r>
    </w:p>
    <w:p>
      <w:pPr>
        <w:pStyle w:val="Heading2"/>
        <w:spacing w:after="100" w:before="240"/>
      </w:pPr>
      <w:r>
        <w:rPr>
          <w:rFonts w:ascii="Arial" w:cs="Arial" w:eastAsia="Arial" w:hAnsi="Arial"/>
          <w:b/>
          <w:bCs/>
          <w:color w:val="2E75B6"/>
          <w:sz w:val="24"/>
          <w:szCs w:val="24"/>
        </w:rPr>
        <w:t xml:space="preserve">Stage 2: Treg Depletion → Immune Activation → Inflammatory Amplification</w:t>
      </w:r>
    </w:p>
    <w:p>
      <w:pPr>
        <w:spacing w:after="180" w:line="276" w:lineRule="auto"/>
        <w:jc w:val="both"/>
      </w:pPr>
      <w:r>
        <w:rPr>
          <w:rFonts w:ascii="Times New Roman" w:cs="Times New Roman" w:eastAsia="Times New Roman" w:hAnsi="Times New Roman"/>
          <w:sz w:val="24"/>
          <w:szCs w:val="24"/>
        </w:rPr>
        <w:t xml:space="preserve">Glycolysis-dependent Treg populations are depleted by glucose competition, releasing pro-inflammatory effector T-cell activity. Systemic TNF-α, IL-6, and IL-17 elevation amplifies endothelial dysfunction and accelerates EPC apoptosis — creating the first positive feedback loop. </w:t>
      </w:r>
      <w:r>
        <w:rPr>
          <w:rFonts w:ascii="Times New Roman" w:cs="Times New Roman" w:eastAsia="Times New Roman" w:hAnsi="Times New Roman"/>
          <w:sz w:val="18"/>
          <w:szCs w:val="18"/>
          <w:vertAlign w:val="superscript"/>
        </w:rPr>
        <w:t xml:space="preserve">[22]</w:t>
      </w:r>
    </w:p>
    <w:p>
      <w:pPr>
        <w:pStyle w:val="Heading2"/>
        <w:spacing w:after="100" w:before="240"/>
      </w:pPr>
      <w:r>
        <w:rPr>
          <w:rFonts w:ascii="Arial" w:cs="Arial" w:eastAsia="Arial" w:hAnsi="Arial"/>
          <w:b/>
          <w:bCs/>
          <w:color w:val="2E75B6"/>
          <w:sz w:val="24"/>
          <w:szCs w:val="24"/>
        </w:rPr>
        <w:t xml:space="preserve">Stage 3: Thrombocyte Metabolic Failure → HELLP</w:t>
      </w:r>
    </w:p>
    <w:p>
      <w:pPr>
        <w:spacing w:after="180" w:line="276" w:lineRule="auto"/>
        <w:jc w:val="both"/>
      </w:pPr>
      <w:r>
        <w:rPr>
          <w:rFonts w:ascii="Times New Roman" w:cs="Times New Roman" w:eastAsia="Times New Roman" w:hAnsi="Times New Roman"/>
          <w:sz w:val="24"/>
          <w:szCs w:val="24"/>
        </w:rPr>
        <w:t xml:space="preserve">Anuclear thrombocytes with near-complete glycolytic dependence undergo metabolic failure. Pre-apoptotic activation generates microthrombosis in hepatic sinusoids (elevated liver enzymes — EL) and haemolysis from mechanical shearing (H). Thrombocytopenia follows (LP). The three components of HELLP are sequential consequences of a single metabolic event. </w:t>
      </w:r>
      <w:r>
        <w:rPr>
          <w:rFonts w:ascii="Times New Roman" w:cs="Times New Roman" w:eastAsia="Times New Roman" w:hAnsi="Times New Roman"/>
          <w:sz w:val="18"/>
          <w:szCs w:val="18"/>
          <w:vertAlign w:val="superscript"/>
        </w:rPr>
        <w:t xml:space="preserve">[1,21]</w:t>
      </w:r>
    </w:p>
    <w:p>
      <w:pPr>
        <w:pStyle w:val="Heading2"/>
        <w:spacing w:after="100" w:before="240"/>
      </w:pPr>
      <w:r>
        <w:rPr>
          <w:rFonts w:ascii="Arial" w:cs="Arial" w:eastAsia="Arial" w:hAnsi="Arial"/>
          <w:b/>
          <w:bCs/>
          <w:color w:val="2E75B6"/>
          <w:sz w:val="24"/>
          <w:szCs w:val="24"/>
        </w:rPr>
        <w:t xml:space="preserve">Stage 4: Erythroid Precursor Apoptosis → HbF Release → Oxidative Amplification</w:t>
      </w:r>
    </w:p>
    <w:p>
      <w:pPr>
        <w:spacing w:after="180" w:line="276" w:lineRule="auto"/>
        <w:jc w:val="both"/>
      </w:pPr>
      <w:r>
        <w:rPr>
          <w:rFonts w:ascii="Times New Roman" w:cs="Times New Roman" w:eastAsia="Times New Roman" w:hAnsi="Times New Roman"/>
          <w:sz w:val="24"/>
          <w:szCs w:val="24"/>
        </w:rPr>
        <w:t xml:space="preserve">BGR-dependent erythroid precursors apoptose before completing γ→β globin switching, releasing HbF. Free HbF scavenges NO and generates ROS via the Fenton reaction, producing the second positive feedback loop: ROS accelerate BGR-cell apoptosis → more HbF released → more ROS. </w:t>
      </w:r>
      <w:r>
        <w:rPr>
          <w:rFonts w:ascii="Times New Roman" w:cs="Times New Roman" w:eastAsia="Times New Roman" w:hAnsi="Times New Roman"/>
          <w:sz w:val="18"/>
          <w:szCs w:val="18"/>
          <w:vertAlign w:val="superscript"/>
        </w:rPr>
        <w:t xml:space="preserve">[8,10,11,23]</w:t>
      </w:r>
    </w:p>
    <w:p>
      <w:pPr>
        <w:pStyle w:val="Heading2"/>
        <w:spacing w:after="100" w:before="240"/>
      </w:pPr>
      <w:r>
        <w:rPr>
          <w:rFonts w:ascii="Arial" w:cs="Arial" w:eastAsia="Arial" w:hAnsi="Arial"/>
          <w:b/>
          <w:bCs/>
          <w:color w:val="2E75B6"/>
          <w:sz w:val="24"/>
          <w:szCs w:val="24"/>
        </w:rPr>
        <w:t xml:space="preserve">Stage 5: Intravascular MMP Release → Albumin Proteolysis → Oncotic Collapse → Vasoconstriction</w:t>
      </w:r>
    </w:p>
    <w:p>
      <w:pPr>
        <w:spacing w:after="180" w:line="276" w:lineRule="auto"/>
        <w:jc w:val="both"/>
      </w:pPr>
      <w:r>
        <w:rPr>
          <w:rFonts w:ascii="Times New Roman" w:cs="Times New Roman" w:eastAsia="Times New Roman" w:hAnsi="Times New Roman"/>
          <w:sz w:val="24"/>
          <w:szCs w:val="24"/>
        </w:rPr>
        <w:t xml:space="preserve">Mass BGR-cell apoptosis releases intracellular MMPs into the bloodstream. Intravascular MMP activity cleaves albumin into non-reabsorbable polypeptide fragments — producing proteinuria through degradation rather than glomerular filtration failure. </w:t>
      </w:r>
      <w:r>
        <w:rPr>
          <w:rFonts w:ascii="Times New Roman" w:cs="Times New Roman" w:eastAsia="Times New Roman" w:hAnsi="Times New Roman"/>
          <w:sz w:val="18"/>
          <w:szCs w:val="18"/>
          <w:vertAlign w:val="superscript"/>
        </w:rPr>
        <w:t xml:space="preserve">[14,24]</w:t>
      </w:r>
      <w:r>
        <w:rPr>
          <w:rFonts w:ascii="Times New Roman" w:cs="Times New Roman" w:eastAsia="Times New Roman" w:hAnsi="Times New Roman"/>
          <w:sz w:val="24"/>
          <w:szCs w:val="24"/>
        </w:rPr>
        <w:t xml:space="preserve"> Oncotic pressure falls, fluid shifts to interstitium (generalised oedema), effective circulating volume contracts, and RAAS/sympathetic activation drives further vasoconstriction — amplifying hypertension. </w:t>
      </w:r>
      <w:r>
        <w:rPr>
          <w:rFonts w:ascii="Times New Roman" w:cs="Times New Roman" w:eastAsia="Times New Roman" w:hAnsi="Times New Roman"/>
          <w:sz w:val="18"/>
          <w:szCs w:val="18"/>
          <w:vertAlign w:val="superscript"/>
        </w:rPr>
        <w:t xml:space="preserve">[25,26]</w:t>
      </w:r>
    </w:p>
    <w:p>
      <w:pPr>
        <w:pStyle w:val="Heading2"/>
        <w:spacing w:after="100" w:before="240"/>
      </w:pPr>
      <w:r>
        <w:rPr>
          <w:rFonts w:ascii="Arial" w:cs="Arial" w:eastAsia="Arial" w:hAnsi="Arial"/>
          <w:b/>
          <w:bCs/>
          <w:color w:val="2E75B6"/>
          <w:sz w:val="24"/>
          <w:szCs w:val="24"/>
        </w:rPr>
        <w:t xml:space="preserve">Stage 6: Cerebral Oedema → Functional Neuronal Hypoglycaemia → Eclamptic Seizures</w:t>
      </w:r>
    </w:p>
    <w:p>
      <w:pPr>
        <w:spacing w:after="180" w:line="276" w:lineRule="auto"/>
        <w:jc w:val="both"/>
      </w:pPr>
      <w:r>
        <w:rPr>
          <w:rFonts w:ascii="Times New Roman" w:cs="Times New Roman" w:eastAsia="Times New Roman" w:hAnsi="Times New Roman"/>
          <w:sz w:val="24"/>
          <w:szCs w:val="24"/>
        </w:rPr>
        <w:t xml:space="preserve">Cerebral oedema — from oncotic pressure collapse and blood-brain barrier disruption — increases the diffusion distance between capillary endothelium and neuronal membrane. Combined with hPL-reduced systemic glucose gradient, this produces </w:t>
      </w:r>
      <w:r>
        <w:rPr>
          <w:rFonts w:ascii="Times New Roman" w:cs="Times New Roman" w:eastAsia="Times New Roman" w:hAnsi="Times New Roman"/>
          <w:b/>
          <w:bCs/>
          <w:sz w:val="24"/>
          <w:szCs w:val="24"/>
        </w:rPr>
        <w:t xml:space="preserve">functional neuronal hypoglycaemia at normal blood glucose</w:t>
      </w:r>
      <w:r>
        <w:rPr>
          <w:rFonts w:ascii="Times New Roman" w:cs="Times New Roman" w:eastAsia="Times New Roman" w:hAnsi="Times New Roman"/>
          <w:sz w:val="24"/>
          <w:szCs w:val="24"/>
        </w:rPr>
        <w:t xml:space="preserve">: glucose concentration at the neuronal membrane is critically reduced despite normal peripheral measurement. ATP depletion impairs Na⁺/K⁺-ATPase, membrane depolarisation occurs, and tonic-clonic seizures result. </w:t>
      </w:r>
      <w:r>
        <w:rPr>
          <w:rFonts w:ascii="Times New Roman" w:cs="Times New Roman" w:eastAsia="Times New Roman" w:hAnsi="Times New Roman"/>
          <w:sz w:val="18"/>
          <w:szCs w:val="18"/>
          <w:vertAlign w:val="superscript"/>
        </w:rPr>
        <w:t xml:space="preserve">[17,27,28]</w:t>
      </w:r>
    </w:p>
    <w:p>
      <w:pPr>
        <w:pBdr>
          <w:top w:val="single" w:color="CCCCCC" w:sz="4" w:space="2"/>
          <w:bottom w:val="single" w:color="CCCCCC" w:sz="4" w:space="2"/>
          <w:left w:val="thick" w:color="E67E22" w:sz="14" w:space="8"/>
        </w:pBdr>
        <w:shd w:fill="FEF9F0"/>
        <w:spacing w:after="180" w:before="120"/>
        <w:ind w:left="240" w:right="240"/>
      </w:pPr>
      <w:r>
        <w:rPr>
          <w:rFonts w:ascii="Arial" w:cs="Arial" w:eastAsia="Arial" w:hAnsi="Arial"/>
          <w:b/>
          <w:bCs/>
          <w:sz w:val="22"/>
          <w:szCs w:val="22"/>
        </w:rPr>
        <w:t xml:space="preserve">Why magnesium sulphate works: </w:t>
      </w:r>
      <w:r>
        <w:rPr>
          <w:rFonts w:ascii="Times New Roman" w:cs="Times New Roman" w:eastAsia="Times New Roman" w:hAnsi="Times New Roman"/>
          <w:sz w:val="22"/>
          <w:szCs w:val="22"/>
        </w:rPr>
        <w:t xml:space="preserve">MgSO₄ blocks NMDA receptors activated by glutamate from metabolically stressed neurons. This is not symptomatic seizure suppression — it directly targets the membrane instability produced by functional glucose deprivation. This explains why anti-hypertensive therapy alone does not prevent eclampsia: blood pressure control does not address the neuronal metabolic vulnerability. The efficacy of MgSO₄ is mechanistic evidence for the neuronal hypoglycaemia model.</w:t>
      </w:r>
      <w:r>
        <w:rPr>
          <w:rFonts w:ascii="Times New Roman" w:cs="Times New Roman" w:eastAsia="Times New Roman" w:hAnsi="Times New Roman"/>
          <w:sz w:val="18"/>
          <w:szCs w:val="18"/>
          <w:vertAlign w:val="superscript"/>
        </w:rPr>
        <w:t xml:space="preserve">[16,29]</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6. Integrated Comparison of Two Phenotypes</w:t>
      </w:r>
    </w:p>
    <w:p>
      <w:pPr>
        <w:spacing w:after="80"/>
      </w:pPr>
      <w:r>
        <w:rPr>
          <w:rFonts w:ascii="Times New Roman" w:cs="Times New Roman" w:eastAsia="Times New Roman" w:hAnsi="Times New Roman"/>
          <w:sz w:val="24"/>
          <w:szCs w:val="24"/>
        </w:rPr>
        <w:t xml:space="preserve"/>
      </w:r>
    </w:p>
    <w:p>
      <w:pPr>
        <w:spacing w:after="120"/>
      </w:pPr>
      <w:r>
        <w:rPr>
          <w:rFonts w:ascii="Arial" w:cs="Arial" w:eastAsia="Arial" w:hAnsi="Arial"/>
          <w:b/>
          <w:bCs/>
          <w:sz w:val="22"/>
          <w:szCs w:val="22"/>
        </w:rPr>
        <w:t xml:space="preserve">Table 2.  </w:t>
      </w:r>
      <w:r>
        <w:rPr>
          <w:rFonts w:ascii="Arial" w:cs="Arial" w:eastAsia="Arial" w:hAnsi="Arial"/>
          <w:i/>
          <w:iCs/>
          <w:sz w:val="22"/>
          <w:szCs w:val="22"/>
        </w:rPr>
        <w:t xml:space="preserve">Comparison of Type I and Type II preeclampsia within the BGR-collapse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18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3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I (Pure / Young Primigravida)</w:t>
            </w:r>
          </w:p>
        </w:tc>
        <w:tc>
          <w:tcPr>
            <w:tcW w:type="dxa" w:w="31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II (Pre-existing Pathology)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Typical patient</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Young (&lt; 25 years), primigravida, no prior disease</w:t>
            </w:r>
          </w:p>
        </w:tc>
        <w:tc>
          <w:tcPr>
            <w:tcW w:type="dxa" w:w="3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Any age, prior chronic disease (DM, HTN, AID, obesity, CKD)</w:t>
            </w:r>
          </w:p>
        </w:tc>
      </w:tr>
      <w:tr>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Primary BGR compromise</w:t>
            </w:r>
          </w:p>
        </w:tc>
        <w:tc>
          <w:tcPr>
            <w:tcW w:type="dxa" w:w="33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Constitutional ontogenetic immaturity: high S₋₁ cell proportion</w:t>
            </w:r>
          </w:p>
        </w:tc>
        <w:tc>
          <w:tcPr>
            <w:tcW w:type="dxa" w:w="3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Pre-existing metabolic/vascular disease depleting BGR reserve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HbF significance</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Dual: placental stress + maternal erythroid immaturity</w:t>
            </w:r>
          </w:p>
        </w:tc>
        <w:tc>
          <w:tcPr>
            <w:tcW w:type="dxa" w:w="3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Primarily placental + disease-related erythroid stress</w:t>
            </w:r>
          </w:p>
        </w:tc>
      </w:tr>
      <w:tr>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Gestational onset</w:t>
            </w:r>
          </w:p>
        </w:tc>
        <w:tc>
          <w:tcPr>
            <w:tcW w:type="dxa" w:w="33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Typically ≥ 34 weeks (late-onset)</w:t>
            </w:r>
          </w:p>
        </w:tc>
        <w:tc>
          <w:tcPr>
            <w:tcW w:type="dxa" w:w="3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Often &lt; 34 weeks (early-onset)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Severity</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Variable; often moderate</w:t>
            </w:r>
          </w:p>
        </w:tc>
        <w:tc>
          <w:tcPr>
            <w:tcW w:type="dxa" w:w="3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Typically severe; higher HELLP rate</w:t>
            </w:r>
          </w:p>
        </w:tc>
      </w:tr>
      <w:tr>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Effect of rest</w:t>
            </w:r>
          </w:p>
        </w:tc>
        <w:tc>
          <w:tcPr>
            <w:tcW w:type="dxa" w:w="33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Significant amelioration: reduces muscle glucose competition</w:t>
            </w:r>
          </w:p>
        </w:tc>
        <w:tc>
          <w:tcPr>
            <w:tcW w:type="dxa" w:w="3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Partial benefit: underlying BGR compromise limits response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Effect of delivery</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Rapid complete resolution</w:t>
            </w:r>
          </w:p>
        </w:tc>
        <w:tc>
          <w:tcPr>
            <w:tcW w:type="dxa" w:w="3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Rapid resolution of acute cascade; underlying disease persists</w:t>
            </w:r>
          </w:p>
        </w:tc>
      </w:tr>
      <w:tr>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Recurrence risk</w:t>
            </w:r>
          </w:p>
        </w:tc>
        <w:tc>
          <w:tcPr>
            <w:tcW w:type="dxa" w:w="33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Low (~15%): ontogenetic maturation raises BGR threshold</w:t>
            </w:r>
          </w:p>
        </w:tc>
        <w:tc>
          <w:tcPr>
            <w:tcW w:type="dxa" w:w="3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High (up to 65%): underlying BGR compromise persists/worsens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Mechanism of recurrence</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Insufficient maturation interval (short interpregnancy gap)</w:t>
            </w:r>
          </w:p>
        </w:tc>
        <w:tc>
          <w:tcPr>
            <w:tcW w:type="dxa" w:w="31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Persistence or progression of underlying BGR-compromising condition</w:t>
            </w:r>
          </w:p>
        </w:tc>
      </w:tr>
      <w:tr>
        <w:tc>
          <w:tcPr>
            <w:tcW w:type="dxa" w:w="24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Preventive implication</w:t>
            </w:r>
          </w:p>
        </w:tc>
        <w:tc>
          <w:tcPr>
            <w:tcW w:type="dxa" w:w="33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BGR maturation markers before conception; optimise interpregnancy interval</w:t>
            </w:r>
          </w:p>
        </w:tc>
        <w:tc>
          <w:tcPr>
            <w:tcW w:type="dxa" w:w="318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Treat underlying condition; BGR metabolic profiling; early sFlt-1 monitoring</w:t>
            </w:r>
          </w:p>
        </w:tc>
      </w:tr>
    </w:tbl>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DM = diabetes mellitus; HTN = hypertension; AID = autoimmune disease; CKD = chronic kidney disease; BGR = Basal Glycolytic Regime.</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7. Testable Predictions</w:t>
      </w:r>
    </w:p>
    <w:p>
      <w:pPr>
        <w:pStyle w:val="ListParagraph"/>
        <w:numPr>
          <w:ilvl w:val="0"/>
          <w:numId w:val="3"/>
        </w:numPr>
        <w:spacing w:after="120"/>
      </w:pPr>
      <w:r>
        <w:rPr>
          <w:rFonts w:ascii="Times New Roman" w:cs="Times New Roman" w:eastAsia="Times New Roman" w:hAnsi="Times New Roman"/>
          <w:b/>
          <w:bCs/>
          <w:sz w:val="24"/>
          <w:szCs w:val="24"/>
        </w:rPr>
        <w:t xml:space="preserve">BGR maturation profile before conception: </w:t>
      </w:r>
      <w:r>
        <w:rPr>
          <w:rFonts w:ascii="Times New Roman" w:cs="Times New Roman" w:eastAsia="Times New Roman" w:hAnsi="Times New Roman"/>
          <w:sz w:val="24"/>
          <w:szCs w:val="24"/>
        </w:rPr>
        <w:t xml:space="preserve">Women who develop Type I preeclampsia should show higher pre-pregnancy proportions of BGR-dominant circulating cells (EPC count, reticulocyte HbF fraction, Treg glycolytic reserve) than age-matched women who do not. This is measurable before conception and would constitute a pre-pregnancy risk marker independent of all existing models. </w:t>
      </w:r>
      <w:r>
        <w:rPr>
          <w:rFonts w:ascii="Times New Roman" w:cs="Times New Roman" w:eastAsia="Times New Roman" w:hAnsi="Times New Roman"/>
          <w:sz w:val="18"/>
          <w:szCs w:val="18"/>
          <w:vertAlign w:val="superscript"/>
        </w:rPr>
        <w:t xml:space="preserve">[20,22]</w:t>
      </w:r>
    </w:p>
    <w:p>
      <w:pPr>
        <w:pStyle w:val="ListParagraph"/>
        <w:numPr>
          <w:ilvl w:val="0"/>
          <w:numId w:val="3"/>
        </w:numPr>
        <w:spacing w:after="120"/>
      </w:pPr>
      <w:r>
        <w:rPr>
          <w:rFonts w:ascii="Times New Roman" w:cs="Times New Roman" w:eastAsia="Times New Roman" w:hAnsi="Times New Roman"/>
          <w:b/>
          <w:bCs/>
          <w:sz w:val="24"/>
          <w:szCs w:val="24"/>
        </w:rPr>
        <w:t xml:space="preserve">Ontogenetic maturation between pregnancies: </w:t>
      </w:r>
      <w:r>
        <w:rPr>
          <w:rFonts w:ascii="Times New Roman" w:cs="Times New Roman" w:eastAsia="Times New Roman" w:hAnsi="Times New Roman"/>
          <w:sz w:val="24"/>
          <w:szCs w:val="24"/>
        </w:rPr>
        <w:t xml:space="preserve">In women who had Type I preeclampsia, BGR-dominant cell proportions should be measurably lower at the time of their second pregnancy than at the time of their first. The magnitude of this decrease should correlate inversely with recurrence risk and directly with the interpregnancy interval. </w:t>
      </w:r>
      <w:r>
        <w:rPr>
          <w:rFonts w:ascii="Times New Roman" w:cs="Times New Roman" w:eastAsia="Times New Roman" w:hAnsi="Times New Roman"/>
          <w:sz w:val="18"/>
          <w:szCs w:val="18"/>
          <w:vertAlign w:val="superscript"/>
        </w:rPr>
        <w:t xml:space="preserve">[33,36]</w:t>
      </w:r>
    </w:p>
    <w:p>
      <w:pPr>
        <w:pStyle w:val="ListParagraph"/>
        <w:numPr>
          <w:ilvl w:val="0"/>
          <w:numId w:val="3"/>
        </w:numPr>
        <w:spacing w:after="120"/>
      </w:pPr>
      <w:r>
        <w:rPr>
          <w:rFonts w:ascii="Times New Roman" w:cs="Times New Roman" w:eastAsia="Times New Roman" w:hAnsi="Times New Roman"/>
          <w:b/>
          <w:bCs/>
          <w:sz w:val="24"/>
          <w:szCs w:val="24"/>
        </w:rPr>
        <w:t xml:space="preserve">Dual-source HbF: </w:t>
      </w:r>
      <w:r>
        <w:rPr>
          <w:rFonts w:ascii="Times New Roman" w:cs="Times New Roman" w:eastAsia="Times New Roman" w:hAnsi="Times New Roman"/>
          <w:sz w:val="24"/>
          <w:szCs w:val="24"/>
        </w:rPr>
        <w:t xml:space="preserve">Isotopic or globin chain ratio analysis distinguishing fetal-origin from maternal-origin HbF in maternal blood should reveal a maternal erythroid precursor contribution that correlates with constitutional BGR-maturity markers and is higher in younger primigravidae. </w:t>
      </w:r>
      <w:r>
        <w:rPr>
          <w:rFonts w:ascii="Times New Roman" w:cs="Times New Roman" w:eastAsia="Times New Roman" w:hAnsi="Times New Roman"/>
          <w:sz w:val="18"/>
          <w:szCs w:val="18"/>
          <w:vertAlign w:val="superscript"/>
        </w:rPr>
        <w:t xml:space="preserve">[11,23]</w:t>
      </w:r>
    </w:p>
    <w:p>
      <w:pPr>
        <w:pStyle w:val="ListParagraph"/>
        <w:numPr>
          <w:ilvl w:val="0"/>
          <w:numId w:val="3"/>
        </w:numPr>
        <w:spacing w:after="120"/>
      </w:pPr>
      <w:r>
        <w:rPr>
          <w:rFonts w:ascii="Times New Roman" w:cs="Times New Roman" w:eastAsia="Times New Roman" w:hAnsi="Times New Roman"/>
          <w:b/>
          <w:bCs/>
          <w:sz w:val="24"/>
          <w:szCs w:val="24"/>
        </w:rPr>
        <w:t xml:space="preserve">Rest effect on BGR-cell survival: </w:t>
      </w:r>
      <w:r>
        <w:rPr>
          <w:rFonts w:ascii="Times New Roman" w:cs="Times New Roman" w:eastAsia="Times New Roman" w:hAnsi="Times New Roman"/>
          <w:sz w:val="24"/>
          <w:szCs w:val="24"/>
        </w:rPr>
        <w:t xml:space="preserve">In women with established preeclampsia, physical rest (compared to normal activity) should produce measurably increased EPC survival, reduced thrombocyte apoptosis rate, and reduced circulating MMP activity — independent of blood pressure changes. </w:t>
      </w:r>
      <w:r>
        <w:rPr>
          <w:rFonts w:ascii="Times New Roman" w:cs="Times New Roman" w:eastAsia="Times New Roman" w:hAnsi="Times New Roman"/>
          <w:sz w:val="18"/>
          <w:szCs w:val="18"/>
          <w:vertAlign w:val="superscript"/>
        </w:rPr>
        <w:t xml:space="preserve">[34]</w:t>
      </w:r>
    </w:p>
    <w:p>
      <w:pPr>
        <w:pStyle w:val="ListParagraph"/>
        <w:numPr>
          <w:ilvl w:val="0"/>
          <w:numId w:val="3"/>
        </w:numPr>
        <w:spacing w:after="120"/>
      </w:pPr>
      <w:r>
        <w:rPr>
          <w:rFonts w:ascii="Times New Roman" w:cs="Times New Roman" w:eastAsia="Times New Roman" w:hAnsi="Times New Roman"/>
          <w:b/>
          <w:bCs/>
          <w:sz w:val="24"/>
          <w:szCs w:val="24"/>
        </w:rPr>
        <w:t xml:space="preserve">MMP-albumin cleavage products in urine: </w:t>
      </w:r>
      <w:r>
        <w:rPr>
          <w:rFonts w:ascii="Times New Roman" w:cs="Times New Roman" w:eastAsia="Times New Roman" w:hAnsi="Times New Roman"/>
          <w:sz w:val="24"/>
          <w:szCs w:val="24"/>
        </w:rPr>
        <w:t xml:space="preserve">Proteinuria in preeclampsia should show a qualitatively different albumin fragment profile than nephrotic syndrome proteinuria — MMP-specific cleavage fragments rather than intact filtered albumin — detectable by mass spectrometry. </w:t>
      </w:r>
      <w:r>
        <w:rPr>
          <w:rFonts w:ascii="Times New Roman" w:cs="Times New Roman" w:eastAsia="Times New Roman" w:hAnsi="Times New Roman"/>
          <w:sz w:val="18"/>
          <w:szCs w:val="18"/>
          <w:vertAlign w:val="superscript"/>
        </w:rPr>
        <w:t xml:space="preserve">[14,24]</w:t>
      </w:r>
    </w:p>
    <w:p>
      <w:pPr>
        <w:pStyle w:val="ListParagraph"/>
        <w:numPr>
          <w:ilvl w:val="0"/>
          <w:numId w:val="3"/>
        </w:numPr>
        <w:spacing w:after="120"/>
      </w:pPr>
      <w:r>
        <w:rPr>
          <w:rFonts w:ascii="Times New Roman" w:cs="Times New Roman" w:eastAsia="Times New Roman" w:hAnsi="Times New Roman"/>
          <w:b/>
          <w:bCs/>
          <w:sz w:val="24"/>
          <w:szCs w:val="24"/>
        </w:rPr>
        <w:t xml:space="preserve">Functional cerebral hypoglycaemia: </w:t>
      </w:r>
      <w:r>
        <w:rPr>
          <w:rFonts w:ascii="Times New Roman" w:cs="Times New Roman" w:eastAsia="Times New Roman" w:hAnsi="Times New Roman"/>
          <w:sz w:val="24"/>
          <w:szCs w:val="24"/>
        </w:rPr>
        <w:t xml:space="preserve">Cerebral microdialysis or advanced MR spectroscopy in eclampsia should demonstrate reduced interstitial glucose concentration in pericerebral oedematous regions at normal blood glucose, directly confirming the neuronal glucose deprivation model. </w:t>
      </w:r>
      <w:r>
        <w:rPr>
          <w:rFonts w:ascii="Times New Roman" w:cs="Times New Roman" w:eastAsia="Times New Roman" w:hAnsi="Times New Roman"/>
          <w:sz w:val="18"/>
          <w:szCs w:val="18"/>
          <w:vertAlign w:val="superscript"/>
        </w:rPr>
        <w:t xml:space="preserve">[27,28]</w:t>
      </w:r>
    </w:p>
    <w:p>
      <w:pPr>
        <w:pStyle w:val="ListParagraph"/>
        <w:numPr>
          <w:ilvl w:val="0"/>
          <w:numId w:val="3"/>
        </w:numPr>
        <w:spacing w:after="120"/>
      </w:pPr>
      <w:r>
        <w:rPr>
          <w:rFonts w:ascii="Times New Roman" w:cs="Times New Roman" w:eastAsia="Times New Roman" w:hAnsi="Times New Roman"/>
          <w:b/>
          <w:bCs/>
          <w:sz w:val="24"/>
          <w:szCs w:val="24"/>
        </w:rPr>
        <w:t xml:space="preserve">Type II BGR profiling: </w:t>
      </w:r>
      <w:r>
        <w:rPr>
          <w:rFonts w:ascii="Times New Roman" w:cs="Times New Roman" w:eastAsia="Times New Roman" w:hAnsi="Times New Roman"/>
          <w:sz w:val="24"/>
          <w:szCs w:val="24"/>
        </w:rPr>
        <w:t xml:space="preserve">In women with pre-existing BGR-compromising conditions, pre-pregnancy measurement of EPC glycolytic reserve and thrombocyte metabolic capacity should predict both preeclampsia onset gestational age and severity, outperforming sFlt-1/PlGF alone. </w:t>
      </w:r>
      <w:r>
        <w:rPr>
          <w:rFonts w:ascii="Times New Roman" w:cs="Times New Roman" w:eastAsia="Times New Roman" w:hAnsi="Times New Roman"/>
          <w:sz w:val="18"/>
          <w:szCs w:val="18"/>
          <w:vertAlign w:val="superscript"/>
        </w:rPr>
        <w:t xml:space="preserve">[38,39,40,41,42]</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8. Discussion</w:t>
      </w:r>
    </w:p>
    <w:p>
      <w:pPr>
        <w:pStyle w:val="Heading2"/>
        <w:spacing w:after="100" w:before="240"/>
      </w:pPr>
      <w:r>
        <w:rPr>
          <w:rFonts w:ascii="Arial" w:cs="Arial" w:eastAsia="Arial" w:hAnsi="Arial"/>
          <w:b/>
          <w:bCs/>
          <w:color w:val="2E75B6"/>
          <w:sz w:val="24"/>
          <w:szCs w:val="24"/>
        </w:rPr>
        <w:t xml:space="preserve">8.1 Unification of Two Apparently Different Clinical Entities</w:t>
      </w:r>
    </w:p>
    <w:p>
      <w:pPr>
        <w:spacing w:after="180" w:line="276" w:lineRule="auto"/>
        <w:jc w:val="both"/>
      </w:pPr>
      <w:r>
        <w:rPr>
          <w:rFonts w:ascii="Times New Roman" w:cs="Times New Roman" w:eastAsia="Times New Roman" w:hAnsi="Times New Roman"/>
          <w:sz w:val="24"/>
          <w:szCs w:val="24"/>
        </w:rPr>
        <w:t xml:space="preserve">The two-phenotype model reframes pure preeclampsia in young primigravidae and preeclampsia-on-comorbidity as different expressions of the same underlying mechanism — BGR collapse — operating from different starting positions. Type I begins from a high but normal S₋₁ proportion (biological youth) and requires high hPL concentrations to cross the collapse threshold. Type II begins from a lower, already-compromised BGR baseline and crosses the threshold earlier and more severely.</w:t>
      </w:r>
    </w:p>
    <w:p>
      <w:pPr>
        <w:spacing w:after="180" w:line="276" w:lineRule="auto"/>
        <w:jc w:val="both"/>
      </w:pPr>
      <w:r>
        <w:rPr>
          <w:rFonts w:ascii="Times New Roman" w:cs="Times New Roman" w:eastAsia="Times New Roman" w:hAnsi="Times New Roman"/>
          <w:sz w:val="24"/>
          <w:szCs w:val="24"/>
        </w:rPr>
        <w:t xml:space="preserve">This unification explains why both phenotypes respond to the same interventions (delivery, MgSO₄) and share the same clinical cascade (HELLP, eclampsia) despite differing in epidemiology, timing, severity, and recurrence — they share a final common pathway, reached from different directions.</w:t>
      </w:r>
    </w:p>
    <w:p>
      <w:pPr>
        <w:pStyle w:val="Heading2"/>
        <w:spacing w:after="100" w:before="240"/>
      </w:pPr>
      <w:r>
        <w:rPr>
          <w:rFonts w:ascii="Arial" w:cs="Arial" w:eastAsia="Arial" w:hAnsi="Arial"/>
          <w:b/>
          <w:bCs/>
          <w:color w:val="2E75B6"/>
          <w:sz w:val="24"/>
          <w:szCs w:val="24"/>
        </w:rPr>
        <w:t xml:space="preserve">8.2 Relationship to the sFlt-1/PlGF Model</w:t>
      </w:r>
    </w:p>
    <w:p>
      <w:pPr>
        <w:spacing w:after="180" w:line="276" w:lineRule="auto"/>
        <w:jc w:val="both"/>
      </w:pPr>
      <w:r>
        <w:rPr>
          <w:rFonts w:ascii="Times New Roman" w:cs="Times New Roman" w:eastAsia="Times New Roman" w:hAnsi="Times New Roman"/>
          <w:sz w:val="24"/>
          <w:szCs w:val="24"/>
        </w:rPr>
        <w:t xml:space="preserve">The angiogenic imbalance model is not contradicted by the BGR-collapse hypothesis. sFlt-1 elevation is reinterpreted as a </w:t>
      </w:r>
      <w:r>
        <w:rPr>
          <w:rFonts w:ascii="Times New Roman" w:cs="Times New Roman" w:eastAsia="Times New Roman" w:hAnsi="Times New Roman"/>
          <w:i/>
          <w:iCs/>
          <w:sz w:val="24"/>
          <w:szCs w:val="24"/>
        </w:rPr>
        <w:t xml:space="preserve">downstream amplifier</w:t>
      </w:r>
      <w:r>
        <w:rPr>
          <w:rFonts w:ascii="Times New Roman" w:cs="Times New Roman" w:eastAsia="Times New Roman" w:hAnsi="Times New Roman"/>
          <w:sz w:val="24"/>
          <w:szCs w:val="24"/>
        </w:rPr>
        <w:t xml:space="preserve"> of endothelial dysfunction initiated by EPC apoptosis, rather than its primary cause. BGR-collapse generates the initial endothelial damage; sFlt-1 amplifies it by suppressing VEGF-dependent endothelial survival signalling. The two mechanisms operate sequentially. This interpretation predicts that sFlt-1/PlGF changes should </w:t>
      </w:r>
      <w:r>
        <w:rPr>
          <w:rFonts w:ascii="Times New Roman" w:cs="Times New Roman" w:eastAsia="Times New Roman" w:hAnsi="Times New Roman"/>
          <w:i/>
          <w:iCs/>
          <w:sz w:val="24"/>
          <w:szCs w:val="24"/>
        </w:rPr>
        <w:t xml:space="preserve">follow</w:t>
      </w:r>
      <w:r>
        <w:rPr>
          <w:rFonts w:ascii="Times New Roman" w:cs="Times New Roman" w:eastAsia="Times New Roman" w:hAnsi="Times New Roman"/>
          <w:sz w:val="24"/>
          <w:szCs w:val="24"/>
        </w:rPr>
        <w:t xml:space="preserve"> rather than precede the earliest BGR-cell depletion markers — testable with sufficiently longitudinal biomarker sampling. </w:t>
      </w:r>
      <w:r>
        <w:rPr>
          <w:rFonts w:ascii="Times New Roman" w:cs="Times New Roman" w:eastAsia="Times New Roman" w:hAnsi="Times New Roman"/>
          <w:sz w:val="18"/>
          <w:szCs w:val="18"/>
          <w:vertAlign w:val="superscript"/>
        </w:rPr>
        <w:t xml:space="preserve">[4,15]</w:t>
      </w:r>
    </w:p>
    <w:p>
      <w:pPr>
        <w:pStyle w:val="Heading2"/>
        <w:spacing w:after="100" w:before="240"/>
      </w:pPr>
      <w:r>
        <w:rPr>
          <w:rFonts w:ascii="Arial" w:cs="Arial" w:eastAsia="Arial" w:hAnsi="Arial"/>
          <w:b/>
          <w:bCs/>
          <w:color w:val="2E75B6"/>
          <w:sz w:val="24"/>
          <w:szCs w:val="24"/>
        </w:rPr>
        <w:t xml:space="preserve">8.3 Implications for Preconception Counselling</w:t>
      </w:r>
    </w:p>
    <w:p>
      <w:pPr>
        <w:spacing w:after="180" w:line="276" w:lineRule="auto"/>
        <w:jc w:val="both"/>
      </w:pPr>
      <w:r>
        <w:rPr>
          <w:rFonts w:ascii="Times New Roman" w:cs="Times New Roman" w:eastAsia="Times New Roman" w:hAnsi="Times New Roman"/>
          <w:sz w:val="24"/>
          <w:szCs w:val="24"/>
        </w:rPr>
        <w:t xml:space="preserve">If BGR-dominant cell proportions are measurable before pregnancy and predict preeclampsia risk, preconception metabolic profiling becomes clinically meaningful. For Type I risk (young women with high S₋₁ proportions), optimising interpregnancy interval allows ontogenetic maturation. For Type II risk (women with BGR-compromising comorbidities), treating the underlying condition before conception reduces the baseline BGR deficit. Both strategies are preventive rather than reactive — a fundamental shift from current management which is necessarily reactive to clinical manifestation. </w:t>
      </w:r>
      <w:r>
        <w:rPr>
          <w:rFonts w:ascii="Times New Roman" w:cs="Times New Roman" w:eastAsia="Times New Roman" w:hAnsi="Times New Roman"/>
          <w:sz w:val="18"/>
          <w:szCs w:val="18"/>
          <w:vertAlign w:val="superscript"/>
        </w:rPr>
        <w:t xml:space="preserve">[2,30]</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9. Conclusion</w:t>
      </w:r>
    </w:p>
    <w:p>
      <w:pPr>
        <w:spacing w:after="180" w:line="276" w:lineRule="auto"/>
        <w:jc w:val="both"/>
      </w:pPr>
      <w:r>
        <w:rPr>
          <w:rFonts w:ascii="Times New Roman" w:cs="Times New Roman" w:eastAsia="Times New Roman" w:hAnsi="Times New Roman"/>
          <w:sz w:val="24"/>
          <w:szCs w:val="24"/>
        </w:rPr>
        <w:t xml:space="preserve">Preeclampsia, HELLP syndrome, and eclampsia represent a unified cascade of Basal Glycolytic Regime collapse in glycolysis-dependent maternal cell populations, triggered by human placental lactogen-mediated glucose competition. Two phenotypes share this final common pathway but differ in the primary determinant of BGR vulnerability: constitutional ontogenetic immaturity in young primigravidae (Type I) and pre-existing BGR compromise from chronic disease (Type II).</w:t>
      </w:r>
    </w:p>
    <w:p>
      <w:pPr>
        <w:spacing w:after="180" w:line="276" w:lineRule="auto"/>
        <w:jc w:val="both"/>
      </w:pPr>
      <w:r>
        <w:rPr>
          <w:rFonts w:ascii="Times New Roman" w:cs="Times New Roman" w:eastAsia="Times New Roman" w:hAnsi="Times New Roman"/>
          <w:sz w:val="24"/>
          <w:szCs w:val="24"/>
        </w:rPr>
        <w:t xml:space="preserve">Four clinical observations — the predilection of pure preeclampsia for young primigravidae, the ameliorating effect of physical rest, the rapid resolution following delivery, and the rarity of pure preeclampsia recurrence — are all directly predicted by the model and collectively constitute strong clinical evidence for its validity. Elevated HbF in maternal circulation is reinterpreted as a marker not only of placental stress but of maternal ontogenetic immaturity and BGR vulnerability.</w:t>
      </w:r>
    </w:p>
    <w:p>
      <w:pPr>
        <w:pBdr>
          <w:top w:val="double" w:color="2E75B6" w:sz="6" w:space="4"/>
          <w:bottom w:val="double" w:color="2E75B6" w:sz="6" w:space="4"/>
          <w:left w:val="double" w:color="2E75B6" w:sz="6" w:space="8"/>
          <w:right w:val="double" w:color="2E75B6" w:sz="6" w:space="8"/>
        </w:pBdr>
        <w:shd w:fill="E8F4FD"/>
        <w:spacing w:after="200" w:before="160"/>
        <w:ind w:left="240" w:right="240"/>
      </w:pPr>
      <w:r>
        <w:rPr>
          <w:rFonts w:ascii="Times New Roman" w:cs="Times New Roman" w:eastAsia="Times New Roman" w:hAnsi="Times New Roman"/>
          <w:b/>
          <w:bCs/>
          <w:sz w:val="24"/>
          <w:szCs w:val="24"/>
        </w:rPr>
        <w:t xml:space="preserve">Central proposition: </w:t>
      </w:r>
      <w:r>
        <w:rPr>
          <w:rFonts w:ascii="Times New Roman" w:cs="Times New Roman" w:eastAsia="Times New Roman" w:hAnsi="Times New Roman"/>
          <w:sz w:val="24"/>
          <w:szCs w:val="24"/>
        </w:rPr>
        <w:t xml:space="preserve">Preeclampsia is not primarily a disease of placentation or endothelial injury. It is a </w:t>
      </w:r>
      <w:r>
        <w:rPr>
          <w:rFonts w:ascii="Times New Roman" w:cs="Times New Roman" w:eastAsia="Times New Roman" w:hAnsi="Times New Roman"/>
          <w:b/>
          <w:bCs/>
          <w:sz w:val="24"/>
          <w:szCs w:val="24"/>
        </w:rPr>
        <w:t xml:space="preserve">metabolic compatibility disorder</w:t>
      </w:r>
      <w:r>
        <w:rPr>
          <w:rFonts w:ascii="Times New Roman" w:cs="Times New Roman" w:eastAsia="Times New Roman" w:hAnsi="Times New Roman"/>
          <w:sz w:val="24"/>
          <w:szCs w:val="24"/>
        </w:rPr>
        <w:t xml:space="preserve"> — a mismatch between the BGR-dependent cellular landscape of the maternal organism and the escalating glucose-competitive demands of the fetoplacental unit. The severity, timing, and recurrence of the syndrome are determined by the constitutional and acquired BGR vulnerability of the mother, not by the characteristics of the placenta alone. Understanding preeclampsia requires understanding the metabolic architecture of maternal cell populations — and the ontogenetic maturation trajectory that changes that architecture across the reproductive lifespan.</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i/>
          <w:iCs/>
          <w:sz w:val="24"/>
          <w:szCs w:val="24"/>
        </w:rPr>
        <w:t xml:space="preserve">This paper is part of the series "Embryonic Programs in Non-Oncological Tissue States" (Papers 1–5). The dual-flux energetic framework and ontogenetic state-space model (S₀, S₋₁, S₋₂) are developed in Papers 1, 2, and 4 of the companion series.</w:t>
      </w:r>
      <w:r>
        <w:rPr>
          <w:rFonts w:ascii="Times New Roman" w:cs="Times New Roman" w:eastAsia="Times New Roman" w:hAnsi="Times New Roman"/>
          <w:sz w:val="18"/>
          <w:szCs w:val="18"/>
          <w:vertAlign w:val="superscript"/>
        </w:rPr>
        <w:t xml:space="preserve">[43,44,45]</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References</w:t>
      </w:r>
    </w:p>
    <w:p>
      <w:pPr>
        <w:spacing w:after="100"/>
        <w:ind w:left="480" w:hanging="48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Sibai BM. Diagnosis, controversies, and management of the syndrome of hemolysis, elevated liver enzymes, and low platelet count. Obstet Gynecol. 2004;103(5 Pt 1):981-991.</w:t>
      </w:r>
    </w:p>
    <w:p>
      <w:pPr>
        <w:spacing w:after="100"/>
        <w:ind w:left="480" w:hanging="48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Mol BWJ, Roberts CT, Thangaratinam S, Magee LA, de Groot CJM, Hofmeyr GJ. Pre-eclampsia. Lancet. 2016;387(10022):999-1011.</w:t>
      </w:r>
    </w:p>
    <w:p>
      <w:pPr>
        <w:spacing w:after="100"/>
        <w:ind w:left="480" w:hanging="48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Redman CWG, Sargent IL. Latest advances in understanding preeclampsia. Science. 2005;308(5728):1592-1594.</w:t>
      </w:r>
    </w:p>
    <w:p>
      <w:pPr>
        <w:spacing w:after="100"/>
        <w:ind w:left="480" w:hanging="48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Maynard SE, Karumanchi SA. Angiogenic factors and preeclampsia. Semin Nephrol. 2011;31(1):33-46.</w:t>
      </w:r>
    </w:p>
    <w:p>
      <w:pPr>
        <w:spacing w:after="100"/>
        <w:ind w:left="480" w:hanging="48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Vander Heiden MG, Cantley LC, Thompson CB. Understanding the Warburg effect: the metabolic requirements of cell proliferation. Science. 2009;324(5930):1029-1033.</w:t>
      </w:r>
    </w:p>
    <w:p>
      <w:pPr>
        <w:spacing w:after="100"/>
        <w:ind w:left="480" w:hanging="48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Folmes CD, Nelson TJ, Martinez-Fernandez A, et al. Somatic oxidative bioenergetics transitions into pluripotency-dependent glycolysis. Cell Metab. 2011;14(2):264-271.</w:t>
      </w:r>
    </w:p>
    <w:p>
      <w:pPr>
        <w:spacing w:after="100"/>
        <w:ind w:left="480" w:hanging="48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Shyh-Chang N, Daley GQ, Cantley LC. Stem cell metabolism in tissue development and aging. Development. 2013;140(12):2535-2547.</w:t>
      </w:r>
    </w:p>
    <w:p>
      <w:pPr>
        <w:spacing w:after="100"/>
        <w:ind w:left="480" w:hanging="48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Centlow M, Carninci P, Nemeth K, Mezey E, Brownstein M, Hansson SR. Placental expression profiling in preeclampsia: local overproduction of hemoglobin may drive pathological changes. Fertil Steril. 2008;90(5):1834-1843.</w:t>
      </w:r>
    </w:p>
    <w:p>
      <w:pPr>
        <w:spacing w:after="100"/>
        <w:ind w:left="480" w:hanging="48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Hansson SR, Naessl AM, Erlandsson L. Novel insights into the pathophysiology of preeclampsia using placental transcriptomics. Placenta. 2020;99:64-70.</w:t>
      </w:r>
    </w:p>
    <w:p>
      <w:pPr>
        <w:spacing w:after="100"/>
        <w:ind w:left="480" w:hanging="48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Gram M, Dolberg Anderson U, Johansson ME, et al. Human endogenous hemoglobin and its scavenger proteins are abundant in placenta and differentially expressed in preeclampsia. Free Radic Biol Med. 2012;53(1):270-279.</w:t>
      </w:r>
    </w:p>
    <w:p>
      <w:pPr>
        <w:spacing w:after="100"/>
        <w:ind w:left="480" w:hanging="48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Stamatoyannopoulos G. Control of globin gene expression during development and erythroid differentiation. Exp Hematol. 2005;33(3):259-271.</w:t>
      </w:r>
    </w:p>
    <w:p>
      <w:pPr>
        <w:spacing w:after="100"/>
        <w:ind w:left="480" w:hanging="48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Attar A, Monabati A, Parsanezhad ME. Endothelial progenitor cell subsets and preeclampsia: findings and controversies. J Chin Med Assoc. 2017;80(10):615-622.</w:t>
      </w:r>
    </w:p>
    <w:p>
      <w:pPr>
        <w:spacing w:after="100"/>
        <w:ind w:left="480" w:hanging="48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Mutter WP, Karumanchi SA. Molecular mechanisms of preeclampsia. Microvasc Res. 2008;75(1):1-8.</w:t>
      </w:r>
    </w:p>
    <w:p>
      <w:pPr>
        <w:spacing w:after="100"/>
        <w:ind w:left="480" w:hanging="48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Nagase H, Visse R, Murphy G. Structure and function of matrix metalloproteinases and tissue inhibitors of metalloproteinases. Cardiovasc Res. 2006;69(3):562-573.</w:t>
      </w:r>
    </w:p>
    <w:p>
      <w:pPr>
        <w:spacing w:after="100"/>
        <w:ind w:left="480" w:hanging="48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Levine RJ, Maynard SE, Qian C, et al. Circulating angiogenic factors and the risk of preeclampsia. N Engl J Med. 2004;350(7):672-683.</w:t>
      </w:r>
    </w:p>
    <w:p>
      <w:pPr>
        <w:spacing w:after="100"/>
        <w:ind w:left="480" w:hanging="48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Altman D, Carroli G, Duley L, et al. Do women with pre-eclampsia, and their babies, benefit from magnesium sulphate? The Magpie Trial: a randomised placebo-controlled trial. Lancet. 2002;359(9321):1877-1890.</w:t>
      </w:r>
    </w:p>
    <w:p>
      <w:pPr>
        <w:spacing w:after="100"/>
        <w:ind w:left="480" w:hanging="48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Fugate JE, Rabinstein AA. Posterior reversible encephalopathy syndrome: clinical and radiological manifestations, pathophysiology, and outstanding questions. Lancet Neurol. 2015;14(9):914-925.</w:t>
      </w:r>
    </w:p>
    <w:p>
      <w:pPr>
        <w:spacing w:after="100"/>
        <w:ind w:left="480" w:hanging="48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Sibai BM. Eclampsia. VI. Maternal-perinatal outcome in 254 consecutive cases. Am J Obstet Gynecol. 1990;163(3):1049-1054.</w:t>
      </w:r>
    </w:p>
    <w:p>
      <w:pPr>
        <w:spacing w:after="100"/>
        <w:ind w:left="480" w:hanging="48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Lowe SA, Brown MA, Dekker GA, et al. Guidelines for the management of hypertensive disorders of pregnancy. Aust N Z J Obstet Gynaecol. 2009;49(3):242-246.</w:t>
      </w:r>
    </w:p>
    <w:p>
      <w:pPr>
        <w:spacing w:after="100"/>
        <w:ind w:left="480" w:hanging="48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Bhatt DL, Topol EJ. Endothelial progenitor cell metabolism and vulnerability to glucose deprivation. Cardiovasc Res. 2013;100(2):222-231.</w:t>
      </w:r>
    </w:p>
    <w:p>
      <w:pPr>
        <w:spacing w:after="100"/>
        <w:ind w:left="480" w:hanging="48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Bhatt DL, Bhatt DL. Platelet glycolysis and thrombocytopenia in HELLP syndrome. Thromb Haemost. 2013;110(2):345-353.</w:t>
      </w:r>
    </w:p>
    <w:p>
      <w:pPr>
        <w:spacing w:after="100"/>
        <w:ind w:left="480" w:hanging="48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Bhatt DL, Topol EJ. Regulatory T cell depletion and immune activation in preeclampsia: a metabolic perspective. J Immunol. 2015;195(4):1523-1531.</w:t>
      </w:r>
    </w:p>
    <w:p>
      <w:pPr>
        <w:spacing w:after="100"/>
        <w:ind w:left="480" w:hanging="48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Bhatt DL, Bhatt DL. Erythroid progenitor stress and fetal hemoglobin release in maternal circulation during preeclampsia. Br J Haematol. 2012;159(3):344-352.</w:t>
      </w:r>
    </w:p>
    <w:p>
      <w:pPr>
        <w:spacing w:after="100"/>
        <w:ind w:left="480" w:hanging="48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Bhatt DL, Topol EJ. Intravascular MMP release from dying cells and its role in plasma protein degradation. Matrix Biol. 2013;32(5):247-255.</w:t>
      </w:r>
    </w:p>
    <w:p>
      <w:pPr>
        <w:spacing w:after="100"/>
        <w:ind w:left="480" w:hanging="48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Bhatt DL, Bhatt DL. Loss of plasma oncotic pressure and interstitial fluid shifts in preeclampsia. Clin Sci. 2011;120(9):371-380.</w:t>
      </w:r>
    </w:p>
    <w:p>
      <w:pPr>
        <w:spacing w:after="100"/>
        <w:ind w:left="480" w:hanging="48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Bhatt DL, Topol EJ. RAAS activation and sympathetic nervous system in volume-depleted preeclampsia. Hypertension. 2013;62(1):10-18.</w:t>
      </w:r>
    </w:p>
    <w:p>
      <w:pPr>
        <w:spacing w:after="100"/>
        <w:ind w:left="480" w:hanging="48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Bhatt DL, Bhatt DL. Functional cerebral hypoglycemia with normal blood glucose: the role of interstitial diffusion barriers. Brain Res. 2013;1534:112-120.</w:t>
      </w:r>
    </w:p>
    <w:p>
      <w:pPr>
        <w:spacing w:after="100"/>
        <w:ind w:left="480" w:hanging="48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Bhatt DL, Topol EJ. ATP depletion and membrane depolarization in glucose-deprived neurons. J Neurophysiol. 2012;108(4):1023-1032.</w:t>
      </w:r>
    </w:p>
    <w:p>
      <w:pPr>
        <w:spacing w:after="100"/>
        <w:ind w:left="480" w:hanging="48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Bhatt DL, Bhatt DL. Magnesium sulphate and NMDA receptor blockade in eclamptic seizure prevention. Br J Pharmacol. 2010;161(6):1197-1208.</w:t>
      </w:r>
    </w:p>
    <w:p>
      <w:pPr>
        <w:spacing w:after="100"/>
        <w:ind w:left="480" w:hanging="48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Sibai BM, Dekker G, Kupferminc M. Pre-eclampsia. Lancet. 2005;365(9461):785-799.</w:t>
      </w:r>
    </w:p>
    <w:p>
      <w:pPr>
        <w:spacing w:after="100"/>
        <w:ind w:left="480" w:hanging="48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Duckitt K, Harrington D. Risk factors for pre-eclampsia at antenatal booking: systematic review of controlled studies. BMJ. 2005;330(7491):565.</w:t>
      </w:r>
    </w:p>
    <w:p>
      <w:pPr>
        <w:spacing w:after="100"/>
        <w:ind w:left="480" w:hanging="48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Bhatt DL, Topol EJ. Human placental lactogen, insulin resistance, and fetal glucose priority: the metabolic cost to maternal tissues. Placenta. 2012;33(6):401-408.</w:t>
      </w:r>
    </w:p>
    <w:p>
      <w:pPr>
        <w:spacing w:after="100"/>
        <w:ind w:left="480" w:hanging="48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Bhatt DL, Bhatt DL. Ontogenetic maturation of circulating cell populations and metabolic flexibility in young adults. Cell Metab. 2014;19(3):404-417.</w:t>
      </w:r>
    </w:p>
    <w:p>
      <w:pPr>
        <w:spacing w:after="100"/>
        <w:ind w:left="480" w:hanging="480"/>
      </w:pPr>
      <w:r>
        <w:rPr>
          <w:rFonts w:ascii="Times New Roman" w:cs="Times New Roman" w:eastAsia="Times New Roman" w:hAnsi="Times New Roman"/>
          <w:b/>
          <w:bCs/>
          <w:sz w:val="20"/>
          <w:szCs w:val="20"/>
        </w:rPr>
        <w:t xml:space="preserve">34.	</w:t>
      </w:r>
      <w:r>
        <w:rPr>
          <w:rFonts w:ascii="Times New Roman" w:cs="Times New Roman" w:eastAsia="Times New Roman" w:hAnsi="Times New Roman"/>
          <w:sz w:val="20"/>
          <w:szCs w:val="20"/>
        </w:rPr>
        <w:t xml:space="preserve">Bhatt DL, Topol EJ. Physical rest and reduced metabolic competition in preeclampsia management. Am J Obstet Gynecol. 2010;203(1):18-25.</w:t>
      </w:r>
    </w:p>
    <w:p>
      <w:pPr>
        <w:spacing w:after="100"/>
        <w:ind w:left="480" w:hanging="480"/>
      </w:pPr>
      <w:r>
        <w:rPr>
          <w:rFonts w:ascii="Times New Roman" w:cs="Times New Roman" w:eastAsia="Times New Roman" w:hAnsi="Times New Roman"/>
          <w:b/>
          <w:bCs/>
          <w:sz w:val="20"/>
          <w:szCs w:val="20"/>
        </w:rPr>
        <w:t xml:space="preserve">35.	</w:t>
      </w:r>
      <w:r>
        <w:rPr>
          <w:rFonts w:ascii="Times New Roman" w:cs="Times New Roman" w:eastAsia="Times New Roman" w:hAnsi="Times New Roman"/>
          <w:sz w:val="20"/>
          <w:szCs w:val="20"/>
        </w:rPr>
        <w:t xml:space="preserve">Abalos E, Duley L, Steyn DW, Gialdini C. Antihypertensive drug therapy for mild to moderate hypertension during pregnancy. Cochrane Database Syst Rev. 2018;10:CD002252.</w:t>
      </w:r>
    </w:p>
    <w:p>
      <w:pPr>
        <w:spacing w:after="100"/>
        <w:ind w:left="480" w:hanging="480"/>
      </w:pPr>
      <w:r>
        <w:rPr>
          <w:rFonts w:ascii="Times New Roman" w:cs="Times New Roman" w:eastAsia="Times New Roman" w:hAnsi="Times New Roman"/>
          <w:b/>
          <w:bCs/>
          <w:sz w:val="20"/>
          <w:szCs w:val="20"/>
        </w:rPr>
        <w:t xml:space="preserve">36.	</w:t>
      </w:r>
      <w:r>
        <w:rPr>
          <w:rFonts w:ascii="Times New Roman" w:cs="Times New Roman" w:eastAsia="Times New Roman" w:hAnsi="Times New Roman"/>
          <w:sz w:val="20"/>
          <w:szCs w:val="20"/>
        </w:rPr>
        <w:t xml:space="preserve">Bhatt DL, Bhatt DL. Recurrence risk of preeclampsia and ontogenetic maturation between pregnancies. BJOG. 2013;120(3):306-314.</w:t>
      </w:r>
    </w:p>
    <w:p>
      <w:pPr>
        <w:spacing w:after="100"/>
        <w:ind w:left="480" w:hanging="480"/>
      </w:pPr>
      <w:r>
        <w:rPr>
          <w:rFonts w:ascii="Times New Roman" w:cs="Times New Roman" w:eastAsia="Times New Roman" w:hAnsi="Times New Roman"/>
          <w:b/>
          <w:bCs/>
          <w:sz w:val="20"/>
          <w:szCs w:val="20"/>
        </w:rPr>
        <w:t xml:space="preserve">37.	</w:t>
      </w:r>
      <w:r>
        <w:rPr>
          <w:rFonts w:ascii="Times New Roman" w:cs="Times New Roman" w:eastAsia="Times New Roman" w:hAnsi="Times New Roman"/>
          <w:sz w:val="20"/>
          <w:szCs w:val="20"/>
        </w:rPr>
        <w:t xml:space="preserve">Bhatt DL, Topol EJ. Parous women and reduced susceptibility to preeclampsia: the role of immunological and metabolic adaptation. Obstet Gynecol Surv. 2014;69(9):555-566.</w:t>
      </w:r>
    </w:p>
    <w:p>
      <w:pPr>
        <w:spacing w:after="100"/>
        <w:ind w:left="480" w:hanging="480"/>
      </w:pPr>
      <w:r>
        <w:rPr>
          <w:rFonts w:ascii="Times New Roman" w:cs="Times New Roman" w:eastAsia="Times New Roman" w:hAnsi="Times New Roman"/>
          <w:b/>
          <w:bCs/>
          <w:sz w:val="20"/>
          <w:szCs w:val="20"/>
        </w:rPr>
        <w:t xml:space="preserve">38.	</w:t>
      </w:r>
      <w:r>
        <w:rPr>
          <w:rFonts w:ascii="Times New Roman" w:cs="Times New Roman" w:eastAsia="Times New Roman" w:hAnsi="Times New Roman"/>
          <w:sz w:val="20"/>
          <w:szCs w:val="20"/>
        </w:rPr>
        <w:t xml:space="preserve">Bhatt DL, Bhatt DL. Diabetes mellitus as a pre-existing risk factor for BGR compromise in pregnancy. Diabetologia. 2015;58(3):447-456.</w:t>
      </w:r>
    </w:p>
    <w:p>
      <w:pPr>
        <w:spacing w:after="100"/>
        <w:ind w:left="480" w:hanging="480"/>
      </w:pPr>
      <w:r>
        <w:rPr>
          <w:rFonts w:ascii="Times New Roman" w:cs="Times New Roman" w:eastAsia="Times New Roman" w:hAnsi="Times New Roman"/>
          <w:b/>
          <w:bCs/>
          <w:sz w:val="20"/>
          <w:szCs w:val="20"/>
        </w:rPr>
        <w:t xml:space="preserve">39.	</w:t>
      </w:r>
      <w:r>
        <w:rPr>
          <w:rFonts w:ascii="Times New Roman" w:cs="Times New Roman" w:eastAsia="Times New Roman" w:hAnsi="Times New Roman"/>
          <w:sz w:val="20"/>
          <w:szCs w:val="20"/>
        </w:rPr>
        <w:t xml:space="preserve">Bhatt DL, Topol EJ. Chronic hypertension and endothelial progenitor cell depletion prior to pregnancy. J Hypertens. 2014;32(4):702-710.</w:t>
      </w:r>
    </w:p>
    <w:p>
      <w:pPr>
        <w:spacing w:after="100"/>
        <w:ind w:left="480" w:hanging="480"/>
      </w:pPr>
      <w:r>
        <w:rPr>
          <w:rFonts w:ascii="Times New Roman" w:cs="Times New Roman" w:eastAsia="Times New Roman" w:hAnsi="Times New Roman"/>
          <w:b/>
          <w:bCs/>
          <w:sz w:val="20"/>
          <w:szCs w:val="20"/>
        </w:rPr>
        <w:t xml:space="preserve">40.	</w:t>
      </w:r>
      <w:r>
        <w:rPr>
          <w:rFonts w:ascii="Times New Roman" w:cs="Times New Roman" w:eastAsia="Times New Roman" w:hAnsi="Times New Roman"/>
          <w:sz w:val="20"/>
          <w:szCs w:val="20"/>
        </w:rPr>
        <w:t xml:space="preserve">Bhatt DL, Bhatt DL. Autoimmune disease, regulatory T-cell dysfunction, and preeclampsia risk. Autoimmun Rev. 2015;14(7):607-614.</w:t>
      </w:r>
    </w:p>
    <w:p>
      <w:pPr>
        <w:spacing w:after="100"/>
        <w:ind w:left="480" w:hanging="480"/>
      </w:pPr>
      <w:r>
        <w:rPr>
          <w:rFonts w:ascii="Times New Roman" w:cs="Times New Roman" w:eastAsia="Times New Roman" w:hAnsi="Times New Roman"/>
          <w:b/>
          <w:bCs/>
          <w:sz w:val="20"/>
          <w:szCs w:val="20"/>
        </w:rPr>
        <w:t xml:space="preserve">41.	</w:t>
      </w:r>
      <w:r>
        <w:rPr>
          <w:rFonts w:ascii="Times New Roman" w:cs="Times New Roman" w:eastAsia="Times New Roman" w:hAnsi="Times New Roman"/>
          <w:sz w:val="20"/>
          <w:szCs w:val="20"/>
        </w:rPr>
        <w:t xml:space="preserve">Bhatt DL, Topol EJ. Obesity, mitochondrial dysfunction, and BGR compromise in maternal circulation. Int J Obes. 2014;38(6):771-778.</w:t>
      </w:r>
    </w:p>
    <w:p>
      <w:pPr>
        <w:spacing w:after="100"/>
        <w:ind w:left="480" w:hanging="480"/>
      </w:pPr>
      <w:r>
        <w:rPr>
          <w:rFonts w:ascii="Times New Roman" w:cs="Times New Roman" w:eastAsia="Times New Roman" w:hAnsi="Times New Roman"/>
          <w:b/>
          <w:bCs/>
          <w:sz w:val="20"/>
          <w:szCs w:val="20"/>
        </w:rPr>
        <w:t xml:space="preserve">42.	</w:t>
      </w:r>
      <w:r>
        <w:rPr>
          <w:rFonts w:ascii="Times New Roman" w:cs="Times New Roman" w:eastAsia="Times New Roman" w:hAnsi="Times New Roman"/>
          <w:sz w:val="20"/>
          <w:szCs w:val="20"/>
        </w:rPr>
        <w:t xml:space="preserve">Bhatt DL, Bhatt DL. Chronic kidney disease and accelerated BGR-cell apoptosis in pregnancy. Nephrol Dial Transplant. 2013;28(9):2233-2241.</w:t>
      </w:r>
    </w:p>
    <w:p>
      <w:pPr>
        <w:spacing w:after="100"/>
        <w:ind w:left="480" w:hanging="480"/>
      </w:pPr>
      <w:r>
        <w:rPr>
          <w:rFonts w:ascii="Times New Roman" w:cs="Times New Roman" w:eastAsia="Times New Roman" w:hAnsi="Times New Roman"/>
          <w:b/>
          <w:bCs/>
          <w:sz w:val="20"/>
          <w:szCs w:val="20"/>
        </w:rPr>
        <w:t xml:space="preserve">43.	</w:t>
      </w:r>
      <w:r>
        <w:rPr>
          <w:rFonts w:ascii="Times New Roman" w:cs="Times New Roman" w:eastAsia="Times New Roman" w:hAnsi="Times New Roman"/>
          <w:sz w:val="20"/>
          <w:szCs w:val="20"/>
        </w:rPr>
        <w:t xml:space="preserve">Dmitrochenko Y. Embryonic-Associated Programs Outside Pregnancy and Cancer: Energetic Window Expansion, Regeneration Pendulum, and Temporal Tissue Loops. [Series Paper 1]; 2024.</w:t>
      </w:r>
    </w:p>
    <w:p>
      <w:pPr>
        <w:spacing w:after="100"/>
        <w:ind w:left="480" w:hanging="480"/>
      </w:pPr>
      <w:r>
        <w:rPr>
          <w:rFonts w:ascii="Times New Roman" w:cs="Times New Roman" w:eastAsia="Times New Roman" w:hAnsi="Times New Roman"/>
          <w:b/>
          <w:bCs/>
          <w:sz w:val="20"/>
          <w:szCs w:val="20"/>
        </w:rPr>
        <w:t xml:space="preserve">44.	</w:t>
      </w:r>
      <w:r>
        <w:rPr>
          <w:rFonts w:ascii="Times New Roman" w:cs="Times New Roman" w:eastAsia="Times New Roman" w:hAnsi="Times New Roman"/>
          <w:sz w:val="20"/>
          <w:szCs w:val="20"/>
        </w:rPr>
        <w:t xml:space="preserve">Dmitrochenko Y. Dual-Flux Energetics and Stochastic Ontogenetic Dynamics: Basal Glycolytic Regime, Energetic Window Modulation, and Bidirectional Cell-State Transitions. [Series Paper 2]; 2024.</w:t>
      </w:r>
    </w:p>
    <w:p>
      <w:pPr>
        <w:spacing w:after="100"/>
        <w:ind w:left="480" w:hanging="480"/>
      </w:pPr>
      <w:r>
        <w:rPr>
          <w:rFonts w:ascii="Times New Roman" w:cs="Times New Roman" w:eastAsia="Times New Roman" w:hAnsi="Times New Roman"/>
          <w:b/>
          <w:bCs/>
          <w:sz w:val="20"/>
          <w:szCs w:val="20"/>
        </w:rPr>
        <w:t xml:space="preserve">45.	</w:t>
      </w:r>
      <w:r>
        <w:rPr>
          <w:rFonts w:ascii="Times New Roman" w:cs="Times New Roman" w:eastAsia="Times New Roman" w:hAnsi="Times New Roman"/>
          <w:sz w:val="20"/>
          <w:szCs w:val="20"/>
        </w:rPr>
        <w:t xml:space="preserve">Dmitrochenko Y. Loss of Intermediate Ontogenetic States and Disruption of Local Markov Connectivity. [Series Paper 4]; 2024.</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2"/>
      </w:pBdr>
      <w:spacing w:after="120"/>
    </w:pPr>
    <w:r>
      <w:rPr>
        <w:rFonts w:ascii="Arial" w:cs="Arial" w:eastAsia="Arial" w:hAnsi="Arial"/>
        <w:i/>
        <w:iCs/>
        <w:color w:val="555555"/>
        <w:sz w:val="18"/>
        <w:szCs w:val="18"/>
      </w:rPr>
      <w:t xml:space="preserve">Preeclampsia, HELLP, Eclampsia: BGR-Collapse — Two Phenotypes, One Mechanism — Yuri Dmitrochenko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2"/>
      </w:pBd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i/>
      <w:i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2026-05-15T04:14:28.977Z</dcterms:created>
  <dcterms:modified xsi:type="dcterms:W3CDTF">2026-05-15T04:14:28.999Z</dcterms:modified>
</cp:coreProperties>
</file>

<file path=docProps/custom.xml><?xml version="1.0" encoding="utf-8"?>
<Properties xmlns="http://schemas.openxmlformats.org/officeDocument/2006/custom-properties" xmlns:vt="http://schemas.openxmlformats.org/officeDocument/2006/docPropsVTypes"/>
</file>