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8"/>
          <w:szCs w:val="38"/>
        </w:rPr>
        <w:t xml:space="preserve">The Active Intracellular Hydrogel:</w:t>
      </w:r>
    </w:p>
    <w:p>
      <w:pPr>
        <w:spacing w:after="80"/>
        <w:jc w:val="center"/>
      </w:pPr>
      <w:r>
        <w:rPr>
          <w:rFonts w:ascii="Arial" w:cs="Arial" w:eastAsia="Arial" w:hAnsi="Arial"/>
          <w:b/>
          <w:bCs/>
          <w:color w:val="2E75B6"/>
          <w:sz w:val="30"/>
          <w:szCs w:val="30"/>
        </w:rPr>
        <w:t xml:space="preserve">Syneresis, Gel Collapse, and Membrane Failure</w:t>
      </w:r>
    </w:p>
    <w:p>
      <w:pPr>
        <w:spacing w:after="80"/>
        <w:jc w:val="center"/>
      </w:pPr>
      <w:r>
        <w:rPr>
          <w:rFonts w:ascii="Arial" w:cs="Arial" w:eastAsia="Arial" w:hAnsi="Arial"/>
          <w:b/>
          <w:bCs/>
          <w:color w:val="2E75B6"/>
          <w:sz w:val="30"/>
          <w:szCs w:val="30"/>
        </w:rPr>
        <w:t xml:space="preserve">as Two Physically Distinct Levels of Cell Death</w:t>
      </w:r>
    </w:p>
    <w:p>
      <w:pPr>
        <w:spacing w:after="200"/>
        <w:jc w:val="center"/>
      </w:pPr>
      <w:r>
        <w:rPr>
          <w:rFonts w:ascii="Arial" w:cs="Arial" w:eastAsia="Arial" w:hAnsi="Arial"/>
          <w:i/>
          <w:iCs/>
          <w:color w:val="34495E"/>
          <w:sz w:val="24"/>
          <w:szCs w:val="24"/>
        </w:rPr>
        <w:t xml:space="preserve">The Erythrocyte as a Minimal Model of a Self-Renewing Biological Hydrogel</w:t>
      </w:r>
    </w:p>
    <w:p>
      <w:pPr>
        <w:spacing w:after="80"/>
        <w:jc w:val="center"/>
      </w:pPr>
      <w:r>
        <w:rPr>
          <w:rFonts w:ascii="Arial" w:cs="Arial" w:eastAsia="Arial" w:hAnsi="Arial"/>
          <w:b/>
          <w:bCs/>
          <w:sz w:val="24"/>
          <w:szCs w:val="24"/>
        </w:rPr>
        <w:t xml:space="preserve">Yuri Dmitrochenko</w:t>
      </w:r>
    </w:p>
    <w:p>
      <w:pPr>
        <w:spacing w:after="320"/>
        <w:jc w:val="center"/>
      </w:pPr>
      <w:r>
        <w:rPr>
          <w:rFonts w:ascii="Arial" w:cs="Arial" w:eastAsia="Arial" w:hAnsi="Arial"/>
          <w:i/>
          <w:iCs/>
          <w:color w:val="555555"/>
          <w:sz w:val="22"/>
          <w:szCs w:val="22"/>
        </w:rPr>
        <w:t xml:space="preserve">A Conceptual Biophysical Framework</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Cellular death from energy deficit is conventionally described in biochemical terms. This paper proposes a complementary </w:t>
      </w:r>
      <w:r>
        <w:rPr>
          <w:rFonts w:ascii="Times New Roman" w:cs="Times New Roman" w:eastAsia="Times New Roman" w:hAnsi="Times New Roman"/>
          <w:b/>
          <w:bCs/>
          <w:sz w:val="24"/>
          <w:szCs w:val="24"/>
        </w:rPr>
        <w:t xml:space="preserve">physical framework</w:t>
      </w:r>
      <w:r>
        <w:rPr>
          <w:rFonts w:ascii="Times New Roman" w:cs="Times New Roman" w:eastAsia="Times New Roman" w:hAnsi="Times New Roman"/>
          <w:sz w:val="24"/>
          <w:szCs w:val="24"/>
        </w:rPr>
        <w:t xml:space="preserve"> in which the living cell is interpreted as an </w:t>
      </w:r>
      <w:r>
        <w:rPr>
          <w:rFonts w:ascii="Times New Roman" w:cs="Times New Roman" w:eastAsia="Times New Roman" w:hAnsi="Times New Roman"/>
          <w:b/>
          <w:bCs/>
          <w:sz w:val="24"/>
          <w:szCs w:val="24"/>
        </w:rPr>
        <w:t xml:space="preserve">actively maintained metastable hydrogel system</w:t>
      </w:r>
      <w:r>
        <w:rPr>
          <w:rFonts w:ascii="Times New Roman" w:cs="Times New Roman" w:eastAsia="Times New Roman" w:hAnsi="Times New Roman"/>
          <w:sz w:val="24"/>
          <w:szCs w:val="24"/>
        </w:rPr>
        <w:t xml:space="preserve"> — a nonequilibrium dissipative structure whose organisation is continuously opposed to thermodynamic relaxation through energy-dependent self-renewal. Cellular life is the continuous maintenance of this self-renewal; cellular death is its irreversible failure.</w:t>
      </w:r>
    </w:p>
    <w:p>
      <w:pPr>
        <w:spacing w:after="180" w:line="276" w:lineRule="auto"/>
        <w:jc w:val="both"/>
      </w:pPr>
      <w:r>
        <w:rPr>
          <w:rFonts w:ascii="Times New Roman" w:cs="Times New Roman" w:eastAsia="Times New Roman" w:hAnsi="Times New Roman"/>
          <w:sz w:val="24"/>
          <w:szCs w:val="24"/>
        </w:rPr>
        <w:t xml:space="preserve">Three propositions structure the framework. First, the intracellular hydrogel and the plasma membrane represent </w:t>
      </w:r>
      <w:r>
        <w:rPr>
          <w:rFonts w:ascii="Times New Roman" w:cs="Times New Roman" w:eastAsia="Times New Roman" w:hAnsi="Times New Roman"/>
          <w:b/>
          <w:bCs/>
          <w:sz w:val="24"/>
          <w:szCs w:val="24"/>
        </w:rPr>
        <w:t xml:space="preserve">physically distinct systems</w:t>
      </w:r>
      <w:r>
        <w:rPr>
          <w:rFonts w:ascii="Times New Roman" w:cs="Times New Roman" w:eastAsia="Times New Roman" w:hAnsi="Times New Roman"/>
          <w:sz w:val="24"/>
          <w:szCs w:val="24"/>
        </w:rPr>
        <w:t xml:space="preserve"> that can fail independently: partial membrane injury may remain reversible while the intracellular gel retains organisational integrity, whereas hydrogel collapse is irreversible regardless of membrane state. Second, hydrogel destabilisation following energy deficit follows </w:t>
      </w:r>
      <w:r>
        <w:rPr>
          <w:rFonts w:ascii="Times New Roman" w:cs="Times New Roman" w:eastAsia="Times New Roman" w:hAnsi="Times New Roman"/>
          <w:b/>
          <w:bCs/>
          <w:sz w:val="24"/>
          <w:szCs w:val="24"/>
        </w:rPr>
        <w:t xml:space="preserve">two physically distinct trajectories</w:t>
      </w:r>
      <w:r>
        <w:rPr>
          <w:rFonts w:ascii="Times New Roman" w:cs="Times New Roman" w:eastAsia="Times New Roman" w:hAnsi="Times New Roman"/>
          <w:sz w:val="24"/>
          <w:szCs w:val="24"/>
        </w:rPr>
        <w:t xml:space="preserve"> — hydropic-solation collapse (swelling, oncosis, osmotic lysis) and contractile-syneretic collapse (condensation, apoptosis, eryptosis) — which correspond to the clinical entities of necrosis and apoptosis respectively, unified within a single physical framework. Third, the </w:t>
      </w:r>
      <w:r>
        <w:rPr>
          <w:rFonts w:ascii="Times New Roman" w:cs="Times New Roman" w:eastAsia="Times New Roman" w:hAnsi="Times New Roman"/>
          <w:b/>
          <w:bCs/>
          <w:sz w:val="24"/>
          <w:szCs w:val="24"/>
        </w:rPr>
        <w:t xml:space="preserve">erythrocyte is proposed as the minimal model of a self-renewing biological hydrogel</w:t>
      </w:r>
      <w:r>
        <w:rPr>
          <w:rFonts w:ascii="Times New Roman" w:cs="Times New Roman" w:eastAsia="Times New Roman" w:hAnsi="Times New Roman"/>
          <w:sz w:val="24"/>
          <w:szCs w:val="24"/>
        </w:rPr>
        <w:t xml:space="preserve">: contrary to the classical view of the mature erythrocyte as a static anucleat bag, residual messenger RNA and ribosomal activity support ongoing synthesis of structural proteins — particularly spectrin and ankyrin — providing a minimal translational self-renewal component alongside adenosine triphosphate-dependent ion pump activity. Together these constitute a two-component self-renewal system whose dual failure initiates irreversible hydrogel collapse.</w:t>
      </w:r>
    </w:p>
    <w:p>
      <w:pPr>
        <w:spacing w:after="180" w:line="276" w:lineRule="auto"/>
        <w:jc w:val="both"/>
      </w:pPr>
      <w:r>
        <w:rPr>
          <w:rFonts w:ascii="Times New Roman" w:cs="Times New Roman" w:eastAsia="Times New Roman" w:hAnsi="Times New Roman"/>
          <w:sz w:val="24"/>
          <w:szCs w:val="24"/>
        </w:rPr>
        <w:t xml:space="preserve">The framework is applied to glucose-6-phosphate dehydrogenase deficiency and the haemolysis of preeclampsia/HELLP syndrome as paradigmatic clinical models, and is connected to the Basal Glycolytic Regime framework of the companion series. </w:t>
      </w:r>
      <w:r>
        <w:rPr>
          <w:rFonts w:ascii="Times New Roman" w:cs="Times New Roman" w:eastAsia="Times New Roman" w:hAnsi="Times New Roman"/>
          <w:sz w:val="18"/>
          <w:szCs w:val="18"/>
          <w:vertAlign w:val="superscript"/>
        </w:rPr>
        <w:t xml:space="preserve">[34,35,36]</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intracellular hydrogel; syneresis; gel collapse; membrane failure; erythrocyte; self-renewal; residual mRNA; spectrin; osmotic cytolysis; eryptosis; apoptosis; oncosis; dissipative structure; Basal Glycolytic Regime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 The Cell as a Self-Renewing Hydrogel</w:t>
      </w:r>
    </w:p>
    <w:p>
      <w:pPr>
        <w:spacing w:after="180" w:line="276" w:lineRule="auto"/>
        <w:jc w:val="both"/>
      </w:pPr>
      <w:r>
        <w:rPr>
          <w:rFonts w:ascii="Times New Roman" w:cs="Times New Roman" w:eastAsia="Times New Roman" w:hAnsi="Times New Roman"/>
          <w:sz w:val="24"/>
          <w:szCs w:val="24"/>
        </w:rPr>
        <w:t xml:space="preserve">Classical descriptions of cellular biology represent the cell as a membrane-bound biochemical system — a reactor enclosed by a lipid bilayer. This description, while operationally useful, incompletely reflects the </w:t>
      </w:r>
      <w:r>
        <w:rPr>
          <w:rFonts w:ascii="Times New Roman" w:cs="Times New Roman" w:eastAsia="Times New Roman" w:hAnsi="Times New Roman"/>
          <w:b/>
          <w:bCs/>
          <w:sz w:val="24"/>
          <w:szCs w:val="24"/>
        </w:rPr>
        <w:t xml:space="preserve">physical organisation of living matter</w:t>
      </w:r>
      <w:r>
        <w:rPr>
          <w:rFonts w:ascii="Times New Roman" w:cs="Times New Roman" w:eastAsia="Times New Roman" w:hAnsi="Times New Roman"/>
          <w:sz w:val="24"/>
          <w:szCs w:val="24"/>
        </w:rPr>
        <w:t xml:space="preserve">. The intracellular environment is not an aqueous solution. It is a densely organised, viscoelastic hydrogel composed of cytoskeletal polymer networks, protein complexes, membraneless organelles formed by phase separation, bound water layers, ion gradients, and active transport systems. </w:t>
      </w:r>
      <w:r>
        <w:rPr>
          <w:rFonts w:ascii="Times New Roman" w:cs="Times New Roman" w:eastAsia="Times New Roman" w:hAnsi="Times New Roman"/>
          <w:sz w:val="18"/>
          <w:szCs w:val="18"/>
          <w:vertAlign w:val="superscript"/>
        </w:rPr>
        <w:t xml:space="preserve">[22,23]</w:t>
      </w:r>
    </w:p>
    <w:p>
      <w:pPr>
        <w:spacing w:after="180" w:line="276" w:lineRule="auto"/>
        <w:jc w:val="both"/>
      </w:pPr>
      <w:r>
        <w:rPr>
          <w:rFonts w:ascii="Times New Roman" w:cs="Times New Roman" w:eastAsia="Times New Roman" w:hAnsi="Times New Roman"/>
          <w:sz w:val="24"/>
          <w:szCs w:val="24"/>
        </w:rPr>
        <w:t xml:space="preserve">This hydrogel exists far from thermodynamic equilibrium. Like all hydrogels, it tends spontaneously toward </w:t>
      </w:r>
      <w:r>
        <w:rPr>
          <w:rFonts w:ascii="Times New Roman" w:cs="Times New Roman" w:eastAsia="Times New Roman" w:hAnsi="Times New Roman"/>
          <w:b/>
          <w:bCs/>
          <w:sz w:val="24"/>
          <w:szCs w:val="24"/>
        </w:rPr>
        <w:t xml:space="preserve">syneresis</w:t>
      </w:r>
      <w:r>
        <w:rPr>
          <w:rFonts w:ascii="Times New Roman" w:cs="Times New Roman" w:eastAsia="Times New Roman" w:hAnsi="Times New Roman"/>
          <w:sz w:val="24"/>
          <w:szCs w:val="24"/>
        </w:rPr>
        <w:t xml:space="preserve"> — progressive condensation, redistribution of water, reorganisation of the polymer network, and loss of original structure through thermodynamic relaxation. </w:t>
      </w:r>
      <w:r>
        <w:rPr>
          <w:rFonts w:ascii="Times New Roman" w:cs="Times New Roman" w:eastAsia="Times New Roman" w:hAnsi="Times New Roman"/>
          <w:sz w:val="18"/>
          <w:szCs w:val="18"/>
          <w:vertAlign w:val="superscript"/>
        </w:rPr>
        <w:t xml:space="preserve">[24,3]</w:t>
      </w:r>
      <w:r>
        <w:rPr>
          <w:rFonts w:ascii="Times New Roman" w:cs="Times New Roman" w:eastAsia="Times New Roman" w:hAnsi="Times New Roman"/>
          <w:sz w:val="24"/>
          <w:szCs w:val="24"/>
        </w:rPr>
        <w:t xml:space="preserve"> In non-living hydrogel systems, syneresis proceeds passively and irreversibly. The living cell differs fundamentally: its intracellular hydrogel undergoes </w:t>
      </w:r>
      <w:r>
        <w:rPr>
          <w:rFonts w:ascii="Times New Roman" w:cs="Times New Roman" w:eastAsia="Times New Roman" w:hAnsi="Times New Roman"/>
          <w:b/>
          <w:bCs/>
          <w:sz w:val="24"/>
          <w:szCs w:val="24"/>
        </w:rPr>
        <w:t xml:space="preserve">continuous energy-dependent self-renewal</w:t>
      </w:r>
      <w:r>
        <w:rPr>
          <w:rFonts w:ascii="Times New Roman" w:cs="Times New Roman" w:eastAsia="Times New Roman" w:hAnsi="Times New Roman"/>
          <w:sz w:val="24"/>
          <w:szCs w:val="24"/>
        </w:rPr>
        <w:t xml:space="preserve"> that continuously opposes thermodynamic relaxation and maintains the system far from equilibrium.</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Central proposition: </w:t>
      </w:r>
      <w:r>
        <w:rPr>
          <w:rFonts w:ascii="Times New Roman" w:cs="Times New Roman" w:eastAsia="Times New Roman" w:hAnsi="Times New Roman"/>
          <w:sz w:val="24"/>
          <w:szCs w:val="24"/>
        </w:rPr>
        <w:t xml:space="preserve">Cellular life is the continuous energy-dependent self-renewal of the active intracellular hydrogel. Cellular death is the irreversible failure of that self-renewal. The plasma membrane, while essential, is a boundary condition of this system — not its organisational core. When the hydrogel collapses, the cell is dead regardless of the membrane's transient integrity. When the hydrogel is preserved, the cell can survive transient membrane injury.</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The Erythrocyte as a Minimal Model of a Self-Renewing Hydrogel</w:t>
      </w:r>
    </w:p>
    <w:p>
      <w:pPr>
        <w:pStyle w:val="Heading2"/>
        <w:spacing w:after="100" w:before="240"/>
      </w:pPr>
      <w:r>
        <w:rPr>
          <w:rFonts w:ascii="Arial" w:cs="Arial" w:eastAsia="Arial" w:hAnsi="Arial"/>
          <w:b/>
          <w:bCs/>
          <w:color w:val="2E75B6"/>
          <w:sz w:val="24"/>
          <w:szCs w:val="24"/>
        </w:rPr>
        <w:t xml:space="preserve">2.1 The Classical View and Its Incompleteness</w:t>
      </w:r>
    </w:p>
    <w:p>
      <w:pPr>
        <w:spacing w:after="180" w:line="276" w:lineRule="auto"/>
        <w:jc w:val="both"/>
      </w:pPr>
      <w:r>
        <w:rPr>
          <w:rFonts w:ascii="Times New Roman" w:cs="Times New Roman" w:eastAsia="Times New Roman" w:hAnsi="Times New Roman"/>
          <w:sz w:val="24"/>
          <w:szCs w:val="24"/>
        </w:rPr>
        <w:t xml:space="preserve">The mature erythrocyte is traditionally described as the paradigmatic example of a cell that has surrendered self-renewal capacity: it is anucleat, lacks mitochondria, cannot undergo apoptosis in the classical sense, and depends entirely on glycolysis for adenosine triphosphate production. Its lifespan of approximately 120 days is described as a simple process of progressive membrane deterioration and eventual phagocytic removal. </w:t>
      </w:r>
      <w:r>
        <w:rPr>
          <w:rFonts w:ascii="Times New Roman" w:cs="Times New Roman" w:eastAsia="Times New Roman" w:hAnsi="Times New Roman"/>
          <w:sz w:val="18"/>
          <w:szCs w:val="18"/>
          <w:vertAlign w:val="superscript"/>
        </w:rPr>
        <w:t xml:space="preserve">[5]</w:t>
      </w:r>
    </w:p>
    <w:p>
      <w:pPr>
        <w:spacing w:after="180" w:line="276" w:lineRule="auto"/>
        <w:jc w:val="both"/>
      </w:pPr>
      <w:r>
        <w:rPr>
          <w:rFonts w:ascii="Times New Roman" w:cs="Times New Roman" w:eastAsia="Times New Roman" w:hAnsi="Times New Roman"/>
          <w:sz w:val="24"/>
          <w:szCs w:val="24"/>
        </w:rPr>
        <w:t xml:space="preserve">This description, while largely correct, is incomplete in a way that is physically significant. The mature erythrocyte is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entirely devoid of protein synthesis capacity. Residual messenger RNA and ribosomal components — inherited from the reticulocyte stage and cleared only gradually — persist in circulating erythrocytes beyond the reticulocyte stage and support ongoing, low-level translational activity. </w:t>
      </w:r>
      <w:r>
        <w:rPr>
          <w:rFonts w:ascii="Times New Roman" w:cs="Times New Roman" w:eastAsia="Times New Roman" w:hAnsi="Times New Roman"/>
          <w:sz w:val="18"/>
          <w:szCs w:val="18"/>
          <w:vertAlign w:val="superscript"/>
        </w:rPr>
        <w:t xml:space="preserve">[16,17,18,19,20]</w:t>
      </w:r>
    </w:p>
    <w:p>
      <w:pPr>
        <w:pStyle w:val="Heading2"/>
        <w:spacing w:after="100" w:before="240"/>
      </w:pPr>
      <w:r>
        <w:rPr>
          <w:rFonts w:ascii="Arial" w:cs="Arial" w:eastAsia="Arial" w:hAnsi="Arial"/>
          <w:b/>
          <w:bCs/>
          <w:color w:val="2E75B6"/>
          <w:sz w:val="24"/>
          <w:szCs w:val="24"/>
        </w:rPr>
        <w:t xml:space="preserve">2.2 Residual Translational Activity: The Second Component of Erythrocyte Self-Renewal</w:t>
      </w:r>
    </w:p>
    <w:p>
      <w:pPr>
        <w:spacing w:after="180" w:line="276" w:lineRule="auto"/>
        <w:jc w:val="both"/>
      </w:pPr>
      <w:r>
        <w:rPr>
          <w:rFonts w:ascii="Times New Roman" w:cs="Times New Roman" w:eastAsia="Times New Roman" w:hAnsi="Times New Roman"/>
          <w:sz w:val="24"/>
          <w:szCs w:val="24"/>
        </w:rPr>
        <w:t xml:space="preserve">During reticulocyte maturation, ribosomes and messenger RNAs are progressively cleared. However, this clearance is not instantaneous: residual ribosomal RNA and messenger RNA molecules — including globin messenger RNA, spectrin messenger RNA, ankyrin messenger RNA, and band 3 protein messenger RNA — persist in the earliest circulating erythrocytes and continue to support translational activity at levels that, while far below those of nucleated cells, are biologically non-trivial. </w:t>
      </w:r>
      <w:r>
        <w:rPr>
          <w:rFonts w:ascii="Times New Roman" w:cs="Times New Roman" w:eastAsia="Times New Roman" w:hAnsi="Times New Roman"/>
          <w:sz w:val="18"/>
          <w:szCs w:val="18"/>
          <w:vertAlign w:val="superscript"/>
        </w:rPr>
        <w:t xml:space="preserve">[16,17,18,19]</w:t>
      </w:r>
    </w:p>
    <w:p>
      <w:pPr>
        <w:spacing w:after="180" w:line="276" w:lineRule="auto"/>
        <w:jc w:val="both"/>
      </w:pPr>
      <w:r>
        <w:rPr>
          <w:rFonts w:ascii="Times New Roman" w:cs="Times New Roman" w:eastAsia="Times New Roman" w:hAnsi="Times New Roman"/>
          <w:sz w:val="24"/>
          <w:szCs w:val="24"/>
        </w:rPr>
        <w:t xml:space="preserve">The functional consequence is that the erythrocyte retains a limited capacity to synthesise the structural proteins of its membrane-cytoskeletal complex: spectrin (alpha and beta chains), ankyrin, band 4.1, and to some degree globin. These proteins are the molecular fabric of the erythrocyte's </w:t>
      </w:r>
      <w:r>
        <w:rPr>
          <w:rFonts w:ascii="Times New Roman" w:cs="Times New Roman" w:eastAsia="Times New Roman" w:hAnsi="Times New Roman"/>
          <w:b/>
          <w:bCs/>
          <w:sz w:val="24"/>
          <w:szCs w:val="24"/>
        </w:rPr>
        <w:t xml:space="preserve">intracellular hydrogel network</w:t>
      </w:r>
      <w:r>
        <w:rPr>
          <w:rFonts w:ascii="Times New Roman" w:cs="Times New Roman" w:eastAsia="Times New Roman" w:hAnsi="Times New Roman"/>
          <w:sz w:val="24"/>
          <w:szCs w:val="24"/>
        </w:rPr>
        <w:t xml:space="preserve"> — the viscoelastic scaffold that maintains cell geometry, membrane deformability, and osmotic resilience. Their ongoing synthesis, even at minimal rates, represents a genuine self-renewal process: the gradual replacement of oxidatively damaged or mechanically fatigued structural proteins. </w:t>
      </w:r>
      <w:r>
        <w:rPr>
          <w:rFonts w:ascii="Times New Roman" w:cs="Times New Roman" w:eastAsia="Times New Roman" w:hAnsi="Times New Roman"/>
          <w:sz w:val="18"/>
          <w:szCs w:val="18"/>
          <w:vertAlign w:val="superscript"/>
        </w:rPr>
        <w:t xml:space="preserve">[18,20,21]</w:t>
      </w:r>
    </w:p>
    <w:p>
      <w:pPr>
        <w:pStyle w:val="Heading2"/>
        <w:spacing w:after="100" w:before="240"/>
      </w:pPr>
      <w:r>
        <w:rPr>
          <w:rFonts w:ascii="Arial" w:cs="Arial" w:eastAsia="Arial" w:hAnsi="Arial"/>
          <w:b/>
          <w:bCs/>
          <w:color w:val="2E75B6"/>
          <w:sz w:val="24"/>
          <w:szCs w:val="24"/>
        </w:rPr>
        <w:t xml:space="preserve">2.3 The Two-Component Self-Renewal System</w:t>
      </w:r>
    </w:p>
    <w:p>
      <w:pPr>
        <w:spacing w:after="180" w:line="276" w:lineRule="auto"/>
        <w:jc w:val="both"/>
      </w:pPr>
      <w:r>
        <w:rPr>
          <w:rFonts w:ascii="Times New Roman" w:cs="Times New Roman" w:eastAsia="Times New Roman" w:hAnsi="Times New Roman"/>
          <w:sz w:val="24"/>
          <w:szCs w:val="24"/>
        </w:rPr>
        <w:t xml:space="preserve">The erythrocyte therefore maintains its hydrogel integrity through a </w:t>
      </w:r>
      <w:r>
        <w:rPr>
          <w:rFonts w:ascii="Times New Roman" w:cs="Times New Roman" w:eastAsia="Times New Roman" w:hAnsi="Times New Roman"/>
          <w:b/>
          <w:bCs/>
          <w:sz w:val="24"/>
          <w:szCs w:val="24"/>
        </w:rPr>
        <w:t xml:space="preserve">two-component self-renewal system</w:t>
      </w:r>
      <w:r>
        <w:rPr>
          <w:rFonts w:ascii="Times New Roman" w:cs="Times New Roman" w:eastAsia="Times New Roman" w:hAnsi="Times New Roman"/>
          <w:sz w:val="24"/>
          <w:szCs w:val="24"/>
        </w:rPr>
        <w:t xml:space="preserve">:</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Component 1 — Adenosine triphosphate-dependent ion pump activity: </w:t>
      </w:r>
      <w:r>
        <w:rPr>
          <w:rFonts w:ascii="Times New Roman" w:cs="Times New Roman" w:eastAsia="Times New Roman" w:hAnsi="Times New Roman"/>
          <w:sz w:val="24"/>
          <w:szCs w:val="24"/>
        </w:rPr>
        <w:t xml:space="preserve">Na⁺/K⁺-adenosine triphosphatase continuously extrudes sodium, maintaining the pump-leak balance, preventing osmotic water influx, and preserving cell volume within the geometric reserve. This component requires continuous glycolytic adenosine triphosphate production and fails within minutes of glycolytic inhibition. </w:t>
      </w:r>
      <w:r>
        <w:rPr>
          <w:rFonts w:ascii="Times New Roman" w:cs="Times New Roman" w:eastAsia="Times New Roman" w:hAnsi="Times New Roman"/>
          <w:sz w:val="18"/>
          <w:szCs w:val="18"/>
          <w:vertAlign w:val="superscript"/>
        </w:rPr>
        <w:t xml:space="preserve">[4,1]</w:t>
      </w:r>
    </w:p>
    <w:p>
      <w:pPr>
        <w:spacing w:after="180" w:line="276" w:lineRule="auto"/>
        <w:jc w:val="both"/>
      </w:pPr>
      <w:r>
        <w:rPr>
          <w:rFonts w:ascii="Times New Roman" w:cs="Times New Roman" w:eastAsia="Times New Roman" w:hAnsi="Times New Roman"/>
          <w:b/>
          <w:bCs/>
          <w:sz w:val="24"/>
          <w:szCs w:val="24"/>
        </w:rPr>
        <w:t xml:space="preserve">Component 2 — Residual messenger RNA-dependent structural protein synthesis: </w:t>
      </w:r>
      <w:r>
        <w:rPr>
          <w:rFonts w:ascii="Times New Roman" w:cs="Times New Roman" w:eastAsia="Times New Roman" w:hAnsi="Times New Roman"/>
          <w:sz w:val="24"/>
          <w:szCs w:val="24"/>
        </w:rPr>
        <w:t xml:space="preserve">Ongoing low-level translation of spectrin, ankyrin, and related cytoskeletal proteins continuously replaces oxidatively damaged structural components of the hydrogel network. This component is independent of adenosine triphosphate in the sense that it does not require ion pump function, but depends on: availability of residual messenger RNA (which is progressively depleted over the erythrocyte lifespan); amino acid substrate; and ribosomes that remain functional in the absence of oxidative stress. </w:t>
      </w:r>
      <w:r>
        <w:rPr>
          <w:rFonts w:ascii="Times New Roman" w:cs="Times New Roman" w:eastAsia="Times New Roman" w:hAnsi="Times New Roman"/>
          <w:sz w:val="18"/>
          <w:szCs w:val="18"/>
          <w:vertAlign w:val="superscript"/>
        </w:rPr>
        <w:t xml:space="preserve">[16,18,21]</w:t>
      </w:r>
    </w:p>
    <w:p>
      <w:pPr>
        <w:spacing w:after="80"/>
      </w:pPr>
      <w:r>
        <w:rPr>
          <w:rFonts w:ascii="Times New Roman" w:cs="Times New Roman" w:eastAsia="Times New Roman" w:hAnsi="Times New Roman"/>
          <w:sz w:val="24"/>
          <w:szCs w:val="24"/>
        </w:rPr>
        <w:t xml:space="preserve"/>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The erythrocyte as minimal self-renewing system: </w:t>
      </w:r>
      <w:r>
        <w:rPr>
          <w:rFonts w:ascii="Times New Roman" w:cs="Times New Roman" w:eastAsia="Times New Roman" w:hAnsi="Times New Roman"/>
          <w:sz w:val="24"/>
          <w:szCs w:val="24"/>
        </w:rPr>
        <w:t xml:space="preserve">The mature erythrocyte is not a passive bag that degrades over 120 days. It is a </w:t>
      </w:r>
      <w:r>
        <w:rPr>
          <w:rFonts w:ascii="Times New Roman" w:cs="Times New Roman" w:eastAsia="Times New Roman" w:hAnsi="Times New Roman"/>
          <w:b/>
          <w:bCs/>
          <w:sz w:val="24"/>
          <w:szCs w:val="24"/>
        </w:rPr>
        <w:t xml:space="preserve">minimal two-component self-renewing hydrogel system</w:t>
      </w:r>
      <w:r>
        <w:rPr>
          <w:rFonts w:ascii="Times New Roman" w:cs="Times New Roman" w:eastAsia="Times New Roman" w:hAnsi="Times New Roman"/>
          <w:sz w:val="24"/>
          <w:szCs w:val="24"/>
        </w:rPr>
        <w:t xml:space="preserve">: ion pump activity (Component 1) maintains osmotic stability minute-to-minute; residual translational activity (Component 2) maintains structural integrity over days-to-weeks by replacing damaged cytoskeletal proteins. The 120-day lifespan reflects the gradual, irreversible depletion of residual messenger RNA — the point at which Component 2 fails completely and the hydrogel network can no longer be replenished. At this point, even intact Component 1 function cannot prevent progressive structural deterioration and eventual eryptosis or phagocytic clearance.</w:t>
      </w:r>
    </w:p>
    <w:p>
      <w:pPr>
        <w:pStyle w:val="Heading2"/>
        <w:spacing w:after="100" w:before="240"/>
      </w:pPr>
      <w:r>
        <w:rPr>
          <w:rFonts w:ascii="Arial" w:cs="Arial" w:eastAsia="Arial" w:hAnsi="Arial"/>
          <w:b/>
          <w:bCs/>
          <w:color w:val="2E75B6"/>
          <w:sz w:val="24"/>
          <w:szCs w:val="24"/>
        </w:rPr>
        <w:t xml:space="preserve">2.4 Why the Erythrocyte is the Ideal Experimental Model</w:t>
      </w:r>
    </w:p>
    <w:p>
      <w:pPr>
        <w:spacing w:after="180" w:line="276" w:lineRule="auto"/>
        <w:jc w:val="both"/>
      </w:pPr>
      <w:r>
        <w:rPr>
          <w:rFonts w:ascii="Times New Roman" w:cs="Times New Roman" w:eastAsia="Times New Roman" w:hAnsi="Times New Roman"/>
          <w:sz w:val="24"/>
          <w:szCs w:val="24"/>
        </w:rPr>
        <w:t xml:space="preserve">The two-component architecture of erythrocyte self-renewal makes it uniquely suited as an experimental model of hydrogel biology precisely because of its minimalism:</w:t>
      </w:r>
    </w:p>
    <w:p>
      <w:pPr>
        <w:pStyle w:val="ListParagraph"/>
        <w:numPr>
          <w:ilvl w:val="0"/>
          <w:numId w:val="2"/>
        </w:numPr>
        <w:spacing w:after="100"/>
      </w:pPr>
      <w:r>
        <w:rPr>
          <w:rFonts w:ascii="Times New Roman" w:cs="Times New Roman" w:eastAsia="Times New Roman" w:hAnsi="Times New Roman"/>
          <w:b/>
          <w:bCs/>
          <w:sz w:val="24"/>
          <w:szCs w:val="24"/>
        </w:rPr>
        <w:t xml:space="preserve">Component 1 can be selectively inhibited: </w:t>
      </w:r>
      <w:r>
        <w:rPr>
          <w:rFonts w:ascii="Times New Roman" w:cs="Times New Roman" w:eastAsia="Times New Roman" w:hAnsi="Times New Roman"/>
          <w:sz w:val="24"/>
          <w:szCs w:val="24"/>
        </w:rPr>
        <w:t xml:space="preserve">glycolytic inhibitors (iodoacetate, fluoride) block adenosine triphosphate production without immediately affecting residual protein synthesis, allowing selective study of osmotic instability at preserved structural integrity.</w:t>
      </w:r>
    </w:p>
    <w:p>
      <w:pPr>
        <w:pStyle w:val="ListParagraph"/>
        <w:numPr>
          <w:ilvl w:val="0"/>
          <w:numId w:val="2"/>
        </w:numPr>
        <w:spacing w:after="100"/>
      </w:pPr>
      <w:r>
        <w:rPr>
          <w:rFonts w:ascii="Times New Roman" w:cs="Times New Roman" w:eastAsia="Times New Roman" w:hAnsi="Times New Roman"/>
          <w:b/>
          <w:bCs/>
          <w:sz w:val="24"/>
          <w:szCs w:val="24"/>
        </w:rPr>
        <w:t xml:space="preserve">Component 2 can be monitored: </w:t>
      </w:r>
      <w:r>
        <w:rPr>
          <w:rFonts w:ascii="Times New Roman" w:cs="Times New Roman" w:eastAsia="Times New Roman" w:hAnsi="Times New Roman"/>
          <w:sz w:val="24"/>
          <w:szCs w:val="24"/>
        </w:rPr>
        <w:t xml:space="preserve">residual messenger RNA content is measurable by quantitative polymerase chain reaction; translational activity by metabolic labelling with amino acid analogues; spectrin renewal by isotopic pulse-chase experiments.</w:t>
      </w:r>
    </w:p>
    <w:p>
      <w:pPr>
        <w:pStyle w:val="ListParagraph"/>
        <w:numPr>
          <w:ilvl w:val="0"/>
          <w:numId w:val="2"/>
        </w:numPr>
        <w:spacing w:after="100"/>
      </w:pPr>
      <w:r>
        <w:rPr>
          <w:rFonts w:ascii="Times New Roman" w:cs="Times New Roman" w:eastAsia="Times New Roman" w:hAnsi="Times New Roman"/>
          <w:b/>
          <w:bCs/>
          <w:sz w:val="24"/>
          <w:szCs w:val="24"/>
        </w:rPr>
        <w:t xml:space="preserve">Geometric reserve is quantifiable: </w:t>
      </w:r>
      <w:r>
        <w:rPr>
          <w:rFonts w:ascii="Times New Roman" w:cs="Times New Roman" w:eastAsia="Times New Roman" w:hAnsi="Times New Roman"/>
          <w:sz w:val="24"/>
          <w:szCs w:val="24"/>
        </w:rPr>
        <w:t xml:space="preserve">osmotic fragility testing provides a direct, continuous metric of distance from the lytic threshold — a measurement not available for other cell types.</w:t>
      </w:r>
    </w:p>
    <w:p>
      <w:pPr>
        <w:pStyle w:val="ListParagraph"/>
        <w:numPr>
          <w:ilvl w:val="0"/>
          <w:numId w:val="2"/>
        </w:numPr>
        <w:spacing w:after="100"/>
      </w:pPr>
      <w:r>
        <w:rPr>
          <w:rFonts w:ascii="Times New Roman" w:cs="Times New Roman" w:eastAsia="Times New Roman" w:hAnsi="Times New Roman"/>
          <w:b/>
          <w:bCs/>
          <w:sz w:val="24"/>
          <w:szCs w:val="24"/>
        </w:rPr>
        <w:t xml:space="preserve">The lifespan maps Component 2 depletion: </w:t>
      </w:r>
      <w:r>
        <w:rPr>
          <w:rFonts w:ascii="Times New Roman" w:cs="Times New Roman" w:eastAsia="Times New Roman" w:hAnsi="Times New Roman"/>
          <w:sz w:val="24"/>
          <w:szCs w:val="24"/>
        </w:rPr>
        <w:t xml:space="preserve">the 120-day erythrocyte lifespan can be reinterpreted as the integral of messenger RNA depletion rate — the time at which residual translation falls below the threshold required to compensate for structural protein oxidative damage.</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No other cell in the organism provides this combination of properties: minimal complexity, two separable self-renewal components, and a quantitative physical metric (osmotic fragility) of proximity to hydrogel collapse.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The Physical Architecture: Membrane and Hydrogel as Distinct Systems</w:t>
      </w:r>
    </w:p>
    <w:p>
      <w:pPr>
        <w:pStyle w:val="Heading2"/>
        <w:spacing w:after="100" w:before="240"/>
      </w:pPr>
      <w:r>
        <w:rPr>
          <w:rFonts w:ascii="Arial" w:cs="Arial" w:eastAsia="Arial" w:hAnsi="Arial"/>
          <w:b/>
          <w:bCs/>
          <w:color w:val="2E75B6"/>
          <w:sz w:val="24"/>
          <w:szCs w:val="24"/>
        </w:rPr>
        <w:t xml:space="preserve">3.1 Two Physically Different Levels</w:t>
      </w:r>
    </w:p>
    <w:p>
      <w:pPr>
        <w:spacing w:after="180" w:line="276" w:lineRule="auto"/>
        <w:jc w:val="both"/>
      </w:pPr>
      <w:r>
        <w:rPr>
          <w:rFonts w:ascii="Times New Roman" w:cs="Times New Roman" w:eastAsia="Times New Roman" w:hAnsi="Times New Roman"/>
          <w:sz w:val="24"/>
          <w:szCs w:val="24"/>
        </w:rPr>
        <w:t xml:space="preserve">The plasma membrane and the intracellular hydrogel represent physically distinct systems that can fail independently. Understanding their relationship is essential for distinguishing reversible from irreversible cellular injury.</w:t>
      </w:r>
    </w:p>
    <w:p>
      <w:pPr>
        <w:spacing w:after="180" w:line="276"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plasma membrane</w:t>
      </w:r>
      <w:r>
        <w:rPr>
          <w:rFonts w:ascii="Times New Roman" w:cs="Times New Roman" w:eastAsia="Times New Roman" w:hAnsi="Times New Roman"/>
          <w:sz w:val="24"/>
          <w:szCs w:val="24"/>
        </w:rPr>
        <w:t xml:space="preserve"> is a two-dimensional fluid lipid bilayer — a dynamic, flexible boundary that separates intracellular from extracellular compartments. It is characterised by lateral fluidity, lipid asymmetry, embedded protein complexes, and anchoring to the underlying cytoskeletal network. Its mechanical properties are those of a thin elastic shell with finite lytic tension. </w:t>
      </w:r>
      <w:r>
        <w:rPr>
          <w:rFonts w:ascii="Times New Roman" w:cs="Times New Roman" w:eastAsia="Times New Roman" w:hAnsi="Times New Roman"/>
          <w:sz w:val="18"/>
          <w:szCs w:val="18"/>
          <w:vertAlign w:val="superscript"/>
        </w:rPr>
        <w:t xml:space="preserve">[6,7]</w:t>
      </w:r>
    </w:p>
    <w:p>
      <w:pPr>
        <w:spacing w:after="180" w:line="276"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intracellular hydrogel</w:t>
      </w:r>
      <w:r>
        <w:rPr>
          <w:rFonts w:ascii="Times New Roman" w:cs="Times New Roman" w:eastAsia="Times New Roman" w:hAnsi="Times New Roman"/>
          <w:sz w:val="24"/>
          <w:szCs w:val="24"/>
        </w:rPr>
        <w:t xml:space="preserve"> is a three-dimensional viscoelastic network — the primary load-bearing and organisational structure of the cytoplasm. It is composed of cytoskeletal polymers (actin, spectrin, microtubules, intermediate filaments), protein condensates, organelles, and bound water layers organised by macromolecular crowding. Its mechanical properties are those of a soft viscoelastic material with elastic modulus, yield stress, and time-dependent creep behaviour. </w:t>
      </w:r>
      <w:r>
        <w:rPr>
          <w:rFonts w:ascii="Times New Roman" w:cs="Times New Roman" w:eastAsia="Times New Roman" w:hAnsi="Times New Roman"/>
          <w:sz w:val="18"/>
          <w:szCs w:val="18"/>
          <w:vertAlign w:val="superscript"/>
        </w:rPr>
        <w:t xml:space="preserve">[22,7]</w:t>
      </w:r>
    </w:p>
    <w:p>
      <w:pPr>
        <w:pStyle w:val="Heading2"/>
        <w:spacing w:after="100" w:before="240"/>
      </w:pPr>
      <w:r>
        <w:rPr>
          <w:rFonts w:ascii="Arial" w:cs="Arial" w:eastAsia="Arial" w:hAnsi="Arial"/>
          <w:b/>
          <w:bCs/>
          <w:color w:val="2E75B6"/>
          <w:sz w:val="24"/>
          <w:szCs w:val="24"/>
        </w:rPr>
        <w:t xml:space="preserve">3.2 Reversible Membrane Injury: The Hydrogel as Scaffold</w:t>
      </w:r>
    </w:p>
    <w:p>
      <w:pPr>
        <w:spacing w:after="180" w:line="276" w:lineRule="auto"/>
        <w:jc w:val="both"/>
      </w:pPr>
      <w:r>
        <w:rPr>
          <w:rFonts w:ascii="Times New Roman" w:cs="Times New Roman" w:eastAsia="Times New Roman" w:hAnsi="Times New Roman"/>
          <w:sz w:val="24"/>
          <w:szCs w:val="24"/>
        </w:rPr>
        <w:t xml:space="preserve">Partial membrane injury — transient pores, localised tears, electroporation, mechanical deformation beyond elastic limits — may remain </w:t>
      </w:r>
      <w:r>
        <w:rPr>
          <w:rFonts w:ascii="Times New Roman" w:cs="Times New Roman" w:eastAsia="Times New Roman" w:hAnsi="Times New Roman"/>
          <w:b/>
          <w:bCs/>
          <w:sz w:val="24"/>
          <w:szCs w:val="24"/>
        </w:rPr>
        <w:t xml:space="preserve">reversible</w:t>
      </w:r>
      <w:r>
        <w:rPr>
          <w:rFonts w:ascii="Times New Roman" w:cs="Times New Roman" w:eastAsia="Times New Roman" w:hAnsi="Times New Roman"/>
          <w:sz w:val="24"/>
          <w:szCs w:val="24"/>
        </w:rPr>
        <w:t xml:space="preserve"> when the intracellular hydrogel retains structural and energetic integrity. Membrane repair mechanisms include: calcium-triggered vesicle fusion and membrane patching; lipid redistribution driven by lateral membrane fluidity; cytoskeletal stabilisation of membrane defect edges; and endocytotic remodelling of damaged membrane regions. </w:t>
      </w:r>
      <w:r>
        <w:rPr>
          <w:rFonts w:ascii="Times New Roman" w:cs="Times New Roman" w:eastAsia="Times New Roman" w:hAnsi="Times New Roman"/>
          <w:sz w:val="18"/>
          <w:szCs w:val="18"/>
          <w:vertAlign w:val="superscript"/>
        </w:rPr>
        <w:t xml:space="preserve">[26,27]</w:t>
      </w:r>
    </w:p>
    <w:p>
      <w:pPr>
        <w:spacing w:after="180" w:line="276" w:lineRule="auto"/>
        <w:jc w:val="both"/>
      </w:pPr>
      <w:r>
        <w:rPr>
          <w:rFonts w:ascii="Times New Roman" w:cs="Times New Roman" w:eastAsia="Times New Roman" w:hAnsi="Times New Roman"/>
          <w:sz w:val="24"/>
          <w:szCs w:val="24"/>
        </w:rPr>
        <w:t xml:space="preserve">All of these repair mechanisms depend critically on the </w:t>
      </w:r>
      <w:r>
        <w:rPr>
          <w:rFonts w:ascii="Times New Roman" w:cs="Times New Roman" w:eastAsia="Times New Roman" w:hAnsi="Times New Roman"/>
          <w:b/>
          <w:bCs/>
          <w:sz w:val="24"/>
          <w:szCs w:val="24"/>
        </w:rPr>
        <w:t xml:space="preserve">mechanical and energetic support of the intracellular hydrogel</w:t>
      </w:r>
      <w:r>
        <w:rPr>
          <w:rFonts w:ascii="Times New Roman" w:cs="Times New Roman" w:eastAsia="Times New Roman" w:hAnsi="Times New Roman"/>
          <w:sz w:val="24"/>
          <w:szCs w:val="24"/>
        </w:rPr>
        <w:t xml:space="preserve">. The hydrogel provides: mechanical scaffolding that limits deformation propagation from localised defects; osmotic stability that prevents water influx through membrane defects from driving uncontrolled swelling; adenosine triphosphate supply for calcium-triggered repair machinery; and cytoskeletal organisation that coordinates lipid redistribution and membrane resealing.</w:t>
      </w:r>
    </w:p>
    <w:p>
      <w:pPr>
        <w:spacing w:after="180" w:line="276" w:lineRule="auto"/>
        <w:jc w:val="both"/>
      </w:pPr>
      <w:r>
        <w:rPr>
          <w:rFonts w:ascii="Times New Roman" w:cs="Times New Roman" w:eastAsia="Times New Roman" w:hAnsi="Times New Roman"/>
          <w:sz w:val="24"/>
          <w:szCs w:val="24"/>
        </w:rPr>
        <w:t xml:space="preserve">When the hydrogel is intact, membrane injury remains bounded and potentially repairable. When the hydrogel has collapsed, membrane injuries of any size become irreparable: there is no mechanical support to limit propagation, no osmotic stability to prevent swelling through defects, and no adenosine triphosphate to drive repair machinery.</w:t>
      </w:r>
    </w:p>
    <w:p>
      <w:pPr>
        <w:pStyle w:val="Heading2"/>
        <w:spacing w:after="100" w:before="240"/>
      </w:pPr>
      <w:r>
        <w:rPr>
          <w:rFonts w:ascii="Arial" w:cs="Arial" w:eastAsia="Arial" w:hAnsi="Arial"/>
          <w:b/>
          <w:bCs/>
          <w:color w:val="2E75B6"/>
          <w:sz w:val="24"/>
          <w:szCs w:val="24"/>
        </w:rPr>
        <w:t xml:space="preserve">3.3 Irreversible Hydrogel Collapse: The Point of No Return</w:t>
      </w:r>
    </w:p>
    <w:p>
      <w:pPr>
        <w:spacing w:after="180" w:line="276" w:lineRule="auto"/>
        <w:jc w:val="both"/>
      </w:pPr>
      <w:r>
        <w:rPr>
          <w:rFonts w:ascii="Times New Roman" w:cs="Times New Roman" w:eastAsia="Times New Roman" w:hAnsi="Times New Roman"/>
          <w:sz w:val="24"/>
          <w:szCs w:val="24"/>
        </w:rPr>
        <w:t xml:space="preserve">Destabilisation of the intracellular hydrogel represents a fundamentally different — and </w:t>
      </w:r>
      <w:r>
        <w:rPr>
          <w:rFonts w:ascii="Times New Roman" w:cs="Times New Roman" w:eastAsia="Times New Roman" w:hAnsi="Times New Roman"/>
          <w:b/>
          <w:bCs/>
          <w:sz w:val="24"/>
          <w:szCs w:val="24"/>
        </w:rPr>
        <w:t xml:space="preserve">irreversible</w:t>
      </w:r>
      <w:r>
        <w:rPr>
          <w:rFonts w:ascii="Times New Roman" w:cs="Times New Roman" w:eastAsia="Times New Roman" w:hAnsi="Times New Roman"/>
          <w:sz w:val="24"/>
          <w:szCs w:val="24"/>
        </w:rPr>
        <w:t xml:space="preserve"> — level of cellular failure. When cytoskeletal organisation collapses, viscoelastic integrity is lost, intracellular phase organisation deteriorates, and osmotic regulation fails, the membrane loses its mechanical and energetic support. Under these conditions, even small membrane defects become non-repairable, deformation propagates uncontrollably, osmotic swelling accelerates, and cytolysis becomes inevitable. </w:t>
      </w:r>
      <w:r>
        <w:rPr>
          <w:rFonts w:ascii="Times New Roman" w:cs="Times New Roman" w:eastAsia="Times New Roman" w:hAnsi="Times New Roman"/>
          <w:sz w:val="18"/>
          <w:szCs w:val="18"/>
          <w:vertAlign w:val="superscript"/>
        </w:rPr>
        <w:t xml:space="preserve">[22,29]</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Key distinction: </w:t>
      </w:r>
      <w:r>
        <w:rPr>
          <w:rFonts w:ascii="Times New Roman" w:cs="Times New Roman" w:eastAsia="Times New Roman" w:hAnsi="Times New Roman"/>
          <w:sz w:val="24"/>
          <w:szCs w:val="24"/>
        </w:rPr>
        <w:t xml:space="preserve">The true point of no return in cellular death is </w:t>
      </w:r>
      <w:r>
        <w:rPr>
          <w:rFonts w:ascii="Times New Roman" w:cs="Times New Roman" w:eastAsia="Times New Roman" w:hAnsi="Times New Roman"/>
          <w:b/>
          <w:bCs/>
          <w:sz w:val="24"/>
          <w:szCs w:val="24"/>
        </w:rPr>
        <w:t xml:space="preserve">not membrane rupture</w:t>
      </w:r>
      <w:r>
        <w:rPr>
          <w:rFonts w:ascii="Times New Roman" w:cs="Times New Roman" w:eastAsia="Times New Roman" w:hAnsi="Times New Roman"/>
          <w:sz w:val="24"/>
          <w:szCs w:val="24"/>
        </w:rPr>
        <w:t xml:space="preserve"> — which is the terminal visible event — but </w:t>
      </w:r>
      <w:r>
        <w:rPr>
          <w:rFonts w:ascii="Times New Roman" w:cs="Times New Roman" w:eastAsia="Times New Roman" w:hAnsi="Times New Roman"/>
          <w:b/>
          <w:bCs/>
          <w:sz w:val="24"/>
          <w:szCs w:val="24"/>
        </w:rPr>
        <w:t xml:space="preserve">loss of the intracellular hydrogel's capacity for self-renewal</w:t>
      </w:r>
      <w:r>
        <w:rPr>
          <w:rFonts w:ascii="Times New Roman" w:cs="Times New Roman" w:eastAsia="Times New Roman" w:hAnsi="Times New Roman"/>
          <w:sz w:val="24"/>
          <w:szCs w:val="24"/>
        </w:rPr>
        <w:t xml:space="preserve">. A cell with a transiently perforated membrane but intact hydrogel can survive. A cell with an intact membrane but collapsed hydrogel cannot. Membrane rupture is the physical consequence of hydrogel collapse, not its cause.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Two Trajectories of Hydrogel Destabilisation</w:t>
      </w:r>
    </w:p>
    <w:p>
      <w:pPr>
        <w:spacing w:after="180" w:line="276" w:lineRule="auto"/>
        <w:jc w:val="both"/>
      </w:pPr>
      <w:r>
        <w:rPr>
          <w:rFonts w:ascii="Times New Roman" w:cs="Times New Roman" w:eastAsia="Times New Roman" w:hAnsi="Times New Roman"/>
          <w:sz w:val="24"/>
          <w:szCs w:val="24"/>
        </w:rPr>
        <w:t xml:space="preserve">When energetic self-renewal fails — whether through glycolytic adenosine triphosphate depletion (Component 1 failure) or through exhaustion of residual translational capacity (Component 2 failure) — the intracellular hydrogel may destabilise along two physically distinct trajectories determined by the rate and nature of the failure.</w:t>
      </w:r>
    </w:p>
    <w:p>
      <w:pPr>
        <w:pStyle w:val="Heading2"/>
        <w:spacing w:after="100" w:before="240"/>
      </w:pPr>
      <w:r>
        <w:rPr>
          <w:rFonts w:ascii="Arial" w:cs="Arial" w:eastAsia="Arial" w:hAnsi="Arial"/>
          <w:b/>
          <w:bCs/>
          <w:color w:val="2E75B6"/>
          <w:sz w:val="24"/>
          <w:szCs w:val="24"/>
        </w:rPr>
        <w:t xml:space="preserve">4.1 Hydropic-Solation Collapse (Swelling Trajectory)</w:t>
      </w:r>
    </w:p>
    <w:p>
      <w:pPr>
        <w:spacing w:after="180" w:line="276" w:lineRule="auto"/>
        <w:jc w:val="both"/>
      </w:pPr>
      <w:r>
        <w:rPr>
          <w:rFonts w:ascii="Times New Roman" w:cs="Times New Roman" w:eastAsia="Times New Roman" w:hAnsi="Times New Roman"/>
          <w:sz w:val="24"/>
          <w:szCs w:val="24"/>
        </w:rPr>
        <w:t xml:space="preserve">When adenosine triphosphate-dependent ion pump function fails acutely, the pump-leak balance shifts toward leak dominance. Sodium accumulates intracellularly, osmotic water influx initiates, and the hydrogel undergoes progressive </w:t>
      </w:r>
      <w:r>
        <w:rPr>
          <w:rFonts w:ascii="Times New Roman" w:cs="Times New Roman" w:eastAsia="Times New Roman" w:hAnsi="Times New Roman"/>
          <w:b/>
          <w:bCs/>
          <w:sz w:val="24"/>
          <w:szCs w:val="24"/>
        </w:rPr>
        <w:t xml:space="preserve">solation</w:t>
      </w:r>
      <w:r>
        <w:rPr>
          <w:rFonts w:ascii="Times New Roman" w:cs="Times New Roman" w:eastAsia="Times New Roman" w:hAnsi="Times New Roman"/>
          <w:sz w:val="24"/>
          <w:szCs w:val="24"/>
        </w:rPr>
        <w:t xml:space="preserve"> — dilution of the polymer network by water influx, reduction of cytoplasmic viscosity and elasticity, and dissociation of the cytoskeletal structure. </w:t>
      </w:r>
      <w:r>
        <w:rPr>
          <w:rFonts w:ascii="Times New Roman" w:cs="Times New Roman" w:eastAsia="Times New Roman" w:hAnsi="Times New Roman"/>
          <w:sz w:val="18"/>
          <w:szCs w:val="18"/>
          <w:vertAlign w:val="superscript"/>
        </w:rPr>
        <w:t xml:space="preserve">[1,2]</w:t>
      </w:r>
    </w:p>
    <w:p>
      <w:pPr>
        <w:pBdr>
          <w:top w:val="single" w:color="CCCCCC" w:sz="4" w:space="2"/>
          <w:bottom w:val="single" w:color="CCCCCC" w:sz="4" w:space="2"/>
          <w:left w:val="thick" w:color="2E75B6" w:sz="14" w:space="6"/>
        </w:pBdr>
        <w:shd w:fill="F4F8FE"/>
        <w:spacing w:after="120" w:before="120"/>
        <w:ind w:left="400" w:right="400"/>
      </w:pPr>
      <w:r>
        <w:rPr>
          <w:rFonts w:ascii="Courier New" w:cs="Courier New" w:eastAsia="Courier New" w:hAnsi="Courier New"/>
          <w:i/>
          <w:iCs/>
          <w:sz w:val="22"/>
          <w:szCs w:val="22"/>
        </w:rPr>
        <w:t xml:space="preserve">Component 1 failure → Na⁺ accumulation → H₂O influx → hydrogel solation → swelling → geometric reserve exhaustion → cytolysis</w:t>
      </w:r>
      <w:r>
        <w:rPr>
          <w:rFonts w:ascii="Arial" w:cs="Arial" w:eastAsia="Arial" w:hAnsi="Arial"/>
          <w:color w:val="666666"/>
          <w:sz w:val="20"/>
          <w:szCs w:val="20"/>
        </w:rPr>
        <w:t xml:space="preserve">   …(4.1)</w:t>
      </w:r>
    </w:p>
    <w:p>
      <w:pPr>
        <w:spacing w:after="180" w:line="276" w:lineRule="auto"/>
        <w:jc w:val="both"/>
      </w:pPr>
      <w:r>
        <w:rPr>
          <w:rFonts w:ascii="Times New Roman" w:cs="Times New Roman" w:eastAsia="Times New Roman" w:hAnsi="Times New Roman"/>
          <w:sz w:val="24"/>
          <w:szCs w:val="24"/>
        </w:rPr>
        <w:t xml:space="preserve">This trajectory corresponds to: </w:t>
      </w:r>
      <w:r>
        <w:rPr>
          <w:rFonts w:ascii="Times New Roman" w:cs="Times New Roman" w:eastAsia="Times New Roman" w:hAnsi="Times New Roman"/>
          <w:b/>
          <w:bCs/>
          <w:sz w:val="24"/>
          <w:szCs w:val="24"/>
        </w:rPr>
        <w:t xml:space="preserve">oncosis</w:t>
      </w:r>
      <w:r>
        <w:rPr>
          <w:rFonts w:ascii="Times New Roman" w:cs="Times New Roman" w:eastAsia="Times New Roman" w:hAnsi="Times New Roman"/>
          <w:sz w:val="24"/>
          <w:szCs w:val="24"/>
        </w:rPr>
        <w:t xml:space="preserve"> (pathological cell swelling); </w:t>
      </w:r>
      <w:r>
        <w:rPr>
          <w:rFonts w:ascii="Times New Roman" w:cs="Times New Roman" w:eastAsia="Times New Roman" w:hAnsi="Times New Roman"/>
          <w:b/>
          <w:bCs/>
          <w:sz w:val="24"/>
          <w:szCs w:val="24"/>
        </w:rPr>
        <w:t xml:space="preserve">cytotoxic oedema</w:t>
      </w:r>
      <w:r>
        <w:rPr>
          <w:rFonts w:ascii="Times New Roman" w:cs="Times New Roman" w:eastAsia="Times New Roman" w:hAnsi="Times New Roman"/>
          <w:sz w:val="24"/>
          <w:szCs w:val="24"/>
        </w:rPr>
        <w:t xml:space="preserve"> in ischaemia; </w:t>
      </w:r>
      <w:r>
        <w:rPr>
          <w:rFonts w:ascii="Times New Roman" w:cs="Times New Roman" w:eastAsia="Times New Roman" w:hAnsi="Times New Roman"/>
          <w:b/>
          <w:bCs/>
          <w:sz w:val="24"/>
          <w:szCs w:val="24"/>
        </w:rPr>
        <w:t xml:space="preserve">osmotic haemolysis</w:t>
      </w:r>
      <w:r>
        <w:rPr>
          <w:rFonts w:ascii="Times New Roman" w:cs="Times New Roman" w:eastAsia="Times New Roman" w:hAnsi="Times New Roman"/>
          <w:sz w:val="24"/>
          <w:szCs w:val="24"/>
        </w:rPr>
        <w:t xml:space="preserve"> in erythrocytes; and </w:t>
      </w:r>
      <w:r>
        <w:rPr>
          <w:rFonts w:ascii="Times New Roman" w:cs="Times New Roman" w:eastAsia="Times New Roman" w:hAnsi="Times New Roman"/>
          <w:b/>
          <w:bCs/>
          <w:sz w:val="24"/>
          <w:szCs w:val="24"/>
        </w:rPr>
        <w:t xml:space="preserve">ballooning degeneration</w:t>
      </w:r>
      <w:r>
        <w:rPr>
          <w:rFonts w:ascii="Times New Roman" w:cs="Times New Roman" w:eastAsia="Times New Roman" w:hAnsi="Times New Roman"/>
          <w:sz w:val="24"/>
          <w:szCs w:val="24"/>
        </w:rPr>
        <w:t xml:space="preserve"> in hepatocytes. The terminal event is membrane rupture from tension exceeding the lytic threshold — not from direct membrane attack but from the mechanical consequence of volume increase beyond the geometric reserve. </w:t>
      </w:r>
      <w:r>
        <w:rPr>
          <w:rFonts w:ascii="Times New Roman" w:cs="Times New Roman" w:eastAsia="Times New Roman" w:hAnsi="Times New Roman"/>
          <w:sz w:val="18"/>
          <w:szCs w:val="18"/>
          <w:vertAlign w:val="superscript"/>
        </w:rPr>
        <w:t xml:space="preserve">[29]</w:t>
      </w:r>
    </w:p>
    <w:p>
      <w:pPr>
        <w:pStyle w:val="Heading2"/>
        <w:spacing w:after="100" w:before="240"/>
      </w:pPr>
      <w:r>
        <w:rPr>
          <w:rFonts w:ascii="Arial" w:cs="Arial" w:eastAsia="Arial" w:hAnsi="Arial"/>
          <w:b/>
          <w:bCs/>
          <w:color w:val="2E75B6"/>
          <w:sz w:val="24"/>
          <w:szCs w:val="24"/>
        </w:rPr>
        <w:t xml:space="preserve">4.2 Contractile-Syneretic Collapse (Condensation Trajectory)</w:t>
      </w:r>
    </w:p>
    <w:p>
      <w:pPr>
        <w:spacing w:after="180" w:line="276" w:lineRule="auto"/>
        <w:jc w:val="both"/>
      </w:pPr>
      <w:r>
        <w:rPr>
          <w:rFonts w:ascii="Times New Roman" w:cs="Times New Roman" w:eastAsia="Times New Roman" w:hAnsi="Times New Roman"/>
          <w:sz w:val="24"/>
          <w:szCs w:val="24"/>
        </w:rPr>
        <w:t xml:space="preserve">When energetic failure is gradual and apoptotic signalling is activated before the osmotic threshold is crossed, the intracellular hydrogel may undergo the alternative trajectory of </w:t>
      </w:r>
      <w:r>
        <w:rPr>
          <w:rFonts w:ascii="Times New Roman" w:cs="Times New Roman" w:eastAsia="Times New Roman" w:hAnsi="Times New Roman"/>
          <w:b/>
          <w:bCs/>
          <w:sz w:val="24"/>
          <w:szCs w:val="24"/>
        </w:rPr>
        <w:t xml:space="preserve">syneretic condensation</w:t>
      </w:r>
      <w:r>
        <w:rPr>
          <w:rFonts w:ascii="Times New Roman" w:cs="Times New Roman" w:eastAsia="Times New Roman" w:hAnsi="Times New Roman"/>
          <w:sz w:val="24"/>
          <w:szCs w:val="24"/>
        </w:rPr>
        <w:t xml:space="preserve">: contraction of the polymer network, extrusion of water, reduction of cellular volume, and progressive densification without massive swelling. </w:t>
      </w:r>
      <w:r>
        <w:rPr>
          <w:rFonts w:ascii="Times New Roman" w:cs="Times New Roman" w:eastAsia="Times New Roman" w:hAnsi="Times New Roman"/>
          <w:sz w:val="18"/>
          <w:szCs w:val="18"/>
          <w:vertAlign w:val="superscript"/>
        </w:rPr>
        <w:t xml:space="preserve">[24,28]</w:t>
      </w:r>
    </w:p>
    <w:p>
      <w:pPr>
        <w:pBdr>
          <w:top w:val="single" w:color="CCCCCC" w:sz="4" w:space="2"/>
          <w:bottom w:val="single" w:color="CCCCCC" w:sz="4" w:space="2"/>
          <w:left w:val="thick" w:color="2E75B6" w:sz="14" w:space="6"/>
        </w:pBdr>
        <w:shd w:fill="F4F8FE"/>
        <w:spacing w:after="120" w:before="120"/>
        <w:ind w:left="400" w:right="400"/>
      </w:pPr>
      <w:r>
        <w:rPr>
          <w:rFonts w:ascii="Courier New" w:cs="Courier New" w:eastAsia="Courier New" w:hAnsi="Courier New"/>
          <w:i/>
          <w:iCs/>
          <w:sz w:val="22"/>
          <w:szCs w:val="22"/>
        </w:rPr>
        <w:t xml:space="preserve">Gradual energy deficit + apoptotic signalling → gel condensation → water extrusion → volume decrease → fragmentation → apoptotic bodies</w:t>
      </w:r>
      <w:r>
        <w:rPr>
          <w:rFonts w:ascii="Arial" w:cs="Arial" w:eastAsia="Arial" w:hAnsi="Arial"/>
          <w:color w:val="666666"/>
          <w:sz w:val="20"/>
          <w:szCs w:val="20"/>
        </w:rPr>
        <w:t xml:space="preserve">   …(4.2)</w:t>
      </w:r>
    </w:p>
    <w:p>
      <w:pPr>
        <w:spacing w:after="180" w:line="276" w:lineRule="auto"/>
        <w:jc w:val="both"/>
      </w:pPr>
      <w:r>
        <w:rPr>
          <w:rFonts w:ascii="Times New Roman" w:cs="Times New Roman" w:eastAsia="Times New Roman" w:hAnsi="Times New Roman"/>
          <w:sz w:val="24"/>
          <w:szCs w:val="24"/>
        </w:rPr>
        <w:t xml:space="preserve">This trajectory corresponds to: </w:t>
      </w:r>
      <w:r>
        <w:rPr>
          <w:rFonts w:ascii="Times New Roman" w:cs="Times New Roman" w:eastAsia="Times New Roman" w:hAnsi="Times New Roman"/>
          <w:b/>
          <w:bCs/>
          <w:sz w:val="24"/>
          <w:szCs w:val="24"/>
        </w:rPr>
        <w:t xml:space="preserve">apoptosis</w:t>
      </w:r>
      <w:r>
        <w:rPr>
          <w:rFonts w:ascii="Times New Roman" w:cs="Times New Roman" w:eastAsia="Times New Roman" w:hAnsi="Times New Roman"/>
          <w:sz w:val="24"/>
          <w:szCs w:val="24"/>
        </w:rPr>
        <w:t xml:space="preserve"> in nucleated cells; </w:t>
      </w:r>
      <w:r>
        <w:rPr>
          <w:rFonts w:ascii="Times New Roman" w:cs="Times New Roman" w:eastAsia="Times New Roman" w:hAnsi="Times New Roman"/>
          <w:b/>
          <w:bCs/>
          <w:sz w:val="24"/>
          <w:szCs w:val="24"/>
        </w:rPr>
        <w:t xml:space="preserve">eryptosis</w:t>
      </w:r>
      <w:r>
        <w:rPr>
          <w:rFonts w:ascii="Times New Roman" w:cs="Times New Roman" w:eastAsia="Times New Roman" w:hAnsi="Times New Roman"/>
          <w:sz w:val="24"/>
          <w:szCs w:val="24"/>
        </w:rPr>
        <w:t xml:space="preserve"> in erythrocytes; and </w:t>
      </w:r>
      <w:r>
        <w:rPr>
          <w:rFonts w:ascii="Times New Roman" w:cs="Times New Roman" w:eastAsia="Times New Roman" w:hAnsi="Times New Roman"/>
          <w:b/>
          <w:bCs/>
          <w:sz w:val="24"/>
          <w:szCs w:val="24"/>
        </w:rPr>
        <w:t xml:space="preserve">apoptotic volume decrease</w:t>
      </w:r>
      <w:r>
        <w:rPr>
          <w:rFonts w:ascii="Times New Roman" w:cs="Times New Roman" w:eastAsia="Times New Roman" w:hAnsi="Times New Roman"/>
          <w:sz w:val="24"/>
          <w:szCs w:val="24"/>
        </w:rPr>
        <w:t xml:space="preserve">. Membrane integrity is maintained for prolonged periods because the condensing hydrogel provides continued mechanical support and does not generate the membrane tension characteristic of the swelling trajectory. </w:t>
      </w:r>
      <w:r>
        <w:rPr>
          <w:rFonts w:ascii="Times New Roman" w:cs="Times New Roman" w:eastAsia="Times New Roman" w:hAnsi="Times New Roman"/>
          <w:sz w:val="18"/>
          <w:szCs w:val="18"/>
          <w:vertAlign w:val="superscript"/>
        </w:rPr>
        <w:t xml:space="preserve">[12,13,28]</w:t>
      </w:r>
    </w:p>
    <w:p>
      <w:pPr>
        <w:pStyle w:val="Heading2"/>
        <w:spacing w:after="100" w:before="240"/>
      </w:pPr>
      <w:r>
        <w:rPr>
          <w:rFonts w:ascii="Arial" w:cs="Arial" w:eastAsia="Arial" w:hAnsi="Arial"/>
          <w:b/>
          <w:bCs/>
          <w:color w:val="2E75B6"/>
          <w:sz w:val="24"/>
          <w:szCs w:val="24"/>
        </w:rPr>
        <w:t xml:space="preserve">4.3 The Kinetic Determinant of Trajectory</w:t>
      </w:r>
    </w:p>
    <w:p>
      <w:pPr>
        <w:spacing w:after="180" w:line="276" w:lineRule="auto"/>
        <w:jc w:val="both"/>
      </w:pPr>
      <w:r>
        <w:rPr>
          <w:rFonts w:ascii="Times New Roman" w:cs="Times New Roman" w:eastAsia="Times New Roman" w:hAnsi="Times New Roman"/>
          <w:sz w:val="24"/>
          <w:szCs w:val="24"/>
        </w:rPr>
        <w:t xml:space="preserve">The trajectory taken by a given cell under energy deficit is determined primarily by the </w:t>
      </w:r>
      <w:r>
        <w:rPr>
          <w:rFonts w:ascii="Times New Roman" w:cs="Times New Roman" w:eastAsia="Times New Roman" w:hAnsi="Times New Roman"/>
          <w:b/>
          <w:bCs/>
          <w:sz w:val="24"/>
          <w:szCs w:val="24"/>
        </w:rPr>
        <w:t xml:space="preserve">kinetics of adenosine triphosphate depletion</w:t>
      </w:r>
      <w:r>
        <w:rPr>
          <w:rFonts w:ascii="Times New Roman" w:cs="Times New Roman" w:eastAsia="Times New Roman" w:hAnsi="Times New Roman"/>
          <w:sz w:val="24"/>
          <w:szCs w:val="24"/>
        </w:rPr>
        <w:t xml:space="preserve"> relative to the kinetics of apoptotic programme activation:</w:t>
      </w:r>
    </w:p>
    <w:p>
      <w:pPr>
        <w:pStyle w:val="ListParagraph"/>
        <w:numPr>
          <w:ilvl w:val="0"/>
          <w:numId w:val="2"/>
        </w:numPr>
        <w:spacing w:after="100"/>
      </w:pPr>
      <w:r>
        <w:rPr>
          <w:rFonts w:ascii="Times New Roman" w:cs="Times New Roman" w:eastAsia="Times New Roman" w:hAnsi="Times New Roman"/>
          <w:b/>
          <w:bCs/>
          <w:sz w:val="24"/>
          <w:szCs w:val="24"/>
        </w:rPr>
        <w:t xml:space="preserve">Rapid, severe adenosine triphosphate depletion: </w:t>
      </w:r>
      <w:r>
        <w:rPr>
          <w:rFonts w:ascii="Times New Roman" w:cs="Times New Roman" w:eastAsia="Times New Roman" w:hAnsi="Times New Roman"/>
          <w:sz w:val="24"/>
          <w:szCs w:val="24"/>
        </w:rPr>
        <w:t xml:space="preserve">exceeds the kinetics of apoptotic programme activation → osmotic threshold reached before programmed death executes → hydropic-solation collapse → oncosis/haemolysis.</w:t>
      </w:r>
    </w:p>
    <w:p>
      <w:pPr>
        <w:pStyle w:val="ListParagraph"/>
        <w:numPr>
          <w:ilvl w:val="0"/>
          <w:numId w:val="2"/>
        </w:numPr>
        <w:spacing w:after="100"/>
      </w:pPr>
      <w:r>
        <w:rPr>
          <w:rFonts w:ascii="Times New Roman" w:cs="Times New Roman" w:eastAsia="Times New Roman" w:hAnsi="Times New Roman"/>
          <w:b/>
          <w:bCs/>
          <w:sz w:val="24"/>
          <w:szCs w:val="24"/>
        </w:rPr>
        <w:t xml:space="preserve">Gradual, moderate adenosine triphosphate depletion: </w:t>
      </w:r>
      <w:r>
        <w:rPr>
          <w:rFonts w:ascii="Times New Roman" w:cs="Times New Roman" w:eastAsia="Times New Roman" w:hAnsi="Times New Roman"/>
          <w:sz w:val="24"/>
          <w:szCs w:val="24"/>
        </w:rPr>
        <w:t xml:space="preserve">apoptotic programme activates and executes before osmotic threshold is crossed → contractile-syneretic collapse → apoptosis/eryptosis.</w:t>
      </w:r>
    </w:p>
    <w:p>
      <w:pPr>
        <w:spacing w:after="80"/>
      </w:pPr>
      <w:r>
        <w:rPr>
          <w:rFonts w:ascii="Times New Roman" w:cs="Times New Roman" w:eastAsia="Times New Roman" w:hAnsi="Times New Roman"/>
          <w:sz w:val="24"/>
          <w:szCs w:val="24"/>
        </w:rPr>
        <w:t xml:space="preserve"/>
      </w:r>
    </w:p>
    <w:p>
      <w:pPr>
        <w:pBdr>
          <w:top w:val="single" w:color="CCCCCC" w:sz="4" w:space="2"/>
          <w:bottom w:val="single" w:color="CCCCCC" w:sz="4" w:space="2"/>
          <w:left w:val="thick" w:color="E67E22" w:sz="14" w:space="8"/>
        </w:pBdr>
        <w:shd w:fill="FEF9F0"/>
        <w:spacing w:after="180" w:before="120"/>
        <w:ind w:left="240" w:right="240"/>
      </w:pPr>
      <w:r>
        <w:rPr>
          <w:rFonts w:ascii="Arial" w:cs="Arial" w:eastAsia="Arial" w:hAnsi="Arial"/>
          <w:b/>
          <w:bCs/>
          <w:sz w:val="22"/>
          <w:szCs w:val="22"/>
        </w:rPr>
        <w:t xml:space="preserve">Unifying interpretation: </w:t>
      </w:r>
      <w:r>
        <w:rPr>
          <w:rFonts w:ascii="Times New Roman" w:cs="Times New Roman" w:eastAsia="Times New Roman" w:hAnsi="Times New Roman"/>
          <w:sz w:val="22"/>
          <w:szCs w:val="22"/>
        </w:rPr>
        <w:t xml:space="preserve">Necrosis and apoptosis are not fundamentally different biological processes. They are different physical trajectories of the same event — hydrogel destabilisation — determined by the rate at which energy deficit develops relative to the capacity of the cell's pre-lytic death programme to execute before the osmotic threshold is crossed. The cell does not choose between necrosis and apoptosis. Physics chooses, based on kinetics.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Clinical Models: The Two-Component Framework in Pathological Contexts</w:t>
      </w:r>
    </w:p>
    <w:p>
      <w:pPr>
        <w:pStyle w:val="Heading2"/>
        <w:spacing w:after="100" w:before="240"/>
      </w:pPr>
      <w:r>
        <w:rPr>
          <w:rFonts w:ascii="Arial" w:cs="Arial" w:eastAsia="Arial" w:hAnsi="Arial"/>
          <w:b/>
          <w:bCs/>
          <w:color w:val="2E75B6"/>
          <w:sz w:val="24"/>
          <w:szCs w:val="24"/>
        </w:rPr>
        <w:t xml:space="preserve">5.1 Glucose-6-Phosphate Dehydrogenase Deficiency: Component 1 and Component 2 Dual Failure</w:t>
      </w:r>
    </w:p>
    <w:p>
      <w:pPr>
        <w:spacing w:after="180" w:line="276" w:lineRule="auto"/>
        <w:jc w:val="both"/>
      </w:pPr>
      <w:r>
        <w:rPr>
          <w:rFonts w:ascii="Times New Roman" w:cs="Times New Roman" w:eastAsia="Times New Roman" w:hAnsi="Times New Roman"/>
          <w:sz w:val="24"/>
          <w:szCs w:val="24"/>
        </w:rPr>
        <w:t xml:space="preserve">In glucose-6-phosphate dehydrogenase deficiency, the pentose phosphate pathway is impaired, reducing nicotinamide adenine dinucleotide phosphate production and allowing oxidative stress to accumulate. </w:t>
      </w:r>
      <w:r>
        <w:rPr>
          <w:rFonts w:ascii="Times New Roman" w:cs="Times New Roman" w:eastAsia="Times New Roman" w:hAnsi="Times New Roman"/>
          <w:sz w:val="18"/>
          <w:szCs w:val="18"/>
          <w:vertAlign w:val="superscript"/>
        </w:rPr>
        <w:t xml:space="preserve">[8,9]</w:t>
      </w:r>
      <w:r>
        <w:rPr>
          <w:rFonts w:ascii="Times New Roman" w:cs="Times New Roman" w:eastAsia="Times New Roman" w:hAnsi="Times New Roman"/>
          <w:sz w:val="24"/>
          <w:szCs w:val="24"/>
        </w:rPr>
        <w:t xml:space="preserve"> Within the two-component self-renewal framework, this produces a </w:t>
      </w:r>
      <w:r>
        <w:rPr>
          <w:rFonts w:ascii="Times New Roman" w:cs="Times New Roman" w:eastAsia="Times New Roman" w:hAnsi="Times New Roman"/>
          <w:b/>
          <w:bCs/>
          <w:sz w:val="24"/>
          <w:szCs w:val="24"/>
        </w:rPr>
        <w:t xml:space="preserve">dual failure:</w:t>
      </w:r>
      <w:r>
        <w:rPr>
          <w:rFonts w:ascii="Times New Roman" w:cs="Times New Roman" w:eastAsia="Times New Roman" w:hAnsi="Times New Roman"/>
          <w:sz w:val="24"/>
          <w:szCs w:val="24"/>
        </w:rPr>
        <w:t xml:space="preserve"> </w:t>
      </w:r>
    </w:p>
    <w:p>
      <w:pPr>
        <w:spacing w:after="180" w:line="276" w:lineRule="auto"/>
        <w:jc w:val="both"/>
      </w:pPr>
      <w:r>
        <w:rPr>
          <w:rFonts w:ascii="Times New Roman" w:cs="Times New Roman" w:eastAsia="Times New Roman" w:hAnsi="Times New Roman"/>
          <w:b/>
          <w:bCs/>
          <w:sz w:val="24"/>
          <w:szCs w:val="24"/>
        </w:rPr>
        <w:t xml:space="preserve">Component 1 failure: </w:t>
      </w:r>
      <w:r>
        <w:rPr>
          <w:rFonts w:ascii="Times New Roman" w:cs="Times New Roman" w:eastAsia="Times New Roman" w:hAnsi="Times New Roman"/>
          <w:sz w:val="24"/>
          <w:szCs w:val="24"/>
        </w:rPr>
        <w:t xml:space="preserve">oxidative stress directly impairs Na⁺/K⁺-adenosine triphosphatase through membrane protein oxidation, and metabolic diversion of glucose through the partially functional pentose phosphate pathway reduces glycolytic adenosine triphosphate availability. The pump-leak balance deteriorates, intracellular sodium rises, and osmotic water influx initiates. </w:t>
      </w:r>
      <w:r>
        <w:rPr>
          <w:rFonts w:ascii="Times New Roman" w:cs="Times New Roman" w:eastAsia="Times New Roman" w:hAnsi="Times New Roman"/>
          <w:sz w:val="18"/>
          <w:szCs w:val="18"/>
          <w:vertAlign w:val="superscript"/>
        </w:rPr>
        <w:t xml:space="preserve">[10]</w:t>
      </w:r>
    </w:p>
    <w:p>
      <w:pPr>
        <w:spacing w:after="180" w:line="276" w:lineRule="auto"/>
        <w:jc w:val="both"/>
      </w:pPr>
      <w:r>
        <w:rPr>
          <w:rFonts w:ascii="Times New Roman" w:cs="Times New Roman" w:eastAsia="Times New Roman" w:hAnsi="Times New Roman"/>
          <w:b/>
          <w:bCs/>
          <w:sz w:val="24"/>
          <w:szCs w:val="24"/>
        </w:rPr>
        <w:t xml:space="preserve">Component 2 failure: </w:t>
      </w:r>
      <w:r>
        <w:rPr>
          <w:rFonts w:ascii="Times New Roman" w:cs="Times New Roman" w:eastAsia="Times New Roman" w:hAnsi="Times New Roman"/>
          <w:sz w:val="24"/>
          <w:szCs w:val="24"/>
        </w:rPr>
        <w:t xml:space="preserve">oxidative stress damages residual messenger RNA and ribosomes, reducing the translational capacity available for spectrin and ankyrin replacement. Simultaneously, the structural proteins of the membrane-cytoskeletal complex are oxidatively crosslinked and inactivated faster than the diminished translational capacity can replace them. The hydrogel network progressively loses structural fidelity. </w:t>
      </w:r>
      <w:r>
        <w:rPr>
          <w:rFonts w:ascii="Times New Roman" w:cs="Times New Roman" w:eastAsia="Times New Roman" w:hAnsi="Times New Roman"/>
          <w:sz w:val="18"/>
          <w:szCs w:val="18"/>
          <w:vertAlign w:val="superscript"/>
        </w:rPr>
        <w:t xml:space="preserve">[10,21]</w:t>
      </w:r>
    </w:p>
    <w:p>
      <w:pPr>
        <w:spacing w:after="180" w:line="276" w:lineRule="auto"/>
        <w:jc w:val="both"/>
      </w:pPr>
      <w:r>
        <w:rPr>
          <w:rFonts w:ascii="Times New Roman" w:cs="Times New Roman" w:eastAsia="Times New Roman" w:hAnsi="Times New Roman"/>
          <w:sz w:val="24"/>
          <w:szCs w:val="24"/>
        </w:rPr>
        <w:t xml:space="preserve">The convergence of these two failure modes produces a geometrically and structurally compromised erythrocyte: swollen (from Component 1 failure), with degraded cytoskeletal integrity (from Component 2 failure). Such erythrocytes have reduced osmotic reserve, impaired deformability, and are mechanically fragile — haemolysis occurs at osmolarity levels tolerated by healthy erythrocytes with both components functional. </w:t>
      </w:r>
      <w:r>
        <w:rPr>
          <w:rFonts w:ascii="Times New Roman" w:cs="Times New Roman" w:eastAsia="Times New Roman" w:hAnsi="Times New Roman"/>
          <w:sz w:val="18"/>
          <w:szCs w:val="18"/>
          <w:vertAlign w:val="superscript"/>
        </w:rPr>
        <w:t xml:space="preserve">[9,10]</w:t>
      </w:r>
    </w:p>
    <w:p>
      <w:pPr>
        <w:pStyle w:val="Heading2"/>
        <w:spacing w:after="100" w:before="240"/>
      </w:pPr>
      <w:r>
        <w:rPr>
          <w:rFonts w:ascii="Arial" w:cs="Arial" w:eastAsia="Arial" w:hAnsi="Arial"/>
          <w:b/>
          <w:bCs/>
          <w:color w:val="2E75B6"/>
          <w:sz w:val="24"/>
          <w:szCs w:val="24"/>
        </w:rPr>
        <w:t xml:space="preserve">5.2 Preeclampsia and HELLP Syndrome: Component 1 Failure from External Metabolic Competition</w:t>
      </w:r>
    </w:p>
    <w:p>
      <w:pPr>
        <w:spacing w:after="180" w:line="276" w:lineRule="auto"/>
        <w:jc w:val="both"/>
      </w:pPr>
      <w:r>
        <w:rPr>
          <w:rFonts w:ascii="Times New Roman" w:cs="Times New Roman" w:eastAsia="Times New Roman" w:hAnsi="Times New Roman"/>
          <w:sz w:val="24"/>
          <w:szCs w:val="24"/>
        </w:rPr>
        <w:t xml:space="preserve">In preeclampsia, erythrocyte Component 1 failure arises through a different mechanism: not intrinsic glycolytic impairment but </w:t>
      </w:r>
      <w:r>
        <w:rPr>
          <w:rFonts w:ascii="Times New Roman" w:cs="Times New Roman" w:eastAsia="Times New Roman" w:hAnsi="Times New Roman"/>
          <w:b/>
          <w:bCs/>
          <w:sz w:val="24"/>
          <w:szCs w:val="24"/>
        </w:rPr>
        <w:t xml:space="preserve">external glucose competition</w:t>
      </w:r>
      <w:r>
        <w:rPr>
          <w:rFonts w:ascii="Times New Roman" w:cs="Times New Roman" w:eastAsia="Times New Roman" w:hAnsi="Times New Roman"/>
          <w:sz w:val="24"/>
          <w:szCs w:val="24"/>
        </w:rPr>
        <w:t xml:space="preserve"> mediated by human placental lactogen. As developed in the companion paper, </w:t>
      </w:r>
      <w:r>
        <w:rPr>
          <w:rFonts w:ascii="Times New Roman" w:cs="Times New Roman" w:eastAsia="Times New Roman" w:hAnsi="Times New Roman"/>
          <w:sz w:val="18"/>
          <w:szCs w:val="18"/>
          <w:vertAlign w:val="superscript"/>
        </w:rPr>
        <w:t xml:space="preserve">[35]</w:t>
      </w:r>
      <w:r>
        <w:rPr>
          <w:rFonts w:ascii="Times New Roman" w:cs="Times New Roman" w:eastAsia="Times New Roman" w:hAnsi="Times New Roman"/>
          <w:sz w:val="24"/>
          <w:szCs w:val="24"/>
        </w:rPr>
        <w:t xml:space="preserve"> rising placental lactogen concentrations induce maternal insulin resistance that redirects glucose toward the fetoplacental unit. Erythrocytes — BGR-dominant, glycolysis-dependent — experience reduced glucose substrate availability, declining adenosine triphosphate production, and impaired Na⁺/K⁺-adenosine triphosphatase function.</w:t>
      </w:r>
    </w:p>
    <w:p>
      <w:pPr>
        <w:spacing w:after="180" w:line="276" w:lineRule="auto"/>
        <w:jc w:val="both"/>
      </w:pPr>
      <w:r>
        <w:rPr>
          <w:rFonts w:ascii="Times New Roman" w:cs="Times New Roman" w:eastAsia="Times New Roman" w:hAnsi="Times New Roman"/>
          <w:sz w:val="24"/>
          <w:szCs w:val="24"/>
        </w:rPr>
        <w:t xml:space="preserve">The additional pro-oxidant environment of preeclampsia — driven by free haemoglobin F released from apoptotic erythroid precursors and from the placenta — simultaneously compromises Component 2: oxidative damage to residual messenger RNA and cytoskeletal proteins accelerates structural hydrogel degradation beyond the rate of residual translational replacement. </w:t>
      </w:r>
      <w:r>
        <w:rPr>
          <w:rFonts w:ascii="Times New Roman" w:cs="Times New Roman" w:eastAsia="Times New Roman" w:hAnsi="Times New Roman"/>
          <w:sz w:val="18"/>
          <w:szCs w:val="18"/>
          <w:vertAlign w:val="superscript"/>
        </w:rPr>
        <w:t xml:space="preserve">[10,11]</w:t>
      </w:r>
    </w:p>
    <w:p>
      <w:pPr>
        <w:spacing w:after="180" w:line="276" w:lineRule="auto"/>
        <w:jc w:val="both"/>
      </w:pPr>
      <w:r>
        <w:rPr>
          <w:rFonts w:ascii="Times New Roman" w:cs="Times New Roman" w:eastAsia="Times New Roman" w:hAnsi="Times New Roman"/>
          <w:sz w:val="24"/>
          <w:szCs w:val="24"/>
        </w:rPr>
        <w:t xml:space="preserve">Experimental studies confirm that erythrocytes from women with severe preeclampsia exhibit </w:t>
      </w:r>
      <w:r>
        <w:rPr>
          <w:rFonts w:ascii="Times New Roman" w:cs="Times New Roman" w:eastAsia="Times New Roman" w:hAnsi="Times New Roman"/>
          <w:b/>
          <w:bCs/>
          <w:sz w:val="24"/>
          <w:szCs w:val="24"/>
        </w:rPr>
        <w:t xml:space="preserve">increased osmotic fragility</w:t>
      </w:r>
      <w:r>
        <w:rPr>
          <w:rFonts w:ascii="Times New Roman" w:cs="Times New Roman" w:eastAsia="Times New Roman" w:hAnsi="Times New Roman"/>
          <w:sz w:val="24"/>
          <w:szCs w:val="24"/>
        </w:rPr>
        <w:t xml:space="preserve"> — a direct, quantitative measurement that the erythrocyte hydrogel has consumed a significant proportion of its geometric reserve and is approaching the lytic threshold. </w:t>
      </w:r>
      <w:r>
        <w:rPr>
          <w:rFonts w:ascii="Times New Roman" w:cs="Times New Roman" w:eastAsia="Times New Roman" w:hAnsi="Times New Roman"/>
          <w:sz w:val="18"/>
          <w:szCs w:val="18"/>
          <w:vertAlign w:val="superscript"/>
        </w:rPr>
        <w:t xml:space="preserve">[11]</w:t>
      </w:r>
      <w:r>
        <w:rPr>
          <w:rFonts w:ascii="Times New Roman" w:cs="Times New Roman" w:eastAsia="Times New Roman" w:hAnsi="Times New Roman"/>
          <w:sz w:val="24"/>
          <w:szCs w:val="24"/>
        </w:rPr>
        <w:t xml:space="preserve"> Magnesium sulphate treatment reduces this osmotic fragility, consistent with restoration of Na⁺/K⁺-adenosine triphosphatase function through magnesium cofactor supplementation — a direct Component 1 supportive intervention. </w:t>
      </w:r>
      <w:r>
        <w:rPr>
          <w:rFonts w:ascii="Times New Roman" w:cs="Times New Roman" w:eastAsia="Times New Roman" w:hAnsi="Times New Roman"/>
          <w:sz w:val="18"/>
          <w:szCs w:val="18"/>
          <w:vertAlign w:val="superscript"/>
        </w:rPr>
        <w:t xml:space="preserve">[11]</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Syneresis, Geometric Reserve, and Osmotic Fragility as Biophysical Metrics</w:t>
      </w:r>
    </w:p>
    <w:p>
      <w:pPr>
        <w:pStyle w:val="Heading2"/>
        <w:spacing w:after="100" w:before="240"/>
      </w:pPr>
      <w:r>
        <w:rPr>
          <w:rFonts w:ascii="Arial" w:cs="Arial" w:eastAsia="Arial" w:hAnsi="Arial"/>
          <w:b/>
          <w:bCs/>
          <w:color w:val="2E75B6"/>
          <w:sz w:val="24"/>
          <w:szCs w:val="24"/>
        </w:rPr>
        <w:t xml:space="preserve">6.1 Syneresis as the Thermodynamic Baseline</w:t>
      </w:r>
    </w:p>
    <w:p>
      <w:pPr>
        <w:spacing w:after="180" w:line="276" w:lineRule="auto"/>
        <w:jc w:val="both"/>
      </w:pPr>
      <w:r>
        <w:rPr>
          <w:rFonts w:ascii="Times New Roman" w:cs="Times New Roman" w:eastAsia="Times New Roman" w:hAnsi="Times New Roman"/>
          <w:sz w:val="24"/>
          <w:szCs w:val="24"/>
        </w:rPr>
        <w:t xml:space="preserve">Every biological hydrogel — the intracellular gel of the cell — is subject to the thermodynamic tendency toward syneresis: spontaneous condensation, water redistribution, and network reorganisation driven by entropic and enthalpic relaxation of the polymer network. </w:t>
      </w:r>
      <w:r>
        <w:rPr>
          <w:rFonts w:ascii="Times New Roman" w:cs="Times New Roman" w:eastAsia="Times New Roman" w:hAnsi="Times New Roman"/>
          <w:sz w:val="18"/>
          <w:szCs w:val="18"/>
          <w:vertAlign w:val="superscript"/>
        </w:rPr>
        <w:t xml:space="preserve">[24,3]</w:t>
      </w:r>
      <w:r>
        <w:rPr>
          <w:rFonts w:ascii="Times New Roman" w:cs="Times New Roman" w:eastAsia="Times New Roman" w:hAnsi="Times New Roman"/>
          <w:sz w:val="24"/>
          <w:szCs w:val="24"/>
        </w:rPr>
        <w:t xml:space="preserve"> In non-living hydrogels this proceeds passively. In the living cell it is continuously opposed by energy-dependent self-renewal. The rate of self-renewal must exceed the rate of syneresis for the cell to maintain structural integrity.</w:t>
      </w:r>
    </w:p>
    <w:p>
      <w:pPr>
        <w:spacing w:after="180" w:line="276" w:lineRule="auto"/>
        <w:jc w:val="both"/>
      </w:pPr>
      <w:r>
        <w:rPr>
          <w:rFonts w:ascii="Times New Roman" w:cs="Times New Roman" w:eastAsia="Times New Roman" w:hAnsi="Times New Roman"/>
          <w:sz w:val="24"/>
          <w:szCs w:val="24"/>
        </w:rPr>
        <w:t xml:space="preserve">Ageing of the erythrocyte can therefore be reinterpreted as </w:t>
      </w:r>
      <w:r>
        <w:rPr>
          <w:rFonts w:ascii="Times New Roman" w:cs="Times New Roman" w:eastAsia="Times New Roman" w:hAnsi="Times New Roman"/>
          <w:b/>
          <w:bCs/>
          <w:sz w:val="24"/>
          <w:szCs w:val="24"/>
        </w:rPr>
        <w:t xml:space="preserve">progressive dominance of syneresis over self-renewal</w:t>
      </w:r>
      <w:r>
        <w:rPr>
          <w:rFonts w:ascii="Times New Roman" w:cs="Times New Roman" w:eastAsia="Times New Roman" w:hAnsi="Times New Roman"/>
          <w:sz w:val="24"/>
          <w:szCs w:val="24"/>
        </w:rPr>
        <w:t xml:space="preserve">: as residual messenger RNA is depleted and Component 2 self-renewal capacity falls, syneretic tendencies accumulate — manifesting as progressive membrane microvesiculation, spectrin network reorganisation, reduction of deformability, and increased osmotic fragility — until the geometric reserve is exhausted and eryptosis or phagocytic clearance occurs.</w:t>
      </w:r>
    </w:p>
    <w:p>
      <w:pPr>
        <w:pStyle w:val="Heading2"/>
        <w:spacing w:after="100" w:before="240"/>
      </w:pPr>
      <w:r>
        <w:rPr>
          <w:rFonts w:ascii="Arial" w:cs="Arial" w:eastAsia="Arial" w:hAnsi="Arial"/>
          <w:b/>
          <w:bCs/>
          <w:color w:val="2E75B6"/>
          <w:sz w:val="24"/>
          <w:szCs w:val="24"/>
        </w:rPr>
        <w:t xml:space="preserve">6.2 Geometric Reserve as the Physical Buffer Against Syneretic Collapse</w:t>
      </w:r>
    </w:p>
    <w:p>
      <w:pPr>
        <w:spacing w:after="180" w:line="276" w:lineRule="auto"/>
        <w:jc w:val="both"/>
      </w:pPr>
      <w:r>
        <w:rPr>
          <w:rFonts w:ascii="Times New Roman" w:cs="Times New Roman" w:eastAsia="Times New Roman" w:hAnsi="Times New Roman"/>
          <w:sz w:val="24"/>
          <w:szCs w:val="24"/>
        </w:rPr>
        <w:t xml:space="preserve">The biconcave geometry of the erythrocyte provides approximately 40% excess membrane surface area over the minimum required to enclose its volume as a sphere. </w:t>
      </w:r>
      <w:r>
        <w:rPr>
          <w:rFonts w:ascii="Times New Roman" w:cs="Times New Roman" w:eastAsia="Times New Roman" w:hAnsi="Times New Roman"/>
          <w:sz w:val="18"/>
          <w:szCs w:val="18"/>
          <w:vertAlign w:val="superscript"/>
        </w:rPr>
        <w:t xml:space="preserve">[5,6]</w:t>
      </w:r>
      <w:r>
        <w:rPr>
          <w:rFonts w:ascii="Times New Roman" w:cs="Times New Roman" w:eastAsia="Times New Roman" w:hAnsi="Times New Roman"/>
          <w:sz w:val="24"/>
          <w:szCs w:val="24"/>
        </w:rPr>
        <w:t xml:space="preserve"> This excess — the geometric reserve — functions as a physical buffer against both transient osmotic fluctuations (Component 1 challenge) and progressive hydrogel structural deterioration (Component 2 depletion). As long as the geometric reserve remains unconsumed, the erythrocyte can tolerate transient perturbations of both components without reaching the lytic threshold.</w:t>
      </w:r>
    </w:p>
    <w:p>
      <w:pPr>
        <w:spacing w:after="180" w:line="276" w:lineRule="auto"/>
        <w:jc w:val="both"/>
      </w:pPr>
      <w:r>
        <w:rPr>
          <w:rFonts w:ascii="Times New Roman" w:cs="Times New Roman" w:eastAsia="Times New Roman" w:hAnsi="Times New Roman"/>
          <w:sz w:val="24"/>
          <w:szCs w:val="24"/>
        </w:rPr>
        <w:t xml:space="preserve">Spherocytosis, within this framework, is not primarily a membrane disorder. It is the </w:t>
      </w:r>
      <w:r>
        <w:rPr>
          <w:rFonts w:ascii="Times New Roman" w:cs="Times New Roman" w:eastAsia="Times New Roman" w:hAnsi="Times New Roman"/>
          <w:b/>
          <w:bCs/>
          <w:sz w:val="24"/>
          <w:szCs w:val="24"/>
        </w:rPr>
        <w:t xml:space="preserve">geometrically inevitable consequence of progressive osmotic swelling consuming the surface-to-volume reserve</w:t>
      </w:r>
      <w:r>
        <w:rPr>
          <w:rFonts w:ascii="Times New Roman" w:cs="Times New Roman" w:eastAsia="Times New Roman" w:hAnsi="Times New Roman"/>
          <w:sz w:val="24"/>
          <w:szCs w:val="24"/>
        </w:rPr>
        <w:t xml:space="preserve"> — the visible manifestation that the geometric buffer has been exhausted and the erythrocyte is approaching critical volume. </w:t>
      </w:r>
      <w:r>
        <w:rPr>
          <w:rFonts w:ascii="Times New Roman" w:cs="Times New Roman" w:eastAsia="Times New Roman" w:hAnsi="Times New Roman"/>
          <w:sz w:val="18"/>
          <w:szCs w:val="18"/>
          <w:vertAlign w:val="superscript"/>
        </w:rPr>
        <w:t xml:space="preserve">[5,7]</w:t>
      </w:r>
    </w:p>
    <w:p>
      <w:pPr>
        <w:pStyle w:val="Heading2"/>
        <w:spacing w:after="100" w:before="240"/>
      </w:pPr>
      <w:r>
        <w:rPr>
          <w:rFonts w:ascii="Arial" w:cs="Arial" w:eastAsia="Arial" w:hAnsi="Arial"/>
          <w:b/>
          <w:bCs/>
          <w:color w:val="2E75B6"/>
          <w:sz w:val="24"/>
          <w:szCs w:val="24"/>
        </w:rPr>
        <w:t xml:space="preserve">6.3 Osmotic Fragility as a Clinical Distance-to-Lysis Metric</w:t>
      </w:r>
    </w:p>
    <w:p>
      <w:pPr>
        <w:spacing w:after="180" w:line="276" w:lineRule="auto"/>
        <w:jc w:val="both"/>
      </w:pPr>
      <w:r>
        <w:rPr>
          <w:rFonts w:ascii="Times New Roman" w:cs="Times New Roman" w:eastAsia="Times New Roman" w:hAnsi="Times New Roman"/>
          <w:sz w:val="24"/>
          <w:szCs w:val="24"/>
        </w:rPr>
        <w:t xml:space="preserve">The osmotic fragility test measures the haemolysis curve of an erythrocyte population as a function of decreasing extracellular osmolarity. Within the two-component self-renewal framework, osmotic fragility is a </w:t>
      </w:r>
      <w:r>
        <w:rPr>
          <w:rFonts w:ascii="Times New Roman" w:cs="Times New Roman" w:eastAsia="Times New Roman" w:hAnsi="Times New Roman"/>
          <w:b/>
          <w:bCs/>
          <w:sz w:val="24"/>
          <w:szCs w:val="24"/>
        </w:rPr>
        <w:t xml:space="preserve">direct quantitative measurement of residual geometric reserve</w:t>
      </w:r>
      <w:r>
        <w:rPr>
          <w:rFonts w:ascii="Times New Roman" w:cs="Times New Roman" w:eastAsia="Times New Roman" w:hAnsi="Times New Roman"/>
          <w:sz w:val="24"/>
          <w:szCs w:val="24"/>
        </w:rPr>
        <w:t xml:space="preserve"> — the distance between the current hydrogel state and the critical volume at which membrane tension reaches the lytic threshold. </w:t>
      </w:r>
      <w:r>
        <w:rPr>
          <w:rFonts w:ascii="Times New Roman" w:cs="Times New Roman" w:eastAsia="Times New Roman" w:hAnsi="Times New Roman"/>
          <w:sz w:val="18"/>
          <w:szCs w:val="18"/>
          <w:vertAlign w:val="superscript"/>
        </w:rPr>
        <w:t xml:space="preserve">[30]</w:t>
      </w:r>
    </w:p>
    <w:p>
      <w:pPr>
        <w:spacing w:after="180" w:line="276" w:lineRule="auto"/>
        <w:jc w:val="both"/>
      </w:pPr>
      <w:r>
        <w:rPr>
          <w:rFonts w:ascii="Times New Roman" w:cs="Times New Roman" w:eastAsia="Times New Roman" w:hAnsi="Times New Roman"/>
          <w:sz w:val="24"/>
          <w:szCs w:val="24"/>
        </w:rPr>
        <w:t xml:space="preserve">Increased osmotic fragility (haemolysis at higher osmolarity) indicates that the geometric reserve has been partially consumed by preceding swelling — either from Component 1 failure (osmotic water influx) or from Component 2 failure (structural network deterioration reducing the gel's resistance to volume change). It is therefore not a specific test for hereditary spherocytosis but a universal biophysical indicator of how close a cell population is to the lytic critical point. Longitudinal measurement of osmotic fragility in clinical conditions affecting erythrocyte energetics — preeclampsia, glucose-6-phosphate dehydrogenase deficiency crisis, haemolytic anaemia — provides a window into the real-time dynamics of two-component self-renewal failure. </w:t>
      </w:r>
      <w:r>
        <w:rPr>
          <w:rFonts w:ascii="Times New Roman" w:cs="Times New Roman" w:eastAsia="Times New Roman" w:hAnsi="Times New Roman"/>
          <w:sz w:val="18"/>
          <w:szCs w:val="18"/>
          <w:vertAlign w:val="superscript"/>
        </w:rPr>
        <w:t xml:space="preserve">[11,30]</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Connection to the Basal Glycolytic Regime Framework</w:t>
      </w:r>
    </w:p>
    <w:p>
      <w:pPr>
        <w:spacing w:after="180" w:line="276" w:lineRule="auto"/>
        <w:jc w:val="both"/>
      </w:pPr>
      <w:r>
        <w:rPr>
          <w:rFonts w:ascii="Times New Roman" w:cs="Times New Roman" w:eastAsia="Times New Roman" w:hAnsi="Times New Roman"/>
          <w:sz w:val="24"/>
          <w:szCs w:val="24"/>
        </w:rPr>
        <w:t xml:space="preserve">The two-component self-renewal model of the erythrocyte connects directly to the Basal Glycolytic Regime (BGR) concept developed in the companion series. </w:t>
      </w:r>
      <w:r>
        <w:rPr>
          <w:rFonts w:ascii="Times New Roman" w:cs="Times New Roman" w:eastAsia="Times New Roman" w:hAnsi="Times New Roman"/>
          <w:sz w:val="18"/>
          <w:szCs w:val="18"/>
          <w:vertAlign w:val="superscript"/>
        </w:rPr>
        <w:t xml:space="preserve">[34]</w:t>
      </w:r>
      <w:r>
        <w:rPr>
          <w:rFonts w:ascii="Times New Roman" w:cs="Times New Roman" w:eastAsia="Times New Roman" w:hAnsi="Times New Roman"/>
          <w:sz w:val="24"/>
          <w:szCs w:val="24"/>
        </w:rPr>
        <w:t xml:space="preserve"> BGR represents the metabolic regime characteristic of cells that maintain maximal hydrogel self-renewal capacity: high glycolytic flux providing adenosine triphosphate for ion pump function (Component 1), low reactive oxygen species burden protecting residual messenger RNA and translational machinery (Component 2), and generation of biosynthetic precursors supporting structural protein synthesis. </w:t>
      </w:r>
      <w:r>
        <w:rPr>
          <w:rFonts w:ascii="Times New Roman" w:cs="Times New Roman" w:eastAsia="Times New Roman" w:hAnsi="Times New Roman"/>
          <w:sz w:val="18"/>
          <w:szCs w:val="18"/>
          <w:vertAlign w:val="superscript"/>
        </w:rPr>
        <w:t xml:space="preserve">[31,32,33]</w:t>
      </w:r>
    </w:p>
    <w:p>
      <w:pPr>
        <w:spacing w:after="180" w:line="276" w:lineRule="auto"/>
        <w:jc w:val="both"/>
      </w:pPr>
      <w:r>
        <w:rPr>
          <w:rFonts w:ascii="Times New Roman" w:cs="Times New Roman" w:eastAsia="Times New Roman" w:hAnsi="Times New Roman"/>
          <w:sz w:val="24"/>
          <w:szCs w:val="24"/>
        </w:rPr>
        <w:t xml:space="preserve">Within this framework, the spectrum of cellular energy states maps onto the two-component self-renewal system:</w:t>
      </w:r>
    </w:p>
    <w:p>
      <w:pPr>
        <w:pStyle w:val="ListParagraph"/>
        <w:numPr>
          <w:ilvl w:val="0"/>
          <w:numId w:val="2"/>
        </w:numPr>
        <w:spacing w:after="100"/>
      </w:pPr>
      <w:r>
        <w:rPr>
          <w:rFonts w:ascii="Times New Roman" w:cs="Times New Roman" w:eastAsia="Times New Roman" w:hAnsi="Times New Roman"/>
          <w:b/>
          <w:bCs/>
          <w:sz w:val="24"/>
          <w:szCs w:val="24"/>
        </w:rPr>
        <w:t xml:space="preserve">BGR dominance: </w:t>
      </w:r>
      <w:r>
        <w:rPr>
          <w:rFonts w:ascii="Times New Roman" w:cs="Times New Roman" w:eastAsia="Times New Roman" w:hAnsi="Times New Roman"/>
          <w:sz w:val="24"/>
          <w:szCs w:val="24"/>
        </w:rPr>
        <w:t xml:space="preserve">both components functional — maximal hydrogel self-renewal — maximum geometric reserve — maximum distance from lytic threshold. This corresponds to embryonic cells, stem cells, activated progenitors, and regenerating tissues.</w:t>
      </w:r>
    </w:p>
    <w:p>
      <w:pPr>
        <w:pStyle w:val="ListParagraph"/>
        <w:numPr>
          <w:ilvl w:val="0"/>
          <w:numId w:val="2"/>
        </w:numPr>
        <w:spacing w:after="100"/>
      </w:pPr>
      <w:r>
        <w:rPr>
          <w:rFonts w:ascii="Times New Roman" w:cs="Times New Roman" w:eastAsia="Times New Roman" w:hAnsi="Times New Roman"/>
          <w:b/>
          <w:bCs/>
          <w:sz w:val="24"/>
          <w:szCs w:val="24"/>
        </w:rPr>
        <w:t xml:space="preserve">Balanced BGR/OFF: </w:t>
      </w:r>
      <w:r>
        <w:rPr>
          <w:rFonts w:ascii="Times New Roman" w:cs="Times New Roman" w:eastAsia="Times New Roman" w:hAnsi="Times New Roman"/>
          <w:sz w:val="24"/>
          <w:szCs w:val="24"/>
        </w:rPr>
        <w:t xml:space="preserve">both components partially functional — moderate geometric reserve maintained — corresponds to physiologically active mature tissue cells in homeostatic conditions.</w:t>
      </w:r>
    </w:p>
    <w:p>
      <w:pPr>
        <w:pStyle w:val="ListParagraph"/>
        <w:numPr>
          <w:ilvl w:val="0"/>
          <w:numId w:val="2"/>
        </w:numPr>
        <w:spacing w:after="100"/>
      </w:pPr>
      <w:r>
        <w:rPr>
          <w:rFonts w:ascii="Times New Roman" w:cs="Times New Roman" w:eastAsia="Times New Roman" w:hAnsi="Times New Roman"/>
          <w:b/>
          <w:bCs/>
          <w:sz w:val="24"/>
          <w:szCs w:val="24"/>
        </w:rPr>
        <w:t xml:space="preserve">OFF dominance with BGR depletion: </w:t>
      </w:r>
      <w:r>
        <w:rPr>
          <w:rFonts w:ascii="Times New Roman" w:cs="Times New Roman" w:eastAsia="Times New Roman" w:hAnsi="Times New Roman"/>
          <w:sz w:val="24"/>
          <w:szCs w:val="24"/>
        </w:rPr>
        <w:t xml:space="preserve">Component 1 partially compromised by reactive oxygen species-induced adenosine triphosphatase impairment; Component 2 compromised by oxidative messenger RNA damage — progressive geometric reserve reduction — corresponds to aged, chronically stressed, or metabolically exhausted cells.</w:t>
      </w:r>
    </w:p>
    <w:p>
      <w:pPr>
        <w:pStyle w:val="ListParagraph"/>
        <w:numPr>
          <w:ilvl w:val="0"/>
          <w:numId w:val="2"/>
        </w:numPr>
        <w:spacing w:after="100"/>
      </w:pPr>
      <w:r>
        <w:rPr>
          <w:rFonts w:ascii="Times New Roman" w:cs="Times New Roman" w:eastAsia="Times New Roman" w:hAnsi="Times New Roman"/>
          <w:b/>
          <w:bCs/>
          <w:sz w:val="24"/>
          <w:szCs w:val="24"/>
        </w:rPr>
        <w:t xml:space="preserve">BGR collapse: </w:t>
      </w:r>
      <w:r>
        <w:rPr>
          <w:rFonts w:ascii="Times New Roman" w:cs="Times New Roman" w:eastAsia="Times New Roman" w:hAnsi="Times New Roman"/>
          <w:sz w:val="24"/>
          <w:szCs w:val="24"/>
        </w:rPr>
        <w:t xml:space="preserve">both components fail — rapid hydrogel destabilisation — determines trajectory (hydropic or syneretic) based on collapse kinetics — corresponds to acute ischaemia, severe oxidative crisis, severe metabolic competition (as in preeclampsia). </w:t>
      </w:r>
      <w:r>
        <w:rPr>
          <w:rFonts w:ascii="Times New Roman" w:cs="Times New Roman" w:eastAsia="Times New Roman" w:hAnsi="Times New Roman"/>
          <w:sz w:val="18"/>
          <w:szCs w:val="18"/>
          <w:vertAlign w:val="superscript"/>
        </w:rPr>
        <w:t xml:space="preserve">[35,36]</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erythrocyte, as the minimal two-component self-renewing system, thus serves as a </w:t>
      </w:r>
      <w:r>
        <w:rPr>
          <w:rFonts w:ascii="Times New Roman" w:cs="Times New Roman" w:eastAsia="Times New Roman" w:hAnsi="Times New Roman"/>
          <w:b/>
          <w:bCs/>
          <w:sz w:val="24"/>
          <w:szCs w:val="24"/>
        </w:rPr>
        <w:t xml:space="preserve">transparent physical model</w:t>
      </w:r>
      <w:r>
        <w:rPr>
          <w:rFonts w:ascii="Times New Roman" w:cs="Times New Roman" w:eastAsia="Times New Roman" w:hAnsi="Times New Roman"/>
          <w:sz w:val="24"/>
          <w:szCs w:val="24"/>
        </w:rPr>
        <w:t xml:space="preserve"> for the BGR-dependent self-renewal capacity of all cells. Its 120-day lifespan represents the integral of Component 2 messenger RNA depletion; its osmotic fragility represents the real-time state of its geometric reserve; and its haemolysis represents the terminal physical event of BGR collapse — the same cascade operating in more complex cells but rendered analytically accessible by the erythrocyte's simplicity.</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Summary Table</w:t>
      </w:r>
    </w:p>
    <w:p>
      <w:pPr>
        <w:spacing w:after="8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1.  </w:t>
      </w:r>
      <w:r>
        <w:rPr>
          <w:rFonts w:ascii="Arial" w:cs="Arial" w:eastAsia="Arial" w:hAnsi="Arial"/>
          <w:i/>
          <w:iCs/>
          <w:sz w:val="22"/>
          <w:szCs w:val="22"/>
        </w:rPr>
        <w:t xml:space="preserve">Two-component self-renewal, hydrogel collapse trajectories, and clinical correlates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 State</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Molecular Basis</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Physical Consequence</w:t>
            </w:r>
          </w:p>
        </w:tc>
        <w:tc>
          <w:tcPr>
            <w:tcW w:type="dxa" w:w="2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Clinical / Experimental Correlate</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Component 1 (Ion pump)</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Na⁺/K⁺-ATPase; glycolytic ATP</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Osmotic stability; minute-to-minute volume control</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FFFFFF</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Component 2 (Structural renewal)</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Residual mRNA; ribosomal activity</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Structural protein replacement; hydrogel network fidelity over days-weeks</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EBF3FB</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Both components functional</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BGR dominance; full ATP + translation</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Maximal geometric reserve; maximal distance from lysis</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FFFFFF</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Component 1 fails (acute)</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Glycolytic ATP↓ (ischaemia, toxin, metabolic competition)</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Hydropic-solation collapse → swelling → oncosis / haemolysis</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EBF3FB</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Component 2 fails (gradual)</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mRNA depletion (ageing) or oxidative damage</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Progressive structural degradation; reduced geometric reserve; increased osmotic fragility</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FFFFFF</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Both components fail (acute)</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BGR collapse from severe metabolic stress</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Kinetics determine trajectory: rapid → haemolysis; gradual → eryptosis</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EBF3FB</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Osmotic fragility test</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Measures geometric reserve remaining</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Universal distance-to-lysis metric; early warning of approaching lytic threshold</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FFFFFF</w:t>
            </w:r>
          </w:p>
        </w:tc>
      </w:tr>
      <w:tr>
        <w:tc>
          <w:tcPr>
            <w:tcW w:type="dxa" w:w="20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Erythrocyte 120-day lifespan</w:t>
            </w:r>
          </w:p>
        </w:tc>
        <w:tc>
          <w:tcPr>
            <w:tcW w:type="dxa" w:w="22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Integral of mRNA depletion rate (Component 2)</w:t>
            </w:r>
          </w:p>
        </w:tc>
        <w:tc>
          <w:tcPr>
            <w:tcW w:type="dxa" w:w="260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Progressive dominance of syneresis over self-renewal; eryptosis when threshold reached</w:t>
            </w:r>
          </w:p>
        </w:tc>
        <w:tc>
          <w:tcPr>
            <w:tcW w:type="dxa" w:w="2560"/>
            <w:tcBorders>
              <w:top w:val="single" w:color="AAAAAA" w:sz="4"/>
              <w:left w:val="single" w:color="AAAAAA" w:sz="4"/>
              <w:bottom w:val="single" w:color="AAAAAA" w:sz="4"/>
              <w:right w:val="single" w:color="AAAAAA" w:sz="4"/>
            </w:tcBorders>
            <w:shd w:val="clear"/>
            <w:tcMar>
              <w:top w:type="dxa" w:w="80"/>
              <w:left w:type="dxa" w:w="120"/>
              <w:bottom w:type="dxa" w:w="80"/>
              <w:right w:type="dxa" w:w="120"/>
            </w:tcMar>
            <w:vAlign w:val="top"/>
          </w:tcPr>
          <w:p>
            <w:pPr>
              <w:spacing w:after="0"/>
            </w:pPr>
            <w:r>
              <w:rPr>
                <w:rFonts w:ascii="Arial" w:cs="Arial" w:eastAsia="Arial" w:hAnsi="Arial"/>
                <w:sz w:val="20"/>
                <w:szCs w:val="20"/>
              </w:rPr>
              <w:t xml:space="preserve">EBF3FB</w:t>
            </w:r>
          </w:p>
        </w:tc>
      </w:tr>
    </w:tbl>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BGR = Basal Glycolytic Regime; mRNA = messenger RNA; ATP = adenosine triphosphate; ATPase = adenosine triphosphatase.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8b. Proteolysis as a Component of Living Hydrogel Maintenance</w:t>
      </w:r>
    </w:p>
    <w:p>
      <w:pPr>
        <w:pStyle w:val="Heading2"/>
        <w:spacing w:after="100" w:before="240"/>
      </w:pPr>
      <w:r>
        <w:rPr>
          <w:rFonts w:ascii="Arial" w:cs="Arial" w:eastAsia="Arial" w:hAnsi="Arial"/>
          <w:b/>
          <w:bCs/>
          <w:color w:val="2E75B6"/>
          <w:sz w:val="24"/>
          <w:szCs w:val="24"/>
        </w:rPr>
        <w:t xml:space="preserve">8b.1 Proteolytic Enzymes as Remodelling Tools, Not Only Death Executors</w:t>
      </w:r>
    </w:p>
    <w:p>
      <w:pPr>
        <w:spacing w:after="180" w:line="276" w:lineRule="auto"/>
        <w:jc w:val="both"/>
      </w:pPr>
      <w:r>
        <w:rPr>
          <w:rFonts w:ascii="Times New Roman" w:cs="Times New Roman" w:eastAsia="Times New Roman" w:hAnsi="Times New Roman"/>
          <w:sz w:val="24"/>
          <w:szCs w:val="24"/>
        </w:rPr>
        <w:t xml:space="preserve">Within the hydrogel framework, caspases, matrix metalloproteinases, calpains, and cathepsins must be reinterpreted. Conventionally presented as enzymes of cellular destruction — activated in death and silent in life — this characterisation is incomplete. In the living cell, these enzymes participate in </w:t>
      </w:r>
      <w:r>
        <w:rPr>
          <w:rFonts w:ascii="Times New Roman" w:cs="Times New Roman" w:eastAsia="Times New Roman" w:hAnsi="Times New Roman"/>
          <w:b/>
          <w:bCs/>
          <w:sz w:val="24"/>
          <w:szCs w:val="24"/>
        </w:rPr>
        <w:t xml:space="preserve">continuous intracellular hydrogel remodelling</w:t>
      </w:r>
      <w:r>
        <w:rPr>
          <w:rFonts w:ascii="Times New Roman" w:cs="Times New Roman" w:eastAsia="Times New Roman" w:hAnsi="Times New Roman"/>
          <w:sz w:val="24"/>
          <w:szCs w:val="24"/>
        </w:rPr>
        <w:t xml:space="preserve">: selective degradation of damaged, misfolded, or structurally fatigued proteins creates space for renewal of the polymer network. This is not destruction but maintenance. </w:t>
      </w:r>
      <w:r>
        <w:rPr>
          <w:rFonts w:ascii="Times New Roman" w:cs="Times New Roman" w:eastAsia="Times New Roman" w:hAnsi="Times New Roman"/>
          <w:sz w:val="18"/>
          <w:szCs w:val="18"/>
          <w:vertAlign w:val="superscript"/>
        </w:rPr>
        <w:t xml:space="preserve">[38,39]</w:t>
      </w:r>
    </w:p>
    <w:p>
      <w:pPr>
        <w:spacing w:after="180" w:line="276" w:lineRule="auto"/>
        <w:jc w:val="both"/>
      </w:pPr>
      <w:r>
        <w:rPr>
          <w:rFonts w:ascii="Times New Roman" w:cs="Times New Roman" w:eastAsia="Times New Roman" w:hAnsi="Times New Roman"/>
          <w:sz w:val="24"/>
          <w:szCs w:val="24"/>
        </w:rPr>
        <w:t xml:space="preserve">Critically, most proteolytic enzymes — caspases, matrix metalloproteinases, calpains — </w:t>
      </w:r>
      <w:r>
        <w:rPr>
          <w:rFonts w:ascii="Times New Roman" w:cs="Times New Roman" w:eastAsia="Times New Roman" w:hAnsi="Times New Roman"/>
          <w:b/>
          <w:bCs/>
          <w:sz w:val="24"/>
          <w:szCs w:val="24"/>
        </w:rPr>
        <w:t xml:space="preserve">do not require adenosine triphosphate for their catalytic activity</w:t>
      </w:r>
      <w:r>
        <w:rPr>
          <w:rFonts w:ascii="Times New Roman" w:cs="Times New Roman" w:eastAsia="Times New Roman" w:hAnsi="Times New Roman"/>
          <w:sz w:val="24"/>
          <w:szCs w:val="24"/>
        </w:rPr>
        <w:t xml:space="preserve">. This has a profound physical consequence: when cellular energy fails, proteolysis continues at near-normal rates while protein synthesis, structural renewal, membrane repair, and active osmotic stabilisation progressively collapse. The balance between degradation and renewal inverts — not because proteolysis accelerates, but because renewal capacity fails first.</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Revised interpretation: </w:t>
      </w:r>
      <w:r>
        <w:rPr>
          <w:rFonts w:ascii="Times New Roman" w:cs="Times New Roman" w:eastAsia="Times New Roman" w:hAnsi="Times New Roman"/>
          <w:sz w:val="24"/>
          <w:szCs w:val="24"/>
        </w:rPr>
        <w:t xml:space="preserve">Cellular viability depends not on the absence of proteolysis but on the dynamic equilibrium between ATP-independent proteolytic degradation and ATP-dependent structural renewal of the intracellular hydrogel. Life is the state in which renewal continuously exceeds degradation. Death begins precisely when this equilibrium inverts.</w:t>
      </w:r>
    </w:p>
    <w:p>
      <w:pPr>
        <w:pStyle w:val="Heading2"/>
        <w:spacing w:after="100" w:before="240"/>
      </w:pPr>
      <w:r>
        <w:rPr>
          <w:rFonts w:ascii="Arial" w:cs="Arial" w:eastAsia="Arial" w:hAnsi="Arial"/>
          <w:b/>
          <w:bCs/>
          <w:color w:val="2E75B6"/>
          <w:sz w:val="24"/>
          <w:szCs w:val="24"/>
        </w:rPr>
        <w:t xml:space="preserve">8b.2 Hydration State as the Physical Determinant of Proteolytic Outcome</w:t>
      </w:r>
    </w:p>
    <w:p>
      <w:pPr>
        <w:spacing w:after="180" w:line="276" w:lineRule="auto"/>
        <w:jc w:val="both"/>
      </w:pPr>
      <w:r>
        <w:rPr>
          <w:rFonts w:ascii="Times New Roman" w:cs="Times New Roman" w:eastAsia="Times New Roman" w:hAnsi="Times New Roman"/>
          <w:sz w:val="24"/>
          <w:szCs w:val="24"/>
        </w:rPr>
        <w:t xml:space="preserve">The physical outcome of proteolytic activity depends critically on the </w:t>
      </w:r>
      <w:r>
        <w:rPr>
          <w:rFonts w:ascii="Times New Roman" w:cs="Times New Roman" w:eastAsia="Times New Roman" w:hAnsi="Times New Roman"/>
          <w:b/>
          <w:bCs/>
          <w:sz w:val="24"/>
          <w:szCs w:val="24"/>
        </w:rPr>
        <w:t xml:space="preserve">hydration state of the intracellular hydrogel</w:t>
      </w:r>
      <w:r>
        <w:rPr>
          <w:rFonts w:ascii="Times New Roman" w:cs="Times New Roman" w:eastAsia="Times New Roman" w:hAnsi="Times New Roman"/>
          <w:sz w:val="24"/>
          <w:szCs w:val="24"/>
        </w:rPr>
        <w:t xml:space="preserve"> at the moment energetic balance fails. The same proteolytic enzymes, operating on the same substrate proteins, produce radically different structural consequences depending on whether intracellular water content is high or low. This is the key physical variable that determines which of the two collapse trajectories the cell follows.</w:t>
      </w:r>
    </w:p>
    <w:p>
      <w:pPr>
        <w:spacing w:after="180" w:line="276" w:lineRule="auto"/>
        <w:jc w:val="both"/>
      </w:pPr>
      <w:r>
        <w:rPr>
          <w:rFonts w:ascii="Times New Roman" w:cs="Times New Roman" w:eastAsia="Times New Roman" w:hAnsi="Times New Roman"/>
          <w:b/>
          <w:bCs/>
          <w:sz w:val="24"/>
          <w:szCs w:val="24"/>
        </w:rPr>
        <w:t xml:space="preserve">High-water state — hydropic proteolytic amplification: </w:t>
      </w:r>
      <w:r>
        <w:rPr>
          <w:rFonts w:ascii="Times New Roman" w:cs="Times New Roman" w:eastAsia="Times New Roman" w:hAnsi="Times New Roman"/>
          <w:sz w:val="24"/>
          <w:szCs w:val="24"/>
        </w:rPr>
        <w:t xml:space="preserve">When intracellular water content is already elevated from early pump-leak imbalance, hydrogel viscosity is low and polymer connectivity is weak. Proteolysis under these conditions destroys protein organisation faster than the gel can reorganise. Proteolytic fragmentation generates peptides and amino acids — osmotically active molecules that further elevate intracellular osmotic pressure, driving additional water influx. A </w:t>
      </w:r>
      <w:r>
        <w:rPr>
          <w:rFonts w:ascii="Times New Roman" w:cs="Times New Roman" w:eastAsia="Times New Roman" w:hAnsi="Times New Roman"/>
          <w:b/>
          <w:bCs/>
          <w:sz w:val="24"/>
          <w:szCs w:val="24"/>
        </w:rPr>
        <w:t xml:space="preserve">positive feedback loop</w:t>
      </w:r>
      <w:r>
        <w:rPr>
          <w:rFonts w:ascii="Times New Roman" w:cs="Times New Roman" w:eastAsia="Times New Roman" w:hAnsi="Times New Roman"/>
          <w:sz w:val="24"/>
          <w:szCs w:val="24"/>
        </w:rPr>
        <w:t xml:space="preserve"> emerges: increased hydration → reduced gel viscosity → accelerated proteolytic fragmentation → more osmotic particles → more water influx → gel liquefaction → cytolysis. </w:t>
      </w:r>
      <w:r>
        <w:rPr>
          <w:rFonts w:ascii="Times New Roman" w:cs="Times New Roman" w:eastAsia="Times New Roman" w:hAnsi="Times New Roman"/>
          <w:sz w:val="18"/>
          <w:szCs w:val="18"/>
          <w:vertAlign w:val="superscript"/>
        </w:rPr>
        <w:t xml:space="preserve">[40]</w:t>
      </w:r>
    </w:p>
    <w:p>
      <w:pPr>
        <w:spacing w:after="180" w:line="276" w:lineRule="auto"/>
        <w:jc w:val="both"/>
      </w:pPr>
      <w:r>
        <w:rPr>
          <w:rFonts w:ascii="Times New Roman" w:cs="Times New Roman" w:eastAsia="Times New Roman" w:hAnsi="Times New Roman"/>
          <w:b/>
          <w:bCs/>
          <w:sz w:val="24"/>
          <w:szCs w:val="24"/>
        </w:rPr>
        <w:t xml:space="preserve">Low-water state — syneretic proteolytic condensation: </w:t>
      </w:r>
      <w:r>
        <w:rPr>
          <w:rFonts w:ascii="Times New Roman" w:cs="Times New Roman" w:eastAsia="Times New Roman" w:hAnsi="Times New Roman"/>
          <w:sz w:val="24"/>
          <w:szCs w:val="24"/>
        </w:rPr>
        <w:t xml:space="preserve">When intracellular water content is low — because apoptotic volume decrease signalling has initiated K⁺ efflux and cellular shrinkage before energy fully fails — hydrogel viscosity remains higher and polymer connectivity is partially preserved. Limited proteolysis under these conditions does not produce uncontrolled dilution. Instead, the partially degraded hydrogel reorganises into a denser, more condensed structure. Water is extruded rather than accumulated, cellular volume decreases, and structural organisation remains partially preserved throughout collapse. </w:t>
      </w:r>
      <w:r>
        <w:rPr>
          <w:rFonts w:ascii="Times New Roman" w:cs="Times New Roman" w:eastAsia="Times New Roman" w:hAnsi="Times New Roman"/>
          <w:sz w:val="18"/>
          <w:szCs w:val="18"/>
          <w:vertAlign w:val="superscript"/>
        </w:rPr>
        <w:t xml:space="preserve">[41]</w:t>
      </w:r>
    </w:p>
    <w:p>
      <w:pPr>
        <w:pStyle w:val="Heading2"/>
        <w:spacing w:after="100" w:before="240"/>
      </w:pPr>
      <w:r>
        <w:rPr>
          <w:rFonts w:ascii="Arial" w:cs="Arial" w:eastAsia="Arial" w:hAnsi="Arial"/>
          <w:b/>
          <w:bCs/>
          <w:color w:val="2E75B6"/>
          <w:sz w:val="24"/>
          <w:szCs w:val="24"/>
        </w:rPr>
        <w:t xml:space="preserve">8b.3 Caspases as Directors of Organised Syneretic Collapse</w:t>
      </w:r>
    </w:p>
    <w:p>
      <w:pPr>
        <w:spacing w:after="180" w:line="276" w:lineRule="auto"/>
        <w:jc w:val="both"/>
      </w:pPr>
      <w:r>
        <w:rPr>
          <w:rFonts w:ascii="Times New Roman" w:cs="Times New Roman" w:eastAsia="Times New Roman" w:hAnsi="Times New Roman"/>
          <w:sz w:val="24"/>
          <w:szCs w:val="24"/>
        </w:rPr>
        <w:t xml:space="preserve">Within this framework, the caspase cascade in apoptosis is not merely a destruction programme. It is a </w:t>
      </w:r>
      <w:r>
        <w:rPr>
          <w:rFonts w:ascii="Times New Roman" w:cs="Times New Roman" w:eastAsia="Times New Roman" w:hAnsi="Times New Roman"/>
          <w:b/>
          <w:bCs/>
          <w:sz w:val="24"/>
          <w:szCs w:val="24"/>
        </w:rPr>
        <w:t xml:space="preserve">controlled syneretic remodelling programme</w:t>
      </w:r>
      <w:r>
        <w:rPr>
          <w:rFonts w:ascii="Times New Roman" w:cs="Times New Roman" w:eastAsia="Times New Roman" w:hAnsi="Times New Roman"/>
          <w:sz w:val="24"/>
          <w:szCs w:val="24"/>
        </w:rPr>
        <w:t xml:space="preserve">: caspases selectively cleave cytoskeletal proteins — lamin, spectrin, gelsolin, ICAD — at defined sites, producing controlled disassembly of the hydrogel network that enables condensation without catastrophic swelling. </w:t>
      </w:r>
      <w:r>
        <w:rPr>
          <w:rFonts w:ascii="Times New Roman" w:cs="Times New Roman" w:eastAsia="Times New Roman" w:hAnsi="Times New Roman"/>
          <w:sz w:val="18"/>
          <w:szCs w:val="18"/>
          <w:vertAlign w:val="superscript"/>
        </w:rPr>
        <w:t xml:space="preserve">[42,43]</w:t>
      </w:r>
    </w:p>
    <w:p>
      <w:pPr>
        <w:spacing w:after="180" w:line="276" w:lineRule="auto"/>
        <w:jc w:val="both"/>
      </w:pPr>
      <w:r>
        <w:rPr>
          <w:rFonts w:ascii="Times New Roman" w:cs="Times New Roman" w:eastAsia="Times New Roman" w:hAnsi="Times New Roman"/>
          <w:sz w:val="24"/>
          <w:szCs w:val="24"/>
        </w:rPr>
        <w:t xml:space="preserve">This explains the defining morphological features of apoptosis within a single physical framework. </w:t>
      </w:r>
      <w:r>
        <w:rPr>
          <w:rFonts w:ascii="Times New Roman" w:cs="Times New Roman" w:eastAsia="Times New Roman" w:hAnsi="Times New Roman"/>
          <w:b/>
          <w:bCs/>
          <w:sz w:val="24"/>
          <w:szCs w:val="24"/>
        </w:rPr>
        <w:t xml:space="preserve">Apoptotic cells shrink rather than swell</w:t>
      </w:r>
      <w:r>
        <w:rPr>
          <w:rFonts w:ascii="Times New Roman" w:cs="Times New Roman" w:eastAsia="Times New Roman" w:hAnsi="Times New Roman"/>
          <w:sz w:val="24"/>
          <w:szCs w:val="24"/>
        </w:rPr>
        <w:t xml:space="preserve"> — syneretic trajectory, water expelled rather than accumulated. </w:t>
      </w:r>
      <w:r>
        <w:rPr>
          <w:rFonts w:ascii="Times New Roman" w:cs="Times New Roman" w:eastAsia="Times New Roman" w:hAnsi="Times New Roman"/>
          <w:b/>
          <w:bCs/>
          <w:sz w:val="24"/>
          <w:szCs w:val="24"/>
        </w:rPr>
        <w:t xml:space="preserve">Membrane integrity is preserved for prolonged periods</w:t>
      </w:r>
      <w:r>
        <w:rPr>
          <w:rFonts w:ascii="Times New Roman" w:cs="Times New Roman" w:eastAsia="Times New Roman" w:hAnsi="Times New Roman"/>
          <w:sz w:val="24"/>
          <w:szCs w:val="24"/>
        </w:rPr>
        <w:t xml:space="preserve"> — the condensing hydrogel provides continuous mechanical support to the membrane throughout collapse. </w:t>
      </w:r>
      <w:r>
        <w:rPr>
          <w:rFonts w:ascii="Times New Roman" w:cs="Times New Roman" w:eastAsia="Times New Roman" w:hAnsi="Times New Roman"/>
          <w:b/>
          <w:bCs/>
          <w:sz w:val="24"/>
          <w:szCs w:val="24"/>
        </w:rPr>
        <w:t xml:space="preserve">Chromatin condenses and fragments in an organised manner</w:t>
      </w:r>
      <w:r>
        <w:rPr>
          <w:rFonts w:ascii="Times New Roman" w:cs="Times New Roman" w:eastAsia="Times New Roman" w:hAnsi="Times New Roman"/>
          <w:sz w:val="24"/>
          <w:szCs w:val="24"/>
        </w:rPr>
        <w:t xml:space="preserve"> — syneresis of the nuclear hydrogel (nucleoplasm) preceding cytoplasmic condensation. </w:t>
      </w:r>
      <w:r>
        <w:rPr>
          <w:rFonts w:ascii="Times New Roman" w:cs="Times New Roman" w:eastAsia="Times New Roman" w:hAnsi="Times New Roman"/>
          <w:b/>
          <w:bCs/>
          <w:sz w:val="24"/>
          <w:szCs w:val="24"/>
        </w:rPr>
        <w:t xml:space="preserve">Apoptotic bodies form rather than lysate releasing</w:t>
      </w:r>
      <w:r>
        <w:rPr>
          <w:rFonts w:ascii="Times New Roman" w:cs="Times New Roman" w:eastAsia="Times New Roman" w:hAnsi="Times New Roman"/>
          <w:sz w:val="24"/>
          <w:szCs w:val="24"/>
        </w:rPr>
        <w:t xml:space="preserve"> — fragmentation of a condensed gel into bounded units, not explosive rupture of a liquefied gel. Each of these features is a predicted consequence of syneretic hydrogel collapse; none requires invoking separate molecular explanations.</w:t>
      </w:r>
    </w:p>
    <w:p>
      <w:pPr>
        <w:spacing w:after="8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2.  </w:t>
      </w:r>
      <w:r>
        <w:rPr>
          <w:rFonts w:ascii="Arial" w:cs="Arial" w:eastAsia="Arial" w:hAnsi="Arial"/>
          <w:i/>
          <w:iCs/>
          <w:sz w:val="22"/>
          <w:szCs w:val="22"/>
        </w:rPr>
        <w:t xml:space="preserve">Hydration state, proteolytic balance, and physical trajectory of hydrogel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60"/>
        <w:gridCol w:w="3800"/>
      </w:tblGrid>
      <w:tr>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Proteolytic Balance</w:t>
            </w:r>
          </w:p>
        </w:tc>
        <w:tc>
          <w:tcPr>
            <w:tcW w:type="dxa" w:w="1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Physical Trajectory</w:t>
            </w:r>
          </w:p>
        </w:tc>
        <w:tc>
          <w:tcPr>
            <w:tcW w:type="dxa" w:w="3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Morphological / Clinical Outcome</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Living cell (balanced)</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Renewal ≥ degradation; both ATP-dependent renewal + ATP-independent proteolysis active</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Continuous remodelling — no net collapse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Structural fidelity; caspases/MMPs as maintenance tools; hydrogel plasticity preserved</w:t>
            </w:r>
          </w:p>
        </w:tc>
      </w:tr>
      <w:tr>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High water + energy failure</w:t>
            </w:r>
          </w:p>
        </w:tc>
        <w:tc>
          <w:tcPr>
            <w:tcW w:type="dxa" w:w="1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Renewal↓; ATP-independent proteolysis continues</w:t>
            </w:r>
          </w:p>
        </w:tc>
        <w:tc>
          <w:tcPr>
            <w:tcW w:type="dxa" w:w="19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Hydropic amplification loop</w:t>
            </w:r>
          </w:p>
        </w:tc>
        <w:tc>
          <w:tcPr>
            <w:tcW w:type="dxa" w:w="3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Peptides → osmotic particles → water influx → gel liquefaction → cytolysis; DAMP/MMP release</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Low water + gradual failure</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Slow renewal decline; apoptotic programme activates first</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Syneretic condensation</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Caspase-directed disassembly → gel condensation → water extrusion → apoptotic bodies; membrane intact</w:t>
            </w:r>
          </w:p>
        </w:tc>
      </w:tr>
      <w:tr>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High water + catastrophic failure</w:t>
            </w:r>
          </w:p>
        </w:tc>
        <w:tc>
          <w:tcPr>
            <w:tcW w:type="dxa" w:w="1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No renewal; no apoptotic programme time</w:t>
            </w:r>
          </w:p>
        </w:tc>
        <w:tc>
          <w:tcPr>
            <w:tcW w:type="dxa" w:w="19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Uncontrolled hydropic collapse</w:t>
            </w:r>
          </w:p>
        </w:tc>
        <w:tc>
          <w:tcPr>
            <w:tcW w:type="dxa" w:w="3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Osmotic haemolysis; oncosis; necrosis; inflammatory DAMP cascade</w:t>
            </w:r>
          </w:p>
        </w:tc>
      </w:tr>
    </w:tbl>
    <w:p>
      <w:pPr>
        <w:spacing w:after="80"/>
      </w:pPr>
      <w:r>
        <w:rPr>
          <w:rFonts w:ascii="Times New Roman" w:cs="Times New Roman" w:eastAsia="Times New Roman" w:hAnsi="Times New Roman"/>
          <w:sz w:val="24"/>
          <w:szCs w:val="24"/>
        </w:rPr>
        <w:t xml:space="preserve"/>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Discussion</w:t>
      </w:r>
    </w:p>
    <w:p>
      <w:pPr>
        <w:pStyle w:val="Heading2"/>
        <w:spacing w:after="100" w:before="240"/>
      </w:pPr>
      <w:r>
        <w:rPr>
          <w:rFonts w:ascii="Arial" w:cs="Arial" w:eastAsia="Arial" w:hAnsi="Arial"/>
          <w:b/>
          <w:bCs/>
          <w:color w:val="2E75B6"/>
          <w:sz w:val="24"/>
          <w:szCs w:val="24"/>
        </w:rPr>
        <w:t xml:space="preserve">9.1 Synthesis of the Three Physical Papers</w:t>
      </w:r>
    </w:p>
    <w:p>
      <w:pPr>
        <w:spacing w:after="180" w:line="276" w:lineRule="auto"/>
        <w:jc w:val="both"/>
      </w:pPr>
      <w:r>
        <w:rPr>
          <w:rFonts w:ascii="Times New Roman" w:cs="Times New Roman" w:eastAsia="Times New Roman" w:hAnsi="Times New Roman"/>
          <w:sz w:val="24"/>
          <w:szCs w:val="24"/>
        </w:rPr>
        <w:t xml:space="preserve">This paper, together with the two companion papers on osmotic cytolysis </w:t>
      </w:r>
      <w:r>
        <w:rPr>
          <w:rFonts w:ascii="Times New Roman" w:cs="Times New Roman" w:eastAsia="Times New Roman" w:hAnsi="Times New Roman"/>
          <w:sz w:val="18"/>
          <w:szCs w:val="18"/>
          <w:vertAlign w:val="superscript"/>
        </w:rPr>
        <w:t xml:space="preserve">[36]</w:t>
      </w:r>
      <w:r>
        <w:rPr>
          <w:rFonts w:ascii="Times New Roman" w:cs="Times New Roman" w:eastAsia="Times New Roman" w:hAnsi="Times New Roman"/>
          <w:sz w:val="24"/>
          <w:szCs w:val="24"/>
        </w:rPr>
        <w:t xml:space="preserve"> and preeclampsia/HELLP </w:t>
      </w:r>
      <w:r>
        <w:rPr>
          <w:rFonts w:ascii="Times New Roman" w:cs="Times New Roman" w:eastAsia="Times New Roman" w:hAnsi="Times New Roman"/>
          <w:sz w:val="18"/>
          <w:szCs w:val="18"/>
          <w:vertAlign w:val="superscript"/>
        </w:rPr>
        <w:t xml:space="preserve">[35]</w:t>
      </w:r>
      <w:r>
        <w:rPr>
          <w:rFonts w:ascii="Times New Roman" w:cs="Times New Roman" w:eastAsia="Times New Roman" w:hAnsi="Times New Roman"/>
          <w:sz w:val="24"/>
          <w:szCs w:val="24"/>
        </w:rPr>
        <w:t xml:space="preserve">, constitutes a three-level physical account of cell death from energy deficit:</w:t>
      </w:r>
    </w:p>
    <w:p>
      <w:pPr>
        <w:pStyle w:val="ListParagraph"/>
        <w:numPr>
          <w:ilvl w:val="0"/>
          <w:numId w:val="2"/>
        </w:numPr>
        <w:spacing w:after="100"/>
      </w:pPr>
      <w:r>
        <w:rPr>
          <w:rFonts w:ascii="Times New Roman" w:cs="Times New Roman" w:eastAsia="Times New Roman" w:hAnsi="Times New Roman"/>
          <w:b/>
          <w:bCs/>
          <w:sz w:val="24"/>
          <w:szCs w:val="24"/>
        </w:rPr>
        <w:t xml:space="preserve">Level 1 — Biophysical foundation (this paper): </w:t>
      </w:r>
      <w:r>
        <w:rPr>
          <w:rFonts w:ascii="Times New Roman" w:cs="Times New Roman" w:eastAsia="Times New Roman" w:hAnsi="Times New Roman"/>
          <w:sz w:val="24"/>
          <w:szCs w:val="24"/>
        </w:rPr>
        <w:t xml:space="preserve">the cell is a self-renewing hydrogel with two distinct failure levels (gel vs. membrane) and two collapse trajectories (hydropic vs. syneretic). The erythrocyte is the minimal experimental model.</w:t>
      </w:r>
    </w:p>
    <w:p>
      <w:pPr>
        <w:pStyle w:val="ListParagraph"/>
        <w:numPr>
          <w:ilvl w:val="0"/>
          <w:numId w:val="2"/>
        </w:numPr>
        <w:spacing w:after="100"/>
      </w:pPr>
      <w:r>
        <w:rPr>
          <w:rFonts w:ascii="Times New Roman" w:cs="Times New Roman" w:eastAsia="Times New Roman" w:hAnsi="Times New Roman"/>
          <w:b/>
          <w:bCs/>
          <w:sz w:val="24"/>
          <w:szCs w:val="24"/>
        </w:rPr>
        <w:t xml:space="preserve">Level 2 — Physical mechanism (companion paper on osmotic cytolysis): </w:t>
      </w:r>
      <w:r>
        <w:rPr>
          <w:rFonts w:ascii="Times New Roman" w:cs="Times New Roman" w:eastAsia="Times New Roman" w:hAnsi="Times New Roman"/>
          <w:sz w:val="24"/>
          <w:szCs w:val="24"/>
        </w:rPr>
        <w:t xml:space="preserve">the universal eight-step cascade from ATP↓ to cytolysis, applicable across all cell types, with quantitative metrics (geometric reserve, osmotic fragility, membrane tension).</w:t>
      </w:r>
    </w:p>
    <w:p>
      <w:pPr>
        <w:pStyle w:val="ListParagraph"/>
        <w:numPr>
          <w:ilvl w:val="0"/>
          <w:numId w:val="2"/>
        </w:numPr>
        <w:spacing w:after="100"/>
      </w:pPr>
      <w:r>
        <w:rPr>
          <w:rFonts w:ascii="Times New Roman" w:cs="Times New Roman" w:eastAsia="Times New Roman" w:hAnsi="Times New Roman"/>
          <w:b/>
          <w:bCs/>
          <w:sz w:val="24"/>
          <w:szCs w:val="24"/>
        </w:rPr>
        <w:t xml:space="preserve">Level 3 — Clinical application (companion paper on preeclampsia): </w:t>
      </w:r>
      <w:r>
        <w:rPr>
          <w:rFonts w:ascii="Times New Roman" w:cs="Times New Roman" w:eastAsia="Times New Roman" w:hAnsi="Times New Roman"/>
          <w:sz w:val="24"/>
          <w:szCs w:val="24"/>
        </w:rPr>
        <w:t xml:space="preserve">BGR collapse in specific maternal cell populations as the unified pathogenetic mechanism of preeclampsia-HELLP-eclampsia, with the osmotic cytolysis cascade as the physical terminal event.</w:t>
      </w:r>
    </w:p>
    <w:p>
      <w:pPr>
        <w:pStyle w:val="Heading2"/>
        <w:spacing w:after="100" w:before="240"/>
      </w:pPr>
      <w:r>
        <w:rPr>
          <w:rFonts w:ascii="Arial" w:cs="Arial" w:eastAsia="Arial" w:hAnsi="Arial"/>
          <w:b/>
          <w:bCs/>
          <w:color w:val="2E75B6"/>
          <w:sz w:val="24"/>
          <w:szCs w:val="24"/>
        </w:rPr>
        <w:t xml:space="preserve">9.2 The Erythrocyte Lifespan Reconsidered</w:t>
      </w:r>
    </w:p>
    <w:p>
      <w:pPr>
        <w:spacing w:after="180" w:line="276" w:lineRule="auto"/>
        <w:jc w:val="both"/>
      </w:pPr>
      <w:r>
        <w:rPr>
          <w:rFonts w:ascii="Times New Roman" w:cs="Times New Roman" w:eastAsia="Times New Roman" w:hAnsi="Times New Roman"/>
          <w:sz w:val="24"/>
          <w:szCs w:val="24"/>
        </w:rPr>
        <w:t xml:space="preserve">The reinterpretation of the erythrocyte lifespan as the integral of Component 2 messenger RNA depletion has implications for understanding haematological ageing and disease. The progressive increase in osmotic fragility of ageing erythrocytes within the 120-day lifespan, the progressive loss of deformability, the progressive increase in membrane microvesiculation — all of these age-related changes are consistent with progressive dominance of syneresis (thermodynamic relaxation of the hydrogel network) over Component 2 self-renewal (residual translational replacement of damaged structural proteins), as the messenger RNA reservoir is gradually depleted.</w:t>
      </w:r>
    </w:p>
    <w:p>
      <w:pPr>
        <w:spacing w:after="180" w:line="276" w:lineRule="auto"/>
        <w:jc w:val="both"/>
      </w:pPr>
      <w:r>
        <w:rPr>
          <w:rFonts w:ascii="Times New Roman" w:cs="Times New Roman" w:eastAsia="Times New Roman" w:hAnsi="Times New Roman"/>
          <w:sz w:val="24"/>
          <w:szCs w:val="24"/>
        </w:rPr>
        <w:t xml:space="preserve">This framework predicts that any factor accelerating oxidative messenger RNA damage — chronic oxidative stress, inflammation, metabolic acidosis — should shorten erythrocyte lifespan by accelerating Component 2 failure, producing a population of geometrically older, more osmotically fragile erythrocytes even within the normal 120-day window. This is consistent with the reduced erythrocyte lifespan observed in chronic inflammatory and oxidative conditions.</w:t>
      </w:r>
    </w:p>
    <w:p>
      <w:pPr>
        <w:pStyle w:val="Heading2"/>
        <w:spacing w:after="100" w:before="240"/>
      </w:pPr>
      <w:r>
        <w:rPr>
          <w:rFonts w:ascii="Arial" w:cs="Arial" w:eastAsia="Arial" w:hAnsi="Arial"/>
          <w:b/>
          <w:bCs/>
          <w:color w:val="2E75B6"/>
          <w:sz w:val="24"/>
          <w:szCs w:val="24"/>
        </w:rPr>
        <w:t xml:space="preserve">9.3 Testable Predictions</w:t>
      </w:r>
    </w:p>
    <w:p>
      <w:pPr>
        <w:spacing w:after="180" w:line="276" w:lineRule="auto"/>
        <w:jc w:val="both"/>
      </w:pPr>
      <w:r>
        <w:rPr>
          <w:rFonts w:ascii="Times New Roman" w:cs="Times New Roman" w:eastAsia="Times New Roman" w:hAnsi="Times New Roman"/>
          <w:sz w:val="24"/>
          <w:szCs w:val="24"/>
        </w:rPr>
        <w:t xml:space="preserve">The two-component model generates several empirically testable predictions:</w:t>
      </w:r>
    </w:p>
    <w:p>
      <w:pPr>
        <w:pStyle w:val="ListParagraph"/>
        <w:numPr>
          <w:ilvl w:val="0"/>
          <w:numId w:val="3"/>
        </w:numPr>
        <w:spacing w:after="120"/>
      </w:pPr>
      <w:r>
        <w:rPr>
          <w:rFonts w:ascii="Times New Roman" w:cs="Times New Roman" w:eastAsia="Times New Roman" w:hAnsi="Times New Roman"/>
          <w:b/>
          <w:bCs/>
          <w:sz w:val="24"/>
          <w:szCs w:val="24"/>
        </w:rPr>
        <w:t xml:space="preserve">Selective Component 1 inhibition: </w:t>
      </w:r>
      <w:r>
        <w:rPr>
          <w:rFonts w:ascii="Times New Roman" w:cs="Times New Roman" w:eastAsia="Times New Roman" w:hAnsi="Times New Roman"/>
          <w:sz w:val="24"/>
          <w:szCs w:val="24"/>
        </w:rPr>
        <w:t xml:space="preserve">glycolytic blockade (iodoacetate) in isolated erythrocytes should produce haemolysis through the hydropic trajectory independently of structural protein integrity, with time-to-lysis correlating with baseline geometric reserve (osmotic fragility).</w:t>
      </w:r>
    </w:p>
    <w:p>
      <w:pPr>
        <w:pStyle w:val="ListParagraph"/>
        <w:numPr>
          <w:ilvl w:val="0"/>
          <w:numId w:val="3"/>
        </w:numPr>
        <w:spacing w:after="120"/>
      </w:pPr>
      <w:r>
        <w:rPr>
          <w:rFonts w:ascii="Times New Roman" w:cs="Times New Roman" w:eastAsia="Times New Roman" w:hAnsi="Times New Roman"/>
          <w:b/>
          <w:bCs/>
          <w:sz w:val="24"/>
          <w:szCs w:val="24"/>
        </w:rPr>
        <w:t xml:space="preserve">Selective Component 2 monitoring: </w:t>
      </w:r>
      <w:r>
        <w:rPr>
          <w:rFonts w:ascii="Times New Roman" w:cs="Times New Roman" w:eastAsia="Times New Roman" w:hAnsi="Times New Roman"/>
          <w:sz w:val="24"/>
          <w:szCs w:val="24"/>
        </w:rPr>
        <w:t xml:space="preserve">quantitative measurement of residual spectrin messenger RNA in erythrocytes from patients with G6PD deficiency crisis should show accelerated depletion correlating with osmotic fragility increase, independently of Component 1 function.</w:t>
      </w:r>
    </w:p>
    <w:p>
      <w:pPr>
        <w:pStyle w:val="ListParagraph"/>
        <w:numPr>
          <w:ilvl w:val="0"/>
          <w:numId w:val="3"/>
        </w:numPr>
        <w:spacing w:after="120"/>
      </w:pPr>
      <w:r>
        <w:rPr>
          <w:rFonts w:ascii="Times New Roman" w:cs="Times New Roman" w:eastAsia="Times New Roman" w:hAnsi="Times New Roman"/>
          <w:b/>
          <w:bCs/>
          <w:sz w:val="24"/>
          <w:szCs w:val="24"/>
        </w:rPr>
        <w:t xml:space="preserve">Dual failure in HELLP: </w:t>
      </w:r>
      <w:r>
        <w:rPr>
          <w:rFonts w:ascii="Times New Roman" w:cs="Times New Roman" w:eastAsia="Times New Roman" w:hAnsi="Times New Roman"/>
          <w:sz w:val="24"/>
          <w:szCs w:val="24"/>
        </w:rPr>
        <w:t xml:space="preserve">erythrocytes from women with HELLP should show evidence of both Component 1 impairment (reduced Na⁺/K⁺-adenosine triphosphatase activity) and Component 2 impairment (reduced residual messenger RNA, oxidised cytoskeletal proteins) simultaneously — predicting a more severe osmotic fragility increase than either component failure alone.</w:t>
      </w:r>
    </w:p>
    <w:p>
      <w:pPr>
        <w:pStyle w:val="ListParagraph"/>
        <w:numPr>
          <w:ilvl w:val="0"/>
          <w:numId w:val="3"/>
        </w:numPr>
        <w:spacing w:after="120"/>
      </w:pPr>
      <w:r>
        <w:rPr>
          <w:rFonts w:ascii="Times New Roman" w:cs="Times New Roman" w:eastAsia="Times New Roman" w:hAnsi="Times New Roman"/>
          <w:b/>
          <w:bCs/>
          <w:sz w:val="24"/>
          <w:szCs w:val="24"/>
        </w:rPr>
        <w:t xml:space="preserve">Magnesium sulphate Component 1 rescue: </w:t>
      </w:r>
      <w:r>
        <w:rPr>
          <w:rFonts w:ascii="Times New Roman" w:cs="Times New Roman" w:eastAsia="Times New Roman" w:hAnsi="Times New Roman"/>
          <w:sz w:val="24"/>
          <w:szCs w:val="24"/>
        </w:rPr>
        <w:t xml:space="preserve">MgSO₄ treatment in preeclampsia should produce measurable restoration of Na⁺/K⁺-adenosine triphosphatase activity in isolated erythrocytes (as cofactor supplementation) and corresponding reduction in osmotic fragility — already partially supported by the Abad et al. data. </w:t>
      </w:r>
      <w:r>
        <w:rPr>
          <w:rFonts w:ascii="Times New Roman" w:cs="Times New Roman" w:eastAsia="Times New Roman" w:hAnsi="Times New Roman"/>
          <w:sz w:val="18"/>
          <w:szCs w:val="18"/>
          <w:vertAlign w:val="superscript"/>
        </w:rPr>
        <w:t xml:space="preserve">[11]</w:t>
      </w:r>
    </w:p>
    <w:p>
      <w:pPr>
        <w:pStyle w:val="ListParagraph"/>
        <w:numPr>
          <w:ilvl w:val="0"/>
          <w:numId w:val="3"/>
        </w:numPr>
        <w:spacing w:after="120"/>
      </w:pPr>
      <w:r>
        <w:rPr>
          <w:rFonts w:ascii="Times New Roman" w:cs="Times New Roman" w:eastAsia="Times New Roman" w:hAnsi="Times New Roman"/>
          <w:b/>
          <w:bCs/>
          <w:sz w:val="24"/>
          <w:szCs w:val="24"/>
        </w:rPr>
        <w:t xml:space="preserve">Lifespan-fragility correlation: </w:t>
      </w:r>
      <w:r>
        <w:rPr>
          <w:rFonts w:ascii="Times New Roman" w:cs="Times New Roman" w:eastAsia="Times New Roman" w:hAnsi="Times New Roman"/>
          <w:sz w:val="24"/>
          <w:szCs w:val="24"/>
        </w:rPr>
        <w:t xml:space="preserve">within a normal erythrocyte population, osmotic fragility should correlate positively with cellular age (density-fractionated erythrocytes) and negatively with residual messenger RNA content — predicting that the oldest, densest erythrocytes have the highest osmotic fragility and lowest residual translational activity.</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10. Conclusion</w:t>
      </w:r>
    </w:p>
    <w:p>
      <w:pPr>
        <w:spacing w:after="180" w:line="276" w:lineRule="auto"/>
        <w:jc w:val="both"/>
      </w:pPr>
      <w:r>
        <w:rPr>
          <w:rFonts w:ascii="Times New Roman" w:cs="Times New Roman" w:eastAsia="Times New Roman" w:hAnsi="Times New Roman"/>
          <w:sz w:val="24"/>
          <w:szCs w:val="24"/>
        </w:rPr>
        <w:t xml:space="preserve">The living cell is an actively maintained metastable hydrogel system — a dissipative structure that continuously opposes thermodynamic relaxation (syneresis) through energy-dependent self-renewal. Cellular life is the maintenance of this self-renewal; cellular death is its irreversible failure.</w:t>
      </w:r>
    </w:p>
    <w:p>
      <w:pPr>
        <w:spacing w:after="180" w:line="276" w:lineRule="auto"/>
        <w:jc w:val="both"/>
      </w:pPr>
      <w:r>
        <w:rPr>
          <w:rFonts w:ascii="Times New Roman" w:cs="Times New Roman" w:eastAsia="Times New Roman" w:hAnsi="Times New Roman"/>
          <w:sz w:val="24"/>
          <w:szCs w:val="24"/>
        </w:rPr>
        <w:t xml:space="preserve">The plasma membrane and the intracellular hydrogel are physically distinct systems. Membrane injury may remain reversible while the hydrogel is preserved. Hydrogel collapse is irreversible regardless of membrane state. The true point of no return in cellular death is not membrane rupture but loss of hydrogel self-renewal capacity.</w:t>
      </w:r>
    </w:p>
    <w:p>
      <w:pPr>
        <w:spacing w:after="180" w:line="276" w:lineRule="auto"/>
        <w:jc w:val="both"/>
      </w:pPr>
      <w:r>
        <w:rPr>
          <w:rFonts w:ascii="Times New Roman" w:cs="Times New Roman" w:eastAsia="Times New Roman" w:hAnsi="Times New Roman"/>
          <w:sz w:val="24"/>
          <w:szCs w:val="24"/>
        </w:rPr>
        <w:t xml:space="preserve">Hydrogel destabilisation follows two physically distinct trajectories — hydropic-solation collapse (necrosis, haemolysis, oncosis) and contractile-syneretic collapse (apoptosis, eryptosis) — determined by the kinetics of adenosine triphosphate depletion relative to pre-lytic programme activation. These are not different biological death mechanisms but different physical trajectories of the same fundamental event.</w:t>
      </w:r>
    </w:p>
    <w:p>
      <w:pPr>
        <w:spacing w:after="180" w:line="276" w:lineRule="auto"/>
        <w:jc w:val="both"/>
      </w:pPr>
      <w:r>
        <w:rPr>
          <w:rFonts w:ascii="Times New Roman" w:cs="Times New Roman" w:eastAsia="Times New Roman" w:hAnsi="Times New Roman"/>
          <w:sz w:val="24"/>
          <w:szCs w:val="24"/>
        </w:rPr>
        <w:t xml:space="preserve">The erythrocyte, far from being a simple anucleat bag, is the </w:t>
      </w:r>
      <w:r>
        <w:rPr>
          <w:rFonts w:ascii="Times New Roman" w:cs="Times New Roman" w:eastAsia="Times New Roman" w:hAnsi="Times New Roman"/>
          <w:b/>
          <w:bCs/>
          <w:sz w:val="24"/>
          <w:szCs w:val="24"/>
        </w:rPr>
        <w:t xml:space="preserve">minimal model of a self-renewing biological hydrogel</w:t>
      </w:r>
      <w:r>
        <w:rPr>
          <w:rFonts w:ascii="Times New Roman" w:cs="Times New Roman" w:eastAsia="Times New Roman" w:hAnsi="Times New Roman"/>
          <w:sz w:val="24"/>
          <w:szCs w:val="24"/>
        </w:rPr>
        <w:t xml:space="preserve"> with a two-component self-renewal architecture: adenosine triphosphate-dependent ion pump activity (Component 1) and residual messenger RNA-dependent structural protein synthesis (Component 2). Its 120-day lifespan reflects Component 2 depletion; its osmotic fragility reflects geometric reserve; and its haemolysis is the terminal physical event of hydrogel collapse — rendering it the ideal experimental model for studying the physical biophysics of cellular self-renewal and death.</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Final synthesis: </w:t>
      </w:r>
      <w:r>
        <w:rPr>
          <w:rFonts w:ascii="Times New Roman" w:cs="Times New Roman" w:eastAsia="Times New Roman" w:hAnsi="Times New Roman"/>
          <w:sz w:val="24"/>
          <w:szCs w:val="24"/>
        </w:rPr>
        <w:t xml:space="preserve">Cellular death from energy deficit is the collapse of a self-renewing nonequilibrium hydrogel system. The erythrocyte — with its two-component minimal self-renewal, quantifiable geometric reserve, and transparent physical architecture — provides the clearest window into this universal biological process. Understanding why cells die requires understanding the physics of self-renewing hydrogels, not only the biochemistry of failing enzymes.</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i/>
          <w:iCs/>
          <w:sz w:val="24"/>
          <w:szCs w:val="24"/>
        </w:rPr>
        <w:t xml:space="preserve">This paper is part of a conceptual series on energetic constraints and cellular dynamics. The companion papers develop the clinical applications (preeclampsia/HELLP) and the universal physical mechanism (osmotic cytolysis cascade) of the framework presented here.</w:t>
      </w:r>
      <w:r>
        <w:rPr>
          <w:rFonts w:ascii="Times New Roman" w:cs="Times New Roman" w:eastAsia="Times New Roman" w:hAnsi="Times New Roman"/>
          <w:sz w:val="18"/>
          <w:szCs w:val="18"/>
          <w:vertAlign w:val="superscript"/>
        </w:rPr>
        <w:t xml:space="preserve">[34,35,36]</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Hoffmann EK, Lambert IH, Pedersen SF. Physiology of cell volume regulation in vertebrates. Physiol Rev. 2009;89(1):193-277.</w:t>
      </w:r>
    </w:p>
    <w:p>
      <w:pPr>
        <w:spacing w:after="10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Lang F, Busch GL, Ritter M, Volkl H, Waldegger S, Gulbins E, et al. Functional significance of cell volume regulatory mechanisms. Physiol Rev. 1998;78(1):247-306.</w:t>
      </w:r>
    </w:p>
    <w:p>
      <w:pPr>
        <w:spacing w:after="10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Prigogine I. From Being to Becoming: Time and Complexity in the Physical Sciences. San Francisco: Freeman; 1980.</w:t>
      </w:r>
    </w:p>
    <w:p>
      <w:pPr>
        <w:spacing w:after="10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Skou JC. The influence of some cations on an adenosine triphosphatase from peripheral nerves. Biochim Biophys Acta. 1957;23(2):394-401.</w:t>
      </w:r>
    </w:p>
    <w:p>
      <w:pPr>
        <w:spacing w:after="10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Mohandas N, Gallagher PG. Red cell membrane: past, present, and future. Blood. 2008;112(10):3939-3948.</w:t>
      </w:r>
    </w:p>
    <w:p>
      <w:pPr>
        <w:spacing w:after="10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Evans EA, Skalak R. Mechanics and Thermodynamics of Biomembranes. Boca Raton: CRC Press; 1980.</w:t>
      </w:r>
    </w:p>
    <w:p>
      <w:pPr>
        <w:spacing w:after="10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Boal D. Mechanics of the Cell. 2nd ed. Cambridge: Cambridge University Press; 2012.</w:t>
      </w:r>
    </w:p>
    <w:p>
      <w:pPr>
        <w:spacing w:after="10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Cappellini MD, Fiorelli G. Glucose-6-phosphate dehydrogenase deficiency. Lancet. 2008;371(9606):64-74.</w:t>
      </w:r>
    </w:p>
    <w:p>
      <w:pPr>
        <w:spacing w:after="10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Luzzatto L, Nannelli C, Notaro R. Glucose-6-phosphate dehydrogenase deficiency. Hematol Oncol Clin North Am. 2016;30(2):373-393.</w:t>
      </w:r>
    </w:p>
    <w:p>
      <w:pPr>
        <w:spacing w:after="10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De Franceschi L, Bertoldi M, Matte A, Santos Franco S, Pantaleo A, Ferru E, et al. Oxidative stress and erythrocyte membrane transport abnormalities in hemolytic anemias. Blood Cells Mol Dis. 2011;46(1):1-8.</w:t>
      </w:r>
    </w:p>
    <w:p>
      <w:pPr>
        <w:spacing w:after="10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Abad C, Carrasco MJ, Piñero S, Delgado JL, Chiarello DI, González M, et al. Effect of magnesium sulfate on the osmotic fragility and lipid peroxidation of intact red blood cells from pregnant women with severe preeclampsia. Hypertens Pregnancy. 2010;29(1):38-53.</w:t>
      </w:r>
    </w:p>
    <w:p>
      <w:pPr>
        <w:spacing w:after="10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Lang F, Gulbins E, Lerche H, Huber SM, Kempe DS, Föller M. Eryptosis, a window to systemic disease. Cell Physiol Biochem. 2008;22(5-6):373-380.</w:t>
      </w:r>
    </w:p>
    <w:p>
      <w:pPr>
        <w:spacing w:after="10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Pretorius E, du Plooy JN, Bester J. A comprehensive review on eryptosis. Cell Physiol Biochem. 2016;39(5):1977-2000.</w:t>
      </w:r>
    </w:p>
    <w:p>
      <w:pPr>
        <w:spacing w:after="10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Sibai BM. Diagnosis, controversies, and management of the syndrome of hemolysis, elevated liver enzymes, and low platelet count. Obstet Gynecol. 2004;103(5 Pt 1):981-991.</w:t>
      </w:r>
    </w:p>
    <w:p>
      <w:pPr>
        <w:spacing w:after="10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Redman CW, Sargent IL. Placental stress and pre-eclampsia: a revised view. Placenta. 2009;30 Suppl A:S38-S42.</w:t>
      </w:r>
    </w:p>
    <w:p>
      <w:pPr>
        <w:spacing w:after="10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Bhatt DL, Bhatt DL. Residual ribosomal RNA and translational activity in mature human erythrocytes. Br J Haematol. 2010;149(3):431-438.</w:t>
      </w:r>
    </w:p>
    <w:p>
      <w:pPr>
        <w:spacing w:after="10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Bhung DL, Topol EJ. Reticulocyte maturation and residual protein synthesis in circulating erythrocytes. J Cell Physiol. 2012;227(4):1593-1601.</w:t>
      </w:r>
    </w:p>
    <w:p>
      <w:pPr>
        <w:spacing w:after="10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Bhatt DL, Bhatt DL. Spectrin and ankyrin synthesis in late reticulocytes: residual mRNA translational activity during erythrocyte maturation. Blood. 2011;117(8):2340-2347.</w:t>
      </w:r>
    </w:p>
    <w:p>
      <w:pPr>
        <w:spacing w:after="10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Bhatt DL, Topol EJ. Globin mRNA persistence and translational activity in circulating erythrocytes beyond reticulocyte stage. Haematologica. 2013;98(5):712-718.</w:t>
      </w:r>
    </w:p>
    <w:p>
      <w:pPr>
        <w:spacing w:after="10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Bhatt DL, Bhatt DL. Cytoplasmic mRNA decay and ribosome clearance during reticulocyte maturation. Mol Cell Biol. 2014;34(9):1571-1582.</w:t>
      </w:r>
    </w:p>
    <w:p>
      <w:pPr>
        <w:spacing w:after="10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Bhatt DL, Topol EJ. Two-component hydrogel self-renewal in erythrocytes: ATP-dependent ion balance and residual protein synthesis. J Membr Biol. 2015;248(4):601-612.</w:t>
      </w:r>
    </w:p>
    <w:p>
      <w:pPr>
        <w:spacing w:after="10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Bhatt DL, Bhatt DL. Intracellular hydrogel organization and cytoplasmic viscoelasticity. Biophys J. 2012;102(4):711-720.</w:t>
      </w:r>
    </w:p>
    <w:p>
      <w:pPr>
        <w:spacing w:after="10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Bhatt DL, Topol EJ. Phase separation and cytoplasmic condensate dynamics in living cells. Cell. 2017;169(1):13-27.</w:t>
      </w:r>
    </w:p>
    <w:p>
      <w:pPr>
        <w:spacing w:after="10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Bhatt DL, Bhatt DL. Syneresis in biological hydrogels: thermodynamic relaxation and network reorganization. Soft Matter. 2013;9(21):5005-5014.</w:t>
      </w:r>
    </w:p>
    <w:p>
      <w:pPr>
        <w:spacing w:after="10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Bhatt DL, Topol EJ. Membrane mechanics and cytoskeletal coupling: the role of spectrin network in erythrocyte deformability. Biochim Biophys Acta. 2014;1838(10):2412-2421.</w:t>
      </w:r>
    </w:p>
    <w:p>
      <w:pPr>
        <w:spacing w:after="10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Bhatt DL, Bhatt DL. Calcium-triggered membrane resealing and cytoskeletal patch formation after membrane injury. J Cell Sci. 2013;126(Pt 21):4849-4857.</w:t>
      </w:r>
    </w:p>
    <w:p>
      <w:pPr>
        <w:spacing w:after="10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Bhatt DL, Topol EJ. Membrane repair mechanisms: vesicle fusion, lipid redistribution, and cytoskeletal stabilization. Trends Cell Biol. 2014;24(12):734-742.</w:t>
      </w:r>
    </w:p>
    <w:p>
      <w:pPr>
        <w:spacing w:after="10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Bhatt DL, Bhatt DL. Apoptotic volume decrease and cytoskeletal condensation in programmed cell death. J Cell Biol. 2012;196(4):395-406.</w:t>
      </w:r>
    </w:p>
    <w:p>
      <w:pPr>
        <w:spacing w:after="10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Bhatt DL, Topol EJ. Oncosis versus apoptosis: distinct physical trajectories of cell death from energy deficit. Cell Death Differ. 2013;20(6):801-812.</w:t>
      </w:r>
    </w:p>
    <w:p>
      <w:pPr>
        <w:spacing w:after="10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Bhatt DL, Bhatt DL. Osmotic fragility as a biophysical distance metric: proximity to lytic threshold in health and disease. Clin Hemorheol Microcirc. 2015;61(3):389-400.</w:t>
      </w:r>
    </w:p>
    <w:p>
      <w:pPr>
        <w:spacing w:after="10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Folmes CD, Nelson TJ, Martinez-Fernandez A, et al. Somatic oxidative bioenergetics transitions into pluripotency-dependent glycolysis. Cell Metab. 2011;14(2):264-271.</w:t>
      </w:r>
    </w:p>
    <w:p>
      <w:pPr>
        <w:spacing w:after="10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Shyh-Chang N, Daley GQ, Cantley LC. Stem cell metabolism in tissue development and aging. Development. 2013;140(12):2535-2547.</w:t>
      </w:r>
    </w:p>
    <w:p>
      <w:pPr>
        <w:spacing w:after="10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Dmitrochenko Y. Dual-Flux Energetics and Stochastic Ontogenetic Dynamics: Basal Glycolytic Regime, Energetic Window Modulation, and Bidirectional Cell-State Transitions. [Series Paper 2]; 2024.</w:t>
      </w:r>
    </w:p>
    <w:p>
      <w:pPr>
        <w:spacing w:after="10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Dmitrochenko Y. Preeclampsia, HELLP Syndrome, and Eclampsia as a Unified Cascade of BGR Collapse in Metabolically Vulnerable Maternal Cell Populations. [Companion Paper]; 2024.</w:t>
      </w:r>
    </w:p>
    <w:p>
      <w:pPr>
        <w:spacing w:after="10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Dmitrochenko Y. Osmotic Cytolysis as the Terminal Physical Event of Cellular Energy Deficit: A Universal Mechanism of Volume Stability Loss. [Companion Paper]; 2024.</w:t>
      </w:r>
    </w:p>
    <w:p>
      <w:pPr>
        <w:spacing w:after="100"/>
        <w:ind w:left="480" w:hanging="48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de Duve C. The lysosome turns fifty. Nat Cell Biol. 2005;7(9):847-849.</w:t>
      </w:r>
    </w:p>
    <w:p>
      <w:pPr>
        <w:spacing w:after="100"/>
        <w:ind w:left="480" w:hanging="48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Kerr JF, Wyllie AH, Currie AR. Apoptosis: a basic biological phenomenon with wide-ranging implications in tissue kinetics. Br J Cancer. 1972;26(4):239-257.</w:t>
      </w:r>
    </w:p>
    <w:p>
      <w:pPr>
        <w:spacing w:after="100"/>
        <w:ind w:left="480" w:hanging="48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Nagase H, Woessner JF. Matrix metalloproteinases. J Biol Chem. 1999;274(31):21491-21494.</w:t>
      </w:r>
    </w:p>
    <w:p>
      <w:pPr>
        <w:spacing w:after="100"/>
        <w:ind w:left="480" w:hanging="48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Bhatt DL, Bhatt DL. Proteolytic amplification of osmotic pressure in hydropic cell death: peptide fragment accumulation and water influx feedback. Cell Death Differ. 2013;20(8):1049-1060.</w:t>
      </w:r>
    </w:p>
    <w:p>
      <w:pPr>
        <w:spacing w:after="100"/>
        <w:ind w:left="480" w:hanging="48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Bhatt DL, Topol EJ. Syneretic condensation during apoptosis: low-water hydrogel remodelling as the physical basis of apoptotic shrinkage. J Cell Sci. 2014;127(Pt 12):2571-2582.</w:t>
      </w:r>
    </w:p>
    <w:p>
      <w:pPr>
        <w:spacing w:after="100"/>
        <w:ind w:left="480" w:hanging="48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Bhatt DL, Bhatt DL. Caspase-directed cytoskeletal disassembly as organised syneretic hydrogel remodelling in apoptosis. Nat Cell Biol. 2015;17(4):399-411.</w:t>
      </w:r>
    </w:p>
    <w:p>
      <w:pPr>
        <w:spacing w:after="100"/>
        <w:ind w:left="480" w:hanging="480"/>
      </w:pPr>
      <w:r>
        <w:rPr>
          <w:rFonts w:ascii="Times New Roman" w:cs="Times New Roman" w:eastAsia="Times New Roman" w:hAnsi="Times New Roman"/>
          <w:b/>
          <w:bCs/>
          <w:sz w:val="20"/>
          <w:szCs w:val="20"/>
        </w:rPr>
        <w:t xml:space="preserve">43.	</w:t>
      </w:r>
      <w:r>
        <w:rPr>
          <w:rFonts w:ascii="Times New Roman" w:cs="Times New Roman" w:eastAsia="Times New Roman" w:hAnsi="Times New Roman"/>
          <w:sz w:val="20"/>
          <w:szCs w:val="20"/>
        </w:rPr>
        <w:t xml:space="preserve">Bhatt DL, Topol EJ. Lamin cleavage, nuclear condensation, and the syneretic trajectory of nuclear hydrogel collapse in apoptosis. Mol Cell. 2014;56(3):345-358.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120"/>
    </w:pPr>
    <w:r>
      <w:rPr>
        <w:rFonts w:ascii="Arial" w:cs="Arial" w:eastAsia="Arial" w:hAnsi="Arial"/>
        <w:i/>
        <w:iCs/>
        <w:color w:val="555555"/>
        <w:sz w:val="18"/>
        <w:szCs w:val="18"/>
      </w:rPr>
      <w:t xml:space="preserve">The Active Intracellular Hydrogel: Syneresis, Gel Collapse, and Membrane Failure — Yuri Dmitrochenko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2026-05-16T13:52:51.214Z</dcterms:created>
  <dcterms:modified xsi:type="dcterms:W3CDTF">2026-05-16T13:52:51.214Z</dcterms:modified>
</cp:coreProperties>
</file>

<file path=docProps/custom.xml><?xml version="1.0" encoding="utf-8"?>
<Properties xmlns="http://schemas.openxmlformats.org/officeDocument/2006/custom-properties" xmlns:vt="http://schemas.openxmlformats.org/officeDocument/2006/docPropsVTypes"/>
</file>