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Instability of Adipose Tissue as an Energetic Buffer:</w:t>
      </w:r>
    </w:p>
    <w:p>
      <w:pPr>
        <w:spacing w:after="80"/>
        <w:jc w:val="center"/>
      </w:pPr>
      <w:r>
        <w:rPr>
          <w:rFonts w:ascii="Arial" w:cs="Arial" w:eastAsia="Arial" w:hAnsi="Arial"/>
          <w:b/>
          <w:bCs/>
          <w:color w:val="2E75B6"/>
          <w:sz w:val="27"/>
          <w:szCs w:val="27"/>
        </w:rPr>
        <w:t xml:space="preserve">A Conceptual Systems Model of Type 2 Diabetes Mellitus,</w:t>
      </w:r>
    </w:p>
    <w:p>
      <w:pPr>
        <w:spacing w:after="200"/>
        <w:jc w:val="center"/>
      </w:pPr>
      <w:r>
        <w:rPr>
          <w:rFonts w:ascii="Arial" w:cs="Arial" w:eastAsia="Arial" w:hAnsi="Arial"/>
          <w:b/>
          <w:bCs/>
          <w:color w:val="2E75B6"/>
          <w:sz w:val="27"/>
          <w:szCs w:val="27"/>
        </w:rPr>
        <w:t xml:space="preserve">Metabolic Syndrome, and Polycystic Ovary Syndrome</w:t>
      </w:r>
    </w:p>
    <w:p>
      <w:pPr>
        <w:spacing w:after="80"/>
        <w:jc w:val="center"/>
      </w:pPr>
      <w:r>
        <w:rPr>
          <w:rFonts w:ascii="Arial" w:cs="Arial" w:eastAsia="Arial" w:hAnsi="Arial"/>
          <w:b/>
          <w:bCs/>
          <w:sz w:val="24"/>
          <w:szCs w:val="24"/>
        </w:rPr>
        <w:t xml:space="preserve">Yuri Dmitrochenko</w:t>
      </w:r>
    </w:p>
    <w:p>
      <w:pPr>
        <w:spacing w:after="320"/>
        <w:jc w:val="center"/>
      </w:pPr>
      <w:r>
        <w:rPr>
          <w:rFonts w:ascii="Arial" w:cs="Arial" w:eastAsia="Arial" w:hAnsi="Arial"/>
          <w:i/>
          <w:iCs/>
          <w:color w:val="555555"/>
          <w:sz w:val="22"/>
          <w:szCs w:val="22"/>
        </w:rPr>
        <w:t xml:space="preserve">A Conceptual Systems-Level Hypothesis Paper</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Type 2 diabetes mellitus is conventionally described as a disorder of insulin resistance, compensatory hyperinsulinaemia, and progressive β-cell dysfunction. However, this framework incompletely explains several systemic paradoxes: the coexistence of hyperglycaemia with intracellular energetic deficit; simultaneous expansion and instability of adipose tissue; the close clinical association between obesity, metabolic syndrome, polycystic ovary syndrome (PCOS), and non-alcoholic fatty liver disease; the marked metabolic improvement following even moderate weight loss; and the evolutionary persistence of mechanisms predisposing to hyperinsulinaemia and rapid fat accumulation. </w:t>
      </w:r>
      <w:r>
        <w:rPr>
          <w:rFonts w:ascii="Times New Roman" w:cs="Times New Roman" w:eastAsia="Times New Roman" w:hAnsi="Times New Roman"/>
          <w:sz w:val="18"/>
          <w:szCs w:val="18"/>
          <w:vertAlign w:val="superscript"/>
        </w:rPr>
        <w:t xml:space="preserve">[1,3,8]</w:t>
      </w:r>
    </w:p>
    <w:p>
      <w:pPr>
        <w:spacing w:after="180" w:line="276" w:lineRule="auto"/>
        <w:jc w:val="both"/>
      </w:pPr>
      <w:r>
        <w:rPr>
          <w:rFonts w:ascii="Times New Roman" w:cs="Times New Roman" w:eastAsia="Times New Roman" w:hAnsi="Times New Roman"/>
          <w:sz w:val="24"/>
          <w:szCs w:val="24"/>
        </w:rPr>
        <w:t xml:space="preserve">This paper proposes a conceptual systems-level framework in which adipose tissue is interpreted not as a passive storage compartment but as a </w:t>
      </w:r>
      <w:r>
        <w:rPr>
          <w:rFonts w:ascii="Times New Roman" w:cs="Times New Roman" w:eastAsia="Times New Roman" w:hAnsi="Times New Roman"/>
          <w:b/>
          <w:bCs/>
          <w:sz w:val="24"/>
          <w:szCs w:val="24"/>
        </w:rPr>
        <w:t xml:space="preserve">dynamic energetic buffer directly coupled to glucose flux and insulin signalling</w:t>
      </w:r>
      <w:r>
        <w:rPr>
          <w:rFonts w:ascii="Times New Roman" w:cs="Times New Roman" w:eastAsia="Times New Roman" w:hAnsi="Times New Roman"/>
          <w:sz w:val="24"/>
          <w:szCs w:val="24"/>
        </w:rPr>
        <w:t xml:space="preserve">. The central hypothesis is that adipocytes possess minimal glycogen reserves and therefore depend critically on continuous glucose availability for structural maintenance, fatty acid re-esterification, and lipid retention. Under conditions of chronic caloric excess, adipose tissue may expand faster than its energetic, vascular, and regulatory support systems, generating progressive energetic instability within adipose tissue itself. </w:t>
      </w:r>
      <w:r>
        <w:rPr>
          <w:rFonts w:ascii="Times New Roman" w:cs="Times New Roman" w:eastAsia="Times New Roman" w:hAnsi="Times New Roman"/>
          <w:sz w:val="18"/>
          <w:szCs w:val="18"/>
          <w:vertAlign w:val="superscript"/>
        </w:rPr>
        <w:t xml:space="preserve">[13,5,10]</w:t>
      </w:r>
    </w:p>
    <w:p>
      <w:pPr>
        <w:spacing w:after="180" w:line="276" w:lineRule="auto"/>
        <w:jc w:val="both"/>
      </w:pPr>
      <w:r>
        <w:rPr>
          <w:rFonts w:ascii="Times New Roman" w:cs="Times New Roman" w:eastAsia="Times New Roman" w:hAnsi="Times New Roman"/>
          <w:sz w:val="24"/>
          <w:szCs w:val="24"/>
        </w:rPr>
        <w:t xml:space="preserve">A self-reinforcing metabolic cycle is proposed:</w:t>
      </w:r>
    </w:p>
    <w:p>
      <w:pPr>
        <w:pBdr>
          <w:top w:val="single" w:color="CCCCCC" w:sz="4" w:space="2"/>
          <w:bottom w:val="single" w:color="CCCCCC" w:sz="4" w:space="2"/>
          <w:left w:val="thick" w:color="2E75B6" w:sz="14" w:space="6"/>
        </w:pBdr>
        <w:shd w:fill="F4F8FE"/>
        <w:spacing w:after="120" w:before="120"/>
        <w:ind w:left="400" w:right="400"/>
      </w:pPr>
      <w:r>
        <w:rPr>
          <w:rFonts w:ascii="Courier New" w:cs="Courier New" w:eastAsia="Courier New" w:hAnsi="Courier New"/>
          <w:i/>
          <w:iCs/>
          <w:sz w:val="22"/>
          <w:szCs w:val="22"/>
        </w:rPr>
        <w:t xml:space="preserve">Adipose expansion → adipocyte instability → lipolysis + adipocyte death → free fatty acid release → hepatic gluconeogenesis → hyperglycaemia → hyperinsulinaemia → further adipose expansion</w:t>
      </w:r>
      <w:r>
        <w:rPr>
          <w:rFonts w:ascii="Arial" w:cs="Arial" w:eastAsia="Arial" w:hAnsi="Arial"/>
          <w:color w:val="666666"/>
          <w:sz w:val="20"/>
          <w:szCs w:val="20"/>
        </w:rPr>
        <w:t xml:space="preserve">   …(0.1)</w:t>
      </w:r>
    </w:p>
    <w:p>
      <w:pPr>
        <w:spacing w:after="180" w:line="276" w:lineRule="auto"/>
        <w:jc w:val="both"/>
      </w:pPr>
      <w:r>
        <w:rPr>
          <w:rFonts w:ascii="Times New Roman" w:cs="Times New Roman" w:eastAsia="Times New Roman" w:hAnsi="Times New Roman"/>
          <w:sz w:val="24"/>
          <w:szCs w:val="24"/>
        </w:rPr>
        <w:t xml:space="preserve">Within this framework, insulin resistance is interpreted not primarily as an isolated receptor defect but as a </w:t>
      </w:r>
      <w:r>
        <w:rPr>
          <w:rFonts w:ascii="Times New Roman" w:cs="Times New Roman" w:eastAsia="Times New Roman" w:hAnsi="Times New Roman"/>
          <w:b/>
          <w:bCs/>
          <w:sz w:val="24"/>
          <w:szCs w:val="24"/>
        </w:rPr>
        <w:t xml:space="preserve">systemic consequence of energetic overload and instability of the organism's energy-buffering system</w:t>
      </w:r>
      <w:r>
        <w:rPr>
          <w:rFonts w:ascii="Times New Roman" w:cs="Times New Roman" w:eastAsia="Times New Roman" w:hAnsi="Times New Roman"/>
          <w:sz w:val="24"/>
          <w:szCs w:val="24"/>
        </w:rPr>
        <w:t xml:space="preserve">. Severe obesity creates a paradoxical state in which enormous glucose production coexists with relative energetic deprivation of multiple tissues. Hyperglycaemia therefore reflects not energetic abundance but </w:t>
      </w:r>
      <w:r>
        <w:rPr>
          <w:rFonts w:ascii="Times New Roman" w:cs="Times New Roman" w:eastAsia="Times New Roman" w:hAnsi="Times New Roman"/>
          <w:b/>
          <w:bCs/>
          <w:sz w:val="24"/>
          <w:szCs w:val="24"/>
        </w:rPr>
        <w:t xml:space="preserve">inefficient energetic distribution within an overloaded metabolic system</w:t>
      </w:r>
      <w:r>
        <w:rPr>
          <w:rFonts w:ascii="Times New Roman" w:cs="Times New Roman" w:eastAsia="Times New Roman" w:hAnsi="Times New Roman"/>
          <w:sz w:val="24"/>
          <w:szCs w:val="24"/>
        </w:rPr>
        <w:t xml:space="preserve">. The model provides a unified explanation for type 2 diabetes, metabolic syndrome, PCOS, and non-alcoholic fatty liver disease as different manifestations of a common systemic instability of energetic buffering. </w:t>
      </w:r>
      <w:r>
        <w:rPr>
          <w:rFonts w:ascii="Times New Roman" w:cs="Times New Roman" w:eastAsia="Times New Roman" w:hAnsi="Times New Roman"/>
          <w:sz w:val="18"/>
          <w:szCs w:val="18"/>
          <w:vertAlign w:val="superscript"/>
        </w:rPr>
        <w:t xml:space="preserve">[4,17,29,36]</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adipose tissue; energetic buffer; adipocyte instability; type 2 diabetes; insulin resistance; hyperglycaemia; metabolic syndrome; PCOS; free fatty acids; hepatic gluconeogenesis; energetic distribution; lipolysis; glycerol-3-phosphate; thrifty genotype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spacing w:after="180" w:line="276" w:lineRule="auto"/>
        <w:jc w:val="both"/>
      </w:pPr>
      <w:r>
        <w:rPr>
          <w:rFonts w:ascii="Times New Roman" w:cs="Times New Roman" w:eastAsia="Times New Roman" w:hAnsi="Times New Roman"/>
          <w:sz w:val="24"/>
          <w:szCs w:val="24"/>
        </w:rPr>
        <w:t xml:space="preserve">Adipose tissue has traditionally been viewed as a passive depot for long-term energy storage — a simple reservoir that fills during caloric excess and empties during caloric deficit. Modern metabolic biology has substantially revised this view, demonstrating that adipose tissue functions as an active endocrine and energetic regulatory system involved in lipid buffering, insulin sensitivity regulation, inflammatory signalling, energetic distribution, and metabolic stabilisation. </w:t>
      </w:r>
      <w:r>
        <w:rPr>
          <w:rFonts w:ascii="Times New Roman" w:cs="Times New Roman" w:eastAsia="Times New Roman" w:hAnsi="Times New Roman"/>
          <w:sz w:val="18"/>
          <w:szCs w:val="18"/>
          <w:vertAlign w:val="superscript"/>
        </w:rPr>
        <w:t xml:space="preserve">[10,21,23]</w:t>
      </w:r>
    </w:p>
    <w:p>
      <w:pPr>
        <w:spacing w:after="180" w:line="276" w:lineRule="auto"/>
        <w:jc w:val="both"/>
      </w:pPr>
      <w:r>
        <w:rPr>
          <w:rFonts w:ascii="Times New Roman" w:cs="Times New Roman" w:eastAsia="Times New Roman" w:hAnsi="Times New Roman"/>
          <w:sz w:val="24"/>
          <w:szCs w:val="24"/>
        </w:rPr>
        <w:t xml:space="preserve">A major but underappreciated property of adipocytes is their </w:t>
      </w:r>
      <w:r>
        <w:rPr>
          <w:rFonts w:ascii="Times New Roman" w:cs="Times New Roman" w:eastAsia="Times New Roman" w:hAnsi="Times New Roman"/>
          <w:b/>
          <w:bCs/>
          <w:sz w:val="24"/>
          <w:szCs w:val="24"/>
        </w:rPr>
        <w:t xml:space="preserve">minimal glycogen reserve</w:t>
      </w:r>
      <w:r>
        <w:rPr>
          <w:rFonts w:ascii="Times New Roman" w:cs="Times New Roman" w:eastAsia="Times New Roman" w:hAnsi="Times New Roman"/>
          <w:sz w:val="24"/>
          <w:szCs w:val="24"/>
        </w:rPr>
        <w:t xml:space="preserve"> compared with hepatocytes and skeletal muscle. The liver stores approximately 100 g of glycogen; skeletal muscle approximately 400 g. The adipocyte stores negligible amounts of glycogen — typically less than 1% of cell wet weight. </w:t>
      </w:r>
      <w:r>
        <w:rPr>
          <w:rFonts w:ascii="Times New Roman" w:cs="Times New Roman" w:eastAsia="Times New Roman" w:hAnsi="Times New Roman"/>
          <w:sz w:val="18"/>
          <w:szCs w:val="18"/>
          <w:vertAlign w:val="superscript"/>
        </w:rPr>
        <w:t xml:space="preserve">[13,10]</w:t>
      </w:r>
      <w:r>
        <w:rPr>
          <w:rFonts w:ascii="Times New Roman" w:cs="Times New Roman" w:eastAsia="Times New Roman" w:hAnsi="Times New Roman"/>
          <w:sz w:val="24"/>
          <w:szCs w:val="24"/>
        </w:rPr>
        <w:t xml:space="preserve"> This structural feature makes adipocytes fundamentally different from other major energy-storing cell types: they cannot draw on intracellular carbohydrate reserves during brief interruptions in glucose delivery, and their functional integrity — particularly the maintenance of lipid storage through fatty acid re-esterification — depends on </w:t>
      </w:r>
      <w:r>
        <w:rPr>
          <w:rFonts w:ascii="Times New Roman" w:cs="Times New Roman" w:eastAsia="Times New Roman" w:hAnsi="Times New Roman"/>
          <w:b/>
          <w:bCs/>
          <w:sz w:val="24"/>
          <w:szCs w:val="24"/>
        </w:rPr>
        <w:t xml:space="preserve">continuous external glucose availability</w:t>
      </w:r>
      <w:r>
        <w:rPr>
          <w:rFonts w:ascii="Times New Roman" w:cs="Times New Roman" w:eastAsia="Times New Roman" w:hAnsi="Times New Roman"/>
          <w:sz w:val="24"/>
          <w:szCs w:val="24"/>
        </w:rPr>
        <w:t xml:space="preserve">.</w:t>
      </w:r>
    </w:p>
    <w:p>
      <w:pPr>
        <w:spacing w:after="180" w:line="276" w:lineRule="auto"/>
        <w:jc w:val="both"/>
      </w:pPr>
      <w:r>
        <w:rPr>
          <w:rFonts w:ascii="Times New Roman" w:cs="Times New Roman" w:eastAsia="Times New Roman" w:hAnsi="Times New Roman"/>
          <w:sz w:val="24"/>
          <w:szCs w:val="24"/>
        </w:rPr>
        <w:t xml:space="preserve">This paper proposes that adipose tissue should be viewed as a dynamic energetic buffer with limited intrinsic stability — a system whose function is critically dependent on continuous glucose flux and which, under conditions of chronic caloric excess, becomes progressively and self-sustainingly destabilised. The pathological consequences of this destabilisation — type 2 diabetes, metabolic syndrome, PCOS, non-alcoholic fatty liver disease — represent different clinical expressions of the same underlying systems-level failure.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The Adipocyte as an Energetically Dependent Structure</w:t>
      </w:r>
    </w:p>
    <w:p>
      <w:pPr>
        <w:spacing w:after="180" w:line="276" w:lineRule="auto"/>
        <w:jc w:val="both"/>
      </w:pPr>
      <w:r>
        <w:rPr>
          <w:rFonts w:ascii="Times New Roman" w:cs="Times New Roman" w:eastAsia="Times New Roman" w:hAnsi="Times New Roman"/>
          <w:sz w:val="24"/>
          <w:szCs w:val="24"/>
        </w:rPr>
        <w:t xml:space="preserve">The adipocyte is not a passive lipid container. It is a metabolically active cell that continuously synthesises triglycerides, re-esterifies fatty acids, regulates lipolysis, maintains membrane integrity, preserves ion gradients, secretes adipokines, and responds to complex hormonal signals. </w:t>
      </w:r>
      <w:r>
        <w:rPr>
          <w:rFonts w:ascii="Times New Roman" w:cs="Times New Roman" w:eastAsia="Times New Roman" w:hAnsi="Times New Roman"/>
          <w:sz w:val="18"/>
          <w:szCs w:val="18"/>
          <w:vertAlign w:val="superscript"/>
        </w:rPr>
        <w:t xml:space="preserve">[10,20,21]</w:t>
      </w:r>
      <w:r>
        <w:rPr>
          <w:rFonts w:ascii="Times New Roman" w:cs="Times New Roman" w:eastAsia="Times New Roman" w:hAnsi="Times New Roman"/>
          <w:sz w:val="24"/>
          <w:szCs w:val="24"/>
        </w:rPr>
        <w:t xml:space="preserve"> Each of these functions requires continuous energy expenditure.</w:t>
      </w:r>
    </w:p>
    <w:p>
      <w:pPr>
        <w:spacing w:after="180" w:line="276" w:lineRule="auto"/>
        <w:jc w:val="both"/>
      </w:pPr>
      <w:r>
        <w:rPr>
          <w:rFonts w:ascii="Times New Roman" w:cs="Times New Roman" w:eastAsia="Times New Roman" w:hAnsi="Times New Roman"/>
          <w:sz w:val="24"/>
          <w:szCs w:val="24"/>
        </w:rPr>
        <w:t xml:space="preserve">The biochemical dependence on glucose extends beyond simple energy production. Intracellular lipid retention requires </w:t>
      </w:r>
      <w:r>
        <w:rPr>
          <w:rFonts w:ascii="Times New Roman" w:cs="Times New Roman" w:eastAsia="Times New Roman" w:hAnsi="Times New Roman"/>
          <w:b/>
          <w:bCs/>
          <w:sz w:val="24"/>
          <w:szCs w:val="24"/>
        </w:rPr>
        <w:t xml:space="preserve">glycerol-3-phosphate</w:t>
      </w:r>
      <w:r>
        <w:rPr>
          <w:rFonts w:ascii="Times New Roman" w:cs="Times New Roman" w:eastAsia="Times New Roman" w:hAnsi="Times New Roman"/>
          <w:sz w:val="24"/>
          <w:szCs w:val="24"/>
        </w:rPr>
        <w:t xml:space="preserve"> — the backbone molecule to which fatty acids are esterified to form triglycerides — which is derived predominantly from glucose through glycolysis. </w:t>
      </w:r>
      <w:r>
        <w:rPr>
          <w:rFonts w:ascii="Times New Roman" w:cs="Times New Roman" w:eastAsia="Times New Roman" w:hAnsi="Times New Roman"/>
          <w:sz w:val="18"/>
          <w:szCs w:val="18"/>
          <w:vertAlign w:val="superscript"/>
        </w:rPr>
        <w:t xml:space="preserve">[13,4]</w:t>
      </w:r>
      <w:r>
        <w:rPr>
          <w:rFonts w:ascii="Times New Roman" w:cs="Times New Roman" w:eastAsia="Times New Roman" w:hAnsi="Times New Roman"/>
          <w:sz w:val="24"/>
          <w:szCs w:val="24"/>
        </w:rPr>
        <w:t xml:space="preserve"> Glucose is therefore required not only as an energetic substrate but as a </w:t>
      </w:r>
      <w:r>
        <w:rPr>
          <w:rFonts w:ascii="Times New Roman" w:cs="Times New Roman" w:eastAsia="Times New Roman" w:hAnsi="Times New Roman"/>
          <w:b/>
          <w:bCs/>
          <w:sz w:val="24"/>
          <w:szCs w:val="24"/>
        </w:rPr>
        <w:t xml:space="preserve">structural metabolic component</w:t>
      </w:r>
      <w:r>
        <w:rPr>
          <w:rFonts w:ascii="Times New Roman" w:cs="Times New Roman" w:eastAsia="Times New Roman" w:hAnsi="Times New Roman"/>
          <w:sz w:val="24"/>
          <w:szCs w:val="24"/>
        </w:rPr>
        <w:t xml:space="preserve"> necessary for the chemical maintenance of lipid storage itself.</w:t>
      </w:r>
    </w:p>
    <w:p>
      <w:pPr>
        <w:spacing w:after="180" w:line="276" w:lineRule="auto"/>
        <w:jc w:val="both"/>
      </w:pPr>
      <w:r>
        <w:rPr>
          <w:rFonts w:ascii="Times New Roman" w:cs="Times New Roman" w:eastAsia="Times New Roman" w:hAnsi="Times New Roman"/>
          <w:sz w:val="24"/>
          <w:szCs w:val="24"/>
        </w:rPr>
        <w:t xml:space="preserve">When intracellular glucose flux becomes insufficient:</w:t>
      </w:r>
    </w:p>
    <w:p>
      <w:pPr>
        <w:pStyle w:val="ListParagraph"/>
        <w:numPr>
          <w:ilvl w:val="0"/>
          <w:numId w:val="2"/>
        </w:numPr>
        <w:spacing w:after="100"/>
      </w:pPr>
      <w:r>
        <w:rPr>
          <w:rFonts w:ascii="Times New Roman" w:cs="Times New Roman" w:eastAsia="Times New Roman" w:hAnsi="Times New Roman"/>
          <w:sz w:val="24"/>
          <w:szCs w:val="24"/>
        </w:rPr>
        <w:t xml:space="preserve">glycerol-3-phosphate availability decreases,</w:t>
      </w:r>
    </w:p>
    <w:p>
      <w:pPr>
        <w:pStyle w:val="ListParagraph"/>
        <w:numPr>
          <w:ilvl w:val="0"/>
          <w:numId w:val="2"/>
        </w:numPr>
        <w:spacing w:after="100"/>
      </w:pPr>
      <w:r>
        <w:rPr>
          <w:rFonts w:ascii="Times New Roman" w:cs="Times New Roman" w:eastAsia="Times New Roman" w:hAnsi="Times New Roman"/>
          <w:sz w:val="24"/>
          <w:szCs w:val="24"/>
        </w:rPr>
        <w:t xml:space="preserve">re-esterification efficiency falls,</w:t>
      </w:r>
    </w:p>
    <w:p>
      <w:pPr>
        <w:pStyle w:val="ListParagraph"/>
        <w:numPr>
          <w:ilvl w:val="0"/>
          <w:numId w:val="2"/>
        </w:numPr>
        <w:spacing w:after="100"/>
      </w:pPr>
      <w:r>
        <w:rPr>
          <w:rFonts w:ascii="Times New Roman" w:cs="Times New Roman" w:eastAsia="Times New Roman" w:hAnsi="Times New Roman"/>
          <w:sz w:val="24"/>
          <w:szCs w:val="24"/>
        </w:rPr>
        <w:t xml:space="preserve">net lipolysis increases,</w:t>
      </w:r>
    </w:p>
    <w:p>
      <w:pPr>
        <w:pStyle w:val="ListParagraph"/>
        <w:numPr>
          <w:ilvl w:val="0"/>
          <w:numId w:val="2"/>
        </w:numPr>
        <w:spacing w:after="100"/>
      </w:pPr>
      <w:r>
        <w:rPr>
          <w:rFonts w:ascii="Times New Roman" w:cs="Times New Roman" w:eastAsia="Times New Roman" w:hAnsi="Times New Roman"/>
          <w:sz w:val="24"/>
          <w:szCs w:val="24"/>
        </w:rPr>
        <w:t xml:space="preserve">free fatty acids escape into the circulation,</w:t>
      </w:r>
    </w:p>
    <w:p>
      <w:pPr>
        <w:pStyle w:val="ListParagraph"/>
        <w:numPr>
          <w:ilvl w:val="0"/>
          <w:numId w:val="2"/>
        </w:numPr>
        <w:spacing w:after="100"/>
      </w:pPr>
      <w:r>
        <w:rPr>
          <w:rFonts w:ascii="Times New Roman" w:cs="Times New Roman" w:eastAsia="Times New Roman" w:hAnsi="Times New Roman"/>
          <w:sz w:val="24"/>
          <w:szCs w:val="24"/>
        </w:rPr>
        <w:t xml:space="preserve">adipokine secretion becomes dysregulated,</w:t>
      </w:r>
    </w:p>
    <w:p>
      <w:pPr>
        <w:pStyle w:val="ListParagraph"/>
        <w:numPr>
          <w:ilvl w:val="0"/>
          <w:numId w:val="2"/>
        </w:numPr>
        <w:spacing w:after="100"/>
      </w:pPr>
      <w:r>
        <w:rPr>
          <w:rFonts w:ascii="Times New Roman" w:cs="Times New Roman" w:eastAsia="Times New Roman" w:hAnsi="Times New Roman"/>
          <w:sz w:val="24"/>
          <w:szCs w:val="24"/>
        </w:rPr>
        <w:t xml:space="preserve">and the adipocyte enters a state of metabolic stress. </w:t>
      </w:r>
      <w:r>
        <w:rPr>
          <w:rFonts w:ascii="Times New Roman" w:cs="Times New Roman" w:eastAsia="Times New Roman" w:hAnsi="Times New Roman"/>
          <w:sz w:val="18"/>
          <w:szCs w:val="18"/>
          <w:vertAlign w:val="superscript"/>
        </w:rPr>
        <w:t xml:space="preserve">[4,14]</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Adipocyte stability therefore depends directly and continuously on glucose availability — a dependence that becomes a critical vulnerability under conditions in which the glucose supply to adipose tissue is restricted, diverted, or insufficient relative to the energetic demands of an expanded adipose mass.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Adipose Tissue Expansion and Loss of Stability</w:t>
      </w:r>
    </w:p>
    <w:p>
      <w:pPr>
        <w:spacing w:after="180" w:line="276" w:lineRule="auto"/>
        <w:jc w:val="both"/>
      </w:pPr>
      <w:r>
        <w:rPr>
          <w:rFonts w:ascii="Times New Roman" w:cs="Times New Roman" w:eastAsia="Times New Roman" w:hAnsi="Times New Roman"/>
          <w:sz w:val="24"/>
          <w:szCs w:val="24"/>
        </w:rPr>
        <w:t xml:space="preserve">Under chronic caloric excess, adipose tissue expands through two processes: adipocyte hypertrophy (increase in individual cell size) and adipocyte hyperplasia (increase in cell number). Both processes increase the total energetic demand of the adipose compartment — more cells and larger cells require more glucose, more insulin signalling, more vascular supply, and more inflammatory and endocrine regulation. </w:t>
      </w:r>
      <w:r>
        <w:rPr>
          <w:rFonts w:ascii="Times New Roman" w:cs="Times New Roman" w:eastAsia="Times New Roman" w:hAnsi="Times New Roman"/>
          <w:sz w:val="18"/>
          <w:szCs w:val="18"/>
          <w:vertAlign w:val="superscript"/>
        </w:rPr>
        <w:t xml:space="preserve">[5,22]</w:t>
      </w:r>
    </w:p>
    <w:p>
      <w:pPr>
        <w:spacing w:after="180" w:line="276" w:lineRule="auto"/>
        <w:jc w:val="both"/>
      </w:pPr>
      <w:r>
        <w:rPr>
          <w:rFonts w:ascii="Times New Roman" w:cs="Times New Roman" w:eastAsia="Times New Roman" w:hAnsi="Times New Roman"/>
          <w:sz w:val="24"/>
          <w:szCs w:val="24"/>
        </w:rPr>
        <w:t xml:space="preserve">The critical observation is that the support systems for this expanding adipose mass — vascularisation, oxygen diffusion distance, glucose delivery capacity, and local insulin sensitivity — do not expand proportionally with adipose mass. </w:t>
      </w:r>
      <w:r>
        <w:rPr>
          <w:rFonts w:ascii="Times New Roman" w:cs="Times New Roman" w:eastAsia="Times New Roman" w:hAnsi="Times New Roman"/>
          <w:sz w:val="18"/>
          <w:szCs w:val="18"/>
          <w:vertAlign w:val="superscript"/>
        </w:rPr>
        <w:t xml:space="preserve">[5,22,24]</w:t>
      </w:r>
      <w:r>
        <w:rPr>
          <w:rFonts w:ascii="Times New Roman" w:cs="Times New Roman" w:eastAsia="Times New Roman" w:hAnsi="Times New Roman"/>
          <w:sz w:val="24"/>
          <w:szCs w:val="24"/>
        </w:rPr>
        <w:t xml:space="preserve"> As adipose tissue expands beyond the capacity of its support infrastructure, a subset of adipocytes enters a state of:</w:t>
      </w:r>
    </w:p>
    <w:p>
      <w:pPr>
        <w:pStyle w:val="ListParagraph"/>
        <w:numPr>
          <w:ilvl w:val="0"/>
          <w:numId w:val="2"/>
        </w:numPr>
        <w:spacing w:after="100"/>
      </w:pPr>
      <w:r>
        <w:rPr>
          <w:rFonts w:ascii="Times New Roman" w:cs="Times New Roman" w:eastAsia="Times New Roman" w:hAnsi="Times New Roman"/>
          <w:sz w:val="24"/>
          <w:szCs w:val="24"/>
        </w:rPr>
        <w:t xml:space="preserve">local hypoxia from insufficient vascular density,</w:t>
      </w:r>
    </w:p>
    <w:p>
      <w:pPr>
        <w:pStyle w:val="ListParagraph"/>
        <w:numPr>
          <w:ilvl w:val="0"/>
          <w:numId w:val="2"/>
        </w:numPr>
        <w:spacing w:after="100"/>
      </w:pPr>
      <w:r>
        <w:rPr>
          <w:rFonts w:ascii="Times New Roman" w:cs="Times New Roman" w:eastAsia="Times New Roman" w:hAnsi="Times New Roman"/>
          <w:sz w:val="24"/>
          <w:szCs w:val="24"/>
        </w:rPr>
        <w:t xml:space="preserve">oxidative stress from hypoxia-reperfusion dynamics,</w:t>
      </w:r>
    </w:p>
    <w:p>
      <w:pPr>
        <w:pStyle w:val="ListParagraph"/>
        <w:numPr>
          <w:ilvl w:val="0"/>
          <w:numId w:val="2"/>
        </w:numPr>
        <w:spacing w:after="100"/>
      </w:pPr>
      <w:r>
        <w:rPr>
          <w:rFonts w:ascii="Times New Roman" w:cs="Times New Roman" w:eastAsia="Times New Roman" w:hAnsi="Times New Roman"/>
          <w:sz w:val="24"/>
          <w:szCs w:val="24"/>
        </w:rPr>
        <w:t xml:space="preserve">inflammatory activation from hypoxia-induced HIF-1α signalling,</w:t>
      </w:r>
    </w:p>
    <w:p>
      <w:pPr>
        <w:pStyle w:val="ListParagraph"/>
        <w:numPr>
          <w:ilvl w:val="0"/>
          <w:numId w:val="2"/>
        </w:numPr>
        <w:spacing w:after="100"/>
      </w:pPr>
      <w:r>
        <w:rPr>
          <w:rFonts w:ascii="Times New Roman" w:cs="Times New Roman" w:eastAsia="Times New Roman" w:hAnsi="Times New Roman"/>
          <w:sz w:val="24"/>
          <w:szCs w:val="24"/>
        </w:rPr>
        <w:t xml:space="preserve">energetic insufficiency from inadequate glucose delivery,</w:t>
      </w:r>
    </w:p>
    <w:p>
      <w:pPr>
        <w:pStyle w:val="ListParagraph"/>
        <w:numPr>
          <w:ilvl w:val="0"/>
          <w:numId w:val="2"/>
        </w:numPr>
        <w:spacing w:after="100"/>
      </w:pPr>
      <w:r>
        <w:rPr>
          <w:rFonts w:ascii="Times New Roman" w:cs="Times New Roman" w:eastAsia="Times New Roman" w:hAnsi="Times New Roman"/>
          <w:sz w:val="24"/>
          <w:szCs w:val="24"/>
        </w:rPr>
        <w:t xml:space="preserve">and impaired structural maintenance from glycerol-3-phosphate deficiency. </w:t>
      </w:r>
      <w:r>
        <w:rPr>
          <w:rFonts w:ascii="Times New Roman" w:cs="Times New Roman" w:eastAsia="Times New Roman" w:hAnsi="Times New Roman"/>
          <w:sz w:val="18"/>
          <w:szCs w:val="18"/>
          <w:vertAlign w:val="superscript"/>
        </w:rPr>
        <w:t xml:space="preserve">[2,11,24]</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This generates progressive </w:t>
      </w:r>
      <w:r>
        <w:rPr>
          <w:rFonts w:ascii="Times New Roman" w:cs="Times New Roman" w:eastAsia="Times New Roman" w:hAnsi="Times New Roman"/>
          <w:b/>
          <w:bCs/>
          <w:sz w:val="24"/>
          <w:szCs w:val="24"/>
        </w:rPr>
        <w:t xml:space="preserve">energetic instability within adipose tissue itself</w:t>
      </w:r>
      <w:r>
        <w:rPr>
          <w:rFonts w:ascii="Times New Roman" w:cs="Times New Roman" w:eastAsia="Times New Roman" w:hAnsi="Times New Roman"/>
          <w:sz w:val="24"/>
          <w:szCs w:val="24"/>
        </w:rPr>
        <w:t xml:space="preserve"> — not a failure of adipose tissue to store fat, but a failure of the expanded adipose mass to maintain the energetic conditions required for stable lipid retention. The result is stress-induced lipolysis, inflammatory signalling, adipocyte dysfunction, and eventually adipocyte death — the histological correlate of which is the crown-like structures of macrophages surrounding dead adipocytes observed in obese adipose tissue. </w:t>
      </w:r>
      <w:r>
        <w:rPr>
          <w:rFonts w:ascii="Times New Roman" w:cs="Times New Roman" w:eastAsia="Times New Roman" w:hAnsi="Times New Roman"/>
          <w:sz w:val="18"/>
          <w:szCs w:val="18"/>
          <w:vertAlign w:val="superscript"/>
        </w:rPr>
        <w:t xml:space="preserve">[24,2]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The Self-Reinforcing Cycle of Energetic Instability</w:t>
      </w:r>
    </w:p>
    <w:p>
      <w:pPr>
        <w:spacing w:after="180" w:line="276" w:lineRule="auto"/>
        <w:jc w:val="both"/>
      </w:pPr>
      <w:r>
        <w:rPr>
          <w:rFonts w:ascii="Times New Roman" w:cs="Times New Roman" w:eastAsia="Times New Roman" w:hAnsi="Times New Roman"/>
          <w:sz w:val="24"/>
          <w:szCs w:val="24"/>
        </w:rPr>
        <w:t xml:space="preserve">Adipocyte instability and death release a mixture of free fatty acids, lipid fragments, inflammatory mediators (TNF-α, IL-6, MCP-1), and damage-associated molecular patterns into the portal circulation. The liver, receiving this flux, responds through:</w:t>
      </w:r>
    </w:p>
    <w:p>
      <w:pPr>
        <w:pStyle w:val="ListParagraph"/>
        <w:numPr>
          <w:ilvl w:val="0"/>
          <w:numId w:val="2"/>
        </w:numPr>
        <w:spacing w:after="100"/>
      </w:pPr>
      <w:r>
        <w:rPr>
          <w:rFonts w:ascii="Times New Roman" w:cs="Times New Roman" w:eastAsia="Times New Roman" w:hAnsi="Times New Roman"/>
          <w:b/>
          <w:bCs/>
          <w:sz w:val="24"/>
          <w:szCs w:val="24"/>
        </w:rPr>
        <w:t xml:space="preserve">increased gluconeogenesis</w:t>
      </w:r>
      <w:r>
        <w:rPr>
          <w:rFonts w:ascii="Times New Roman" w:cs="Times New Roman" w:eastAsia="Times New Roman" w:hAnsi="Times New Roman"/>
          <w:sz w:val="24"/>
          <w:szCs w:val="24"/>
        </w:rPr>
        <w:t xml:space="preserve"> — free fatty acids provide acetyl-CoA that activates pyruvate carboxylase and promotes glucose production; </w:t>
      </w:r>
      <w:r>
        <w:rPr>
          <w:rFonts w:ascii="Times New Roman" w:cs="Times New Roman" w:eastAsia="Times New Roman" w:hAnsi="Times New Roman"/>
          <w:sz w:val="18"/>
          <w:szCs w:val="18"/>
          <w:vertAlign w:val="superscript"/>
        </w:rPr>
        <w:t xml:space="preserve">[3,14]</w:t>
      </w:r>
    </w:p>
    <w:p>
      <w:pPr>
        <w:pStyle w:val="ListParagraph"/>
        <w:numPr>
          <w:ilvl w:val="0"/>
          <w:numId w:val="2"/>
        </w:numPr>
        <w:spacing w:after="100"/>
      </w:pPr>
      <w:r>
        <w:rPr>
          <w:rFonts w:ascii="Times New Roman" w:cs="Times New Roman" w:eastAsia="Times New Roman" w:hAnsi="Times New Roman"/>
          <w:b/>
          <w:bCs/>
          <w:sz w:val="24"/>
          <w:szCs w:val="24"/>
        </w:rPr>
        <w:t xml:space="preserve">elevated VLDL synthesis</w:t>
      </w:r>
      <w:r>
        <w:rPr>
          <w:rFonts w:ascii="Times New Roman" w:cs="Times New Roman" w:eastAsia="Times New Roman" w:hAnsi="Times New Roman"/>
          <w:sz w:val="24"/>
          <w:szCs w:val="24"/>
        </w:rPr>
        <w:t xml:space="preserve"> — the liver packages excess fatty acids into VLDL for export, generating hypertriglyceridaemia; </w:t>
      </w:r>
      <w:r>
        <w:rPr>
          <w:rFonts w:ascii="Times New Roman" w:cs="Times New Roman" w:eastAsia="Times New Roman" w:hAnsi="Times New Roman"/>
          <w:sz w:val="18"/>
          <w:szCs w:val="18"/>
          <w:vertAlign w:val="superscript"/>
        </w:rPr>
        <w:t xml:space="preserve">[17,18]</w:t>
      </w:r>
    </w:p>
    <w:p>
      <w:pPr>
        <w:pStyle w:val="ListParagraph"/>
        <w:numPr>
          <w:ilvl w:val="0"/>
          <w:numId w:val="2"/>
        </w:numPr>
        <w:spacing w:after="100"/>
      </w:pPr>
      <w:r>
        <w:rPr>
          <w:rFonts w:ascii="Times New Roman" w:cs="Times New Roman" w:eastAsia="Times New Roman" w:hAnsi="Times New Roman"/>
          <w:b/>
          <w:bCs/>
          <w:sz w:val="24"/>
          <w:szCs w:val="24"/>
        </w:rPr>
        <w:t xml:space="preserve">hepatic steatosis</w:t>
      </w:r>
      <w:r>
        <w:rPr>
          <w:rFonts w:ascii="Times New Roman" w:cs="Times New Roman" w:eastAsia="Times New Roman" w:hAnsi="Times New Roman"/>
          <w:sz w:val="24"/>
          <w:szCs w:val="24"/>
        </w:rPr>
        <w:t xml:space="preserve"> — when fatty acid input exceeds VLDL export capacity, triglycerides accumulate in hepatocytes, producing non-alcoholic fatty liver disease; </w:t>
      </w:r>
      <w:r>
        <w:rPr>
          <w:rFonts w:ascii="Times New Roman" w:cs="Times New Roman" w:eastAsia="Times New Roman" w:hAnsi="Times New Roman"/>
          <w:sz w:val="18"/>
          <w:szCs w:val="18"/>
          <w:vertAlign w:val="superscript"/>
        </w:rPr>
        <w:t xml:space="preserve">[17,19]</w:t>
      </w:r>
    </w:p>
    <w:p>
      <w:pPr>
        <w:pStyle w:val="ListParagraph"/>
        <w:numPr>
          <w:ilvl w:val="0"/>
          <w:numId w:val="2"/>
        </w:numPr>
        <w:spacing w:after="100"/>
      </w:pPr>
      <w:r>
        <w:rPr>
          <w:rFonts w:ascii="Times New Roman" w:cs="Times New Roman" w:eastAsia="Times New Roman" w:hAnsi="Times New Roman"/>
          <w:b/>
          <w:bCs/>
          <w:sz w:val="24"/>
          <w:szCs w:val="24"/>
        </w:rPr>
        <w:t xml:space="preserve">inflammatory activation</w:t>
      </w:r>
      <w:r>
        <w:rPr>
          <w:rFonts w:ascii="Times New Roman" w:cs="Times New Roman" w:eastAsia="Times New Roman" w:hAnsi="Times New Roman"/>
          <w:sz w:val="24"/>
          <w:szCs w:val="24"/>
        </w:rPr>
        <w:t xml:space="preserve"> — portal delivery of lipopolysaccharide and fatty acids activates Kupffer cells, initiating hepatic insulin resistance. </w:t>
      </w:r>
      <w:r>
        <w:rPr>
          <w:rFonts w:ascii="Times New Roman" w:cs="Times New Roman" w:eastAsia="Times New Roman" w:hAnsi="Times New Roman"/>
          <w:sz w:val="18"/>
          <w:szCs w:val="18"/>
          <w:vertAlign w:val="superscript"/>
        </w:rPr>
        <w:t xml:space="preserve">[2,18]</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resulting systemic hyperglycaemia drives compensatory hyperinsulinaemia from pancreatic β-cells. Insulin, acting on adipose tissue, stimulates:</w:t>
      </w:r>
    </w:p>
    <w:p>
      <w:pPr>
        <w:pStyle w:val="ListParagraph"/>
        <w:numPr>
          <w:ilvl w:val="0"/>
          <w:numId w:val="2"/>
        </w:numPr>
        <w:spacing w:after="100"/>
      </w:pPr>
      <w:r>
        <w:rPr>
          <w:rFonts w:ascii="Times New Roman" w:cs="Times New Roman" w:eastAsia="Times New Roman" w:hAnsi="Times New Roman"/>
          <w:sz w:val="24"/>
          <w:szCs w:val="24"/>
        </w:rPr>
        <w:t xml:space="preserve">further lipogenesis and triglyceride synthesis,</w:t>
      </w:r>
    </w:p>
    <w:p>
      <w:pPr>
        <w:pStyle w:val="ListParagraph"/>
        <w:numPr>
          <w:ilvl w:val="0"/>
          <w:numId w:val="2"/>
        </w:numPr>
        <w:spacing w:after="100"/>
      </w:pPr>
      <w:r>
        <w:rPr>
          <w:rFonts w:ascii="Times New Roman" w:cs="Times New Roman" w:eastAsia="Times New Roman" w:hAnsi="Times New Roman"/>
          <w:sz w:val="24"/>
          <w:szCs w:val="24"/>
        </w:rPr>
        <w:t xml:space="preserve">suppression of lipolysis in stable adipocytes,</w:t>
      </w:r>
    </w:p>
    <w:p>
      <w:pPr>
        <w:pStyle w:val="ListParagraph"/>
        <w:numPr>
          <w:ilvl w:val="0"/>
          <w:numId w:val="2"/>
        </w:numPr>
        <w:spacing w:after="100"/>
      </w:pPr>
      <w:r>
        <w:rPr>
          <w:rFonts w:ascii="Times New Roman" w:cs="Times New Roman" w:eastAsia="Times New Roman" w:hAnsi="Times New Roman"/>
          <w:sz w:val="24"/>
          <w:szCs w:val="24"/>
        </w:rPr>
        <w:t xml:space="preserve">and promotion of further adipose expansion. </w:t>
      </w:r>
      <w:r>
        <w:rPr>
          <w:rFonts w:ascii="Times New Roman" w:cs="Times New Roman" w:eastAsia="Times New Roman" w:hAnsi="Times New Roman"/>
          <w:sz w:val="18"/>
          <w:szCs w:val="18"/>
          <w:vertAlign w:val="superscript"/>
        </w:rPr>
        <w:t xml:space="preserve">[1,12]</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cycle is thus self-sustaining and self-amplifying:</w:t>
      </w:r>
    </w:p>
    <w:p>
      <w:pPr>
        <w:pBdr>
          <w:top w:val="single" w:color="CCCCCC" w:sz="4" w:space="2"/>
          <w:bottom w:val="single" w:color="CCCCCC" w:sz="4" w:space="2"/>
          <w:left w:val="thick" w:color="2E75B6" w:sz="14" w:space="6"/>
        </w:pBdr>
        <w:shd w:fill="F4F8FE"/>
        <w:spacing w:after="120" w:before="120"/>
        <w:ind w:left="400" w:right="400"/>
      </w:pPr>
      <w:r>
        <w:rPr>
          <w:rFonts w:ascii="Courier New" w:cs="Courier New" w:eastAsia="Courier New" w:hAnsi="Courier New"/>
          <w:i/>
          <w:iCs/>
          <w:sz w:val="22"/>
          <w:szCs w:val="22"/>
        </w:rPr>
        <w:t xml:space="preserve">Adipose expansion → instability → lipolysis → FFA → hepatic gluconeogenesis → hyperglycaemia → hyperinsulinaemia → adipose expansion</w:t>
      </w:r>
      <w:r>
        <w:rPr>
          <w:rFonts w:ascii="Arial" w:cs="Arial" w:eastAsia="Arial" w:hAnsi="Arial"/>
          <w:color w:val="666666"/>
          <w:sz w:val="20"/>
          <w:szCs w:val="20"/>
        </w:rPr>
        <w:t xml:space="preserve">   …(4.1)</w:t>
      </w:r>
    </w:p>
    <w:p>
      <w:pPr>
        <w:spacing w:after="180" w:line="276" w:lineRule="auto"/>
        <w:jc w:val="both"/>
      </w:pPr>
      <w:r>
        <w:rPr>
          <w:rFonts w:ascii="Times New Roman" w:cs="Times New Roman" w:eastAsia="Times New Roman" w:hAnsi="Times New Roman"/>
          <w:sz w:val="24"/>
          <w:szCs w:val="24"/>
        </w:rPr>
        <w:t xml:space="preserve">Each revolution of this cycle increases the total adipose mass, worsens the vascular and energetic insufficiency within the adipose compartment, intensifies the lipolytic flux to the liver, and demands greater compensatory insulin secretion. </w:t>
      </w:r>
      <w:r>
        <w:rPr>
          <w:rFonts w:ascii="Times New Roman" w:cs="Times New Roman" w:eastAsia="Times New Roman" w:hAnsi="Times New Roman"/>
          <w:sz w:val="18"/>
          <w:szCs w:val="18"/>
          <w:vertAlign w:val="superscript"/>
        </w:rPr>
        <w:t xml:space="preserve">[4,5,14]</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Reinterpretation: </w:t>
      </w:r>
      <w:r>
        <w:rPr>
          <w:rFonts w:ascii="Times New Roman" w:cs="Times New Roman" w:eastAsia="Times New Roman" w:hAnsi="Times New Roman"/>
          <w:sz w:val="24"/>
          <w:szCs w:val="24"/>
        </w:rPr>
        <w:t xml:space="preserve">Insulin resistance is not primarily an isolated receptor-level defect but a </w:t>
      </w:r>
      <w:r>
        <w:rPr>
          <w:rFonts w:ascii="Times New Roman" w:cs="Times New Roman" w:eastAsia="Times New Roman" w:hAnsi="Times New Roman"/>
          <w:b/>
          <w:bCs/>
          <w:sz w:val="24"/>
          <w:szCs w:val="24"/>
        </w:rPr>
        <w:t xml:space="preserve">systemic consequence of energetic overload and progressive instability of the organism's energy-buffering system</w:t>
      </w:r>
      <w:r>
        <w:rPr>
          <w:rFonts w:ascii="Times New Roman" w:cs="Times New Roman" w:eastAsia="Times New Roman" w:hAnsi="Times New Roman"/>
          <w:sz w:val="24"/>
          <w:szCs w:val="24"/>
        </w:rPr>
        <w:t xml:space="preserve">. The adipose tissue is the buffer; its instability is the disease; insulin resistance is the downstream systemic signature of that instability.</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Hyperglycaemia as a Marker of Energetic Distribution Failure</w:t>
      </w:r>
    </w:p>
    <w:p>
      <w:pPr>
        <w:spacing w:after="180" w:line="276" w:lineRule="auto"/>
        <w:jc w:val="both"/>
      </w:pPr>
      <w:r>
        <w:rPr>
          <w:rFonts w:ascii="Times New Roman" w:cs="Times New Roman" w:eastAsia="Times New Roman" w:hAnsi="Times New Roman"/>
          <w:sz w:val="24"/>
          <w:szCs w:val="24"/>
        </w:rPr>
        <w:t xml:space="preserve">The paradox of severe obesity-related type 2 diabetes — enormous glucose production coexisting with fatigue, impaired tissue function, and relative cellular energetic deficiency — is resolved within this framework by interpreting hyperglycaemia not as energetic abundance but as </w:t>
      </w:r>
      <w:r>
        <w:rPr>
          <w:rFonts w:ascii="Times New Roman" w:cs="Times New Roman" w:eastAsia="Times New Roman" w:hAnsi="Times New Roman"/>
          <w:b/>
          <w:bCs/>
          <w:sz w:val="24"/>
          <w:szCs w:val="24"/>
        </w:rPr>
        <w:t xml:space="preserve">energetic distribution failure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[3,9]</w:t>
      </w:r>
    </w:p>
    <w:p>
      <w:pPr>
        <w:spacing w:after="180" w:line="276" w:lineRule="auto"/>
        <w:jc w:val="both"/>
      </w:pPr>
      <w:r>
        <w:rPr>
          <w:rFonts w:ascii="Times New Roman" w:cs="Times New Roman" w:eastAsia="Times New Roman" w:hAnsi="Times New Roman"/>
          <w:sz w:val="24"/>
          <w:szCs w:val="24"/>
        </w:rPr>
        <w:t xml:space="preserve">As adipose mass increases, the total systemic energetic demand for adipose maintenance rises. Chronically expanded adipose tissue progressively consumes a larger proportion of available metabolic flux for its own structural stabilisation — glucose for glycerol-3-phosphate and re-esterification, insulin signalling for lipolysis suppression, vascular supply for oxygen and substrate delivery. </w:t>
      </w:r>
      <w:r>
        <w:rPr>
          <w:rFonts w:ascii="Times New Roman" w:cs="Times New Roman" w:eastAsia="Times New Roman" w:hAnsi="Times New Roman"/>
          <w:sz w:val="18"/>
          <w:szCs w:val="18"/>
          <w:vertAlign w:val="superscript"/>
        </w:rPr>
        <w:t xml:space="preserve">[5,13]</w:t>
      </w:r>
      <w:r>
        <w:rPr>
          <w:rFonts w:ascii="Times New Roman" w:cs="Times New Roman" w:eastAsia="Times New Roman" w:hAnsi="Times New Roman"/>
          <w:sz w:val="24"/>
          <w:szCs w:val="24"/>
        </w:rPr>
        <w:t xml:space="preserve"> Competition for regulated glucose flux intensifies across tissues, and energetic distribution efficiency deteriorates.</w:t>
      </w:r>
    </w:p>
    <w:p>
      <w:pPr>
        <w:spacing w:after="180" w:line="276" w:lineRule="auto"/>
        <w:jc w:val="both"/>
      </w:pPr>
      <w:r>
        <w:rPr>
          <w:rFonts w:ascii="Times New Roman" w:cs="Times New Roman" w:eastAsia="Times New Roman" w:hAnsi="Times New Roman"/>
          <w:sz w:val="24"/>
          <w:szCs w:val="24"/>
        </w:rPr>
        <w:t xml:space="preserve">Tissues dependent on GLUT4-mediated glucose uptake — skeletal muscle, the heart, portions of adipose tissue itself — experience relative energetic deprivation despite systemic hyperglycaemia, because GLUT4 surface expression is reduced by the same molecular events (serine phosphorylation of IRS-1, reduced Akt signalling) that constitute insulin resistance. </w:t>
      </w:r>
      <w:r>
        <w:rPr>
          <w:rFonts w:ascii="Times New Roman" w:cs="Times New Roman" w:eastAsia="Times New Roman" w:hAnsi="Times New Roman"/>
          <w:sz w:val="18"/>
          <w:szCs w:val="18"/>
          <w:vertAlign w:val="superscript"/>
        </w:rPr>
        <w:t xml:space="preserve">[3,6,9]</w:t>
      </w:r>
      <w:r>
        <w:rPr>
          <w:rFonts w:ascii="Times New Roman" w:cs="Times New Roman" w:eastAsia="Times New Roman" w:hAnsi="Times New Roman"/>
          <w:sz w:val="24"/>
          <w:szCs w:val="24"/>
        </w:rPr>
        <w:t xml:space="preserve"> The glucose is present in the blood but not effectively delivered to the cells that need it.</w:t>
      </w:r>
    </w:p>
    <w:p>
      <w:pPr>
        <w:pBdr>
          <w:top w:val="single" w:color="CCCCCC" w:sz="4" w:space="2"/>
          <w:bottom w:val="single" w:color="CCCCCC" w:sz="4" w:space="2"/>
          <w:left w:val="thick" w:color="2E75B6" w:sz="14" w:space="6"/>
        </w:pBdr>
        <w:shd w:fill="F4F8FE"/>
        <w:spacing w:after="120" w:before="120"/>
        <w:ind w:left="400" w:right="400"/>
      </w:pPr>
      <w:r>
        <w:rPr>
          <w:rFonts w:ascii="Courier New" w:cs="Courier New" w:eastAsia="Courier New" w:hAnsi="Courier New"/>
          <w:i/>
          <w:iCs/>
          <w:sz w:val="22"/>
          <w:szCs w:val="22"/>
        </w:rPr>
        <w:t xml:space="preserve">Blood glucose↑  ≠  Effective cellular energy availability</w:t>
      </w:r>
      <w:r>
        <w:rPr>
          <w:rFonts w:ascii="Arial" w:cs="Arial" w:eastAsia="Arial" w:hAnsi="Arial"/>
          <w:color w:val="666666"/>
          <w:sz w:val="20"/>
          <w:szCs w:val="20"/>
        </w:rPr>
        <w:t xml:space="preserve">   …(5.1)</w:t>
      </w:r>
    </w:p>
    <w:p>
      <w:pPr>
        <w:spacing w:after="180" w:line="276" w:lineRule="auto"/>
        <w:jc w:val="both"/>
      </w:pPr>
      <w:r>
        <w:rPr>
          <w:rFonts w:ascii="Times New Roman" w:cs="Times New Roman" w:eastAsia="Times New Roman" w:hAnsi="Times New Roman"/>
          <w:sz w:val="24"/>
          <w:szCs w:val="24"/>
        </w:rPr>
        <w:t xml:space="preserve">Additional tissues may experience functional energetic stress through secondary mechanisms: mitochondrial overload from excess free fatty acid oxidation; oxidative stress from ROS generated by β-oxidation; endothelial dysfunction from glycation products; microcirculatory impairment from reduced nitric oxide bioavailability; and local hypoxia from vascular rarefaction in obese tissues. </w:t>
      </w:r>
      <w:r>
        <w:rPr>
          <w:rFonts w:ascii="Times New Roman" w:cs="Times New Roman" w:eastAsia="Times New Roman" w:hAnsi="Times New Roman"/>
          <w:sz w:val="18"/>
          <w:szCs w:val="18"/>
          <w:vertAlign w:val="superscript"/>
        </w:rPr>
        <w:t xml:space="preserve">[2,11]</w:t>
      </w:r>
    </w:p>
    <w:p>
      <w:pPr>
        <w:pBdr>
          <w:top w:val="single" w:color="CCCCCC" w:sz="4" w:space="2"/>
          <w:bottom w:val="single" w:color="CCCCCC" w:sz="4" w:space="2"/>
          <w:left w:val="thick" w:color="E67E22" w:sz="14" w:space="8"/>
        </w:pBdr>
        <w:shd w:fill="FEF9F0"/>
        <w:spacing w:after="180" w:before="120"/>
        <w:ind w:left="240" w:right="240"/>
      </w:pPr>
      <w:r>
        <w:rPr>
          <w:rFonts w:ascii="Arial" w:cs="Arial" w:eastAsia="Arial" w:hAnsi="Arial"/>
          <w:b/>
          <w:bCs/>
          <w:sz w:val="22"/>
          <w:szCs w:val="22"/>
        </w:rPr>
        <w:t xml:space="preserve">Clinical corollary: </w:t>
      </w:r>
      <w:r>
        <w:rPr>
          <w:rFonts w:ascii="Times New Roman" w:cs="Times New Roman" w:eastAsia="Times New Roman" w:hAnsi="Times New Roman"/>
          <w:sz w:val="22"/>
          <w:szCs w:val="22"/>
        </w:rPr>
        <w:t xml:space="preserve">The fatigue, exercise intolerance, impaired muscle recovery, and cognitive slowing that characterise severe type 2 diabetes are consistent with relative tissue energetic deprivation despite hyperglycaemia. These symptoms are not explained by excess glucose — they are explained by inefficient glucose delivery to key tissues in the context of an overloaded, poorly distributed metabolic flux.</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Relative Insulin Deficiency in Type 2 Diabetes</w:t>
      </w:r>
    </w:p>
    <w:p>
      <w:pPr>
        <w:spacing w:after="180" w:line="276" w:lineRule="auto"/>
        <w:jc w:val="both"/>
      </w:pPr>
      <w:r>
        <w:rPr>
          <w:rFonts w:ascii="Times New Roman" w:cs="Times New Roman" w:eastAsia="Times New Roman" w:hAnsi="Times New Roman"/>
          <w:sz w:val="24"/>
          <w:szCs w:val="24"/>
        </w:rPr>
        <w:t xml:space="preserve">Within this framework, the progressive β-cell dysfunction characteristic of established type 2 diabetes can be reinterpreted. In the early stages, β-cells compensate for insulin resistance by increasing insulin secretion — this is the hyperinsulinaemic phase. However, as adipose instability progresses, the </w:t>
      </w:r>
      <w:r>
        <w:rPr>
          <w:rFonts w:ascii="Times New Roman" w:cs="Times New Roman" w:eastAsia="Times New Roman" w:hAnsi="Times New Roman"/>
          <w:b/>
          <w:bCs/>
          <w:sz w:val="24"/>
          <w:szCs w:val="24"/>
        </w:rPr>
        <w:t xml:space="preserve">demand for insulin rises faster than β-cell secretory capacity can match</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[1,12]</w:t>
      </w:r>
    </w:p>
    <w:p>
      <w:pPr>
        <w:spacing w:after="180" w:line="276" w:lineRule="auto"/>
        <w:jc w:val="both"/>
      </w:pPr>
      <w:r>
        <w:rPr>
          <w:rFonts w:ascii="Times New Roman" w:cs="Times New Roman" w:eastAsia="Times New Roman" w:hAnsi="Times New Roman"/>
          <w:sz w:val="24"/>
          <w:szCs w:val="24"/>
        </w:rPr>
        <w:t xml:space="preserve">Insulin is increasingly required not only for glucose uptake signalling but for adipose tissue stabilisation: suppression of stress-induced lipolysis, promotion of fatty acid re-esterification, maintenance of adipocyte structural integrity, and prevention of the lipotoxic free fatty acid flux that drives hepatic gluconeogenesis. As adipose mass expands, the quantity of insulin required for these functions escalates continuously.</w:t>
      </w:r>
    </w:p>
    <w:p>
      <w:pPr>
        <w:spacing w:after="180" w:line="276" w:lineRule="auto"/>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relative insulin deficiency</w:t>
      </w:r>
      <w:r>
        <w:rPr>
          <w:rFonts w:ascii="Times New Roman" w:cs="Times New Roman" w:eastAsia="Times New Roman" w:hAnsi="Times New Roman"/>
          <w:sz w:val="24"/>
          <w:szCs w:val="24"/>
        </w:rPr>
        <w:t xml:space="preserve"> emerges: absolute insulin levels may remain elevated or normal, yet they are insufficient relative to the energetic demands and stabilisation requirements of the expanded metabolic system. The β-cell is not failing in isolation — it is failing to meet an escalating demand generated by adipose instability. </w:t>
      </w:r>
      <w:r>
        <w:rPr>
          <w:rFonts w:ascii="Times New Roman" w:cs="Times New Roman" w:eastAsia="Times New Roman" w:hAnsi="Times New Roman"/>
          <w:sz w:val="18"/>
          <w:szCs w:val="18"/>
          <w:vertAlign w:val="superscript"/>
        </w:rPr>
        <w:t xml:space="preserve">[1,8,12]</w:t>
      </w:r>
      <w:r>
        <w:rPr>
          <w:rFonts w:ascii="Times New Roman" w:cs="Times New Roman" w:eastAsia="Times New Roman" w:hAnsi="Times New Roman"/>
          <w:sz w:val="24"/>
          <w:szCs w:val="24"/>
        </w:rPr>
        <w:t xml:space="preserve"> This interpretation aligns with the observation that weight loss — by reducing adipose mass and the insulin demand it generates — can restore β-cell function and even produce remission of type 2 diabetes in some patients. </w:t>
      </w:r>
      <w:r>
        <w:rPr>
          <w:rFonts w:ascii="Times New Roman" w:cs="Times New Roman" w:eastAsia="Times New Roman" w:hAnsi="Times New Roman"/>
          <w:sz w:val="18"/>
          <w:szCs w:val="18"/>
          <w:vertAlign w:val="superscript"/>
        </w:rPr>
        <w:t xml:space="preserve">[26,27]</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Connection with PCOS, Metabolic Syndrome, and Non-Alcoholic Fatty Liver Disease</w:t>
      </w:r>
    </w:p>
    <w:p>
      <w:pPr>
        <w:spacing w:after="180" w:line="276" w:lineRule="auto"/>
        <w:jc w:val="both"/>
      </w:pPr>
      <w:r>
        <w:rPr>
          <w:rFonts w:ascii="Times New Roman" w:cs="Times New Roman" w:eastAsia="Times New Roman" w:hAnsi="Times New Roman"/>
          <w:sz w:val="24"/>
          <w:szCs w:val="24"/>
        </w:rPr>
        <w:t xml:space="preserve">The framework provides a unifying explanation for the clinical clustering of obesity, type 2 diabetes, metabolic syndrome, non-alcoholic fatty liver disease (NAFLD), and PCOS — conditions that share metabolic and inflammatory features but are conventionally treated as distinct entities.</w:t>
      </w:r>
    </w:p>
    <w:p>
      <w:pPr>
        <w:pStyle w:val="Heading2"/>
        <w:spacing w:after="100" w:before="240"/>
      </w:pPr>
      <w:r>
        <w:rPr>
          <w:rFonts w:ascii="Arial" w:cs="Arial" w:eastAsia="Arial" w:hAnsi="Arial"/>
          <w:b/>
          <w:bCs/>
          <w:color w:val="2E75B6"/>
          <w:sz w:val="24"/>
          <w:szCs w:val="24"/>
        </w:rPr>
        <w:t xml:space="preserve">7.1 Non-Alcoholic Fatty Liver Disease</w:t>
      </w:r>
    </w:p>
    <w:p>
      <w:pPr>
        <w:spacing w:after="180" w:line="276" w:lineRule="auto"/>
        <w:jc w:val="both"/>
      </w:pPr>
      <w:r>
        <w:rPr>
          <w:rFonts w:ascii="Times New Roman" w:cs="Times New Roman" w:eastAsia="Times New Roman" w:hAnsi="Times New Roman"/>
          <w:sz w:val="24"/>
          <w:szCs w:val="24"/>
        </w:rPr>
        <w:t xml:space="preserve">NAFLD is a direct hepatic consequence of the adipose instability cycle: excess portal free fatty acid delivery from unstable adipocytes drives hepatic triglyceride accumulation when VLDL export capacity is exceeded. </w:t>
      </w:r>
      <w:r>
        <w:rPr>
          <w:rFonts w:ascii="Times New Roman" w:cs="Times New Roman" w:eastAsia="Times New Roman" w:hAnsi="Times New Roman"/>
          <w:sz w:val="18"/>
          <w:szCs w:val="18"/>
          <w:vertAlign w:val="superscript"/>
        </w:rPr>
        <w:t xml:space="preserve">[17,18,19]</w:t>
      </w:r>
      <w:r>
        <w:rPr>
          <w:rFonts w:ascii="Times New Roman" w:cs="Times New Roman" w:eastAsia="Times New Roman" w:hAnsi="Times New Roman"/>
          <w:sz w:val="24"/>
          <w:szCs w:val="24"/>
        </w:rPr>
        <w:t xml:space="preserve"> Hepatic steatosis further impairs hepatic insulin sensitivity, intensifying the hyperglycaemia that drives compensatory hyperinsulinaemia and further adipose expansion. NAFLD is thus simultaneously a consequence and an amplifier of the adipose instability cycle.</w:t>
      </w:r>
    </w:p>
    <w:p>
      <w:pPr>
        <w:pStyle w:val="Heading2"/>
        <w:spacing w:after="100" w:before="240"/>
      </w:pPr>
      <w:r>
        <w:rPr>
          <w:rFonts w:ascii="Arial" w:cs="Arial" w:eastAsia="Arial" w:hAnsi="Arial"/>
          <w:b/>
          <w:bCs/>
          <w:color w:val="2E75B6"/>
          <w:sz w:val="24"/>
          <w:szCs w:val="24"/>
        </w:rPr>
        <w:t xml:space="preserve">7.2 Polycystic Ovary Syndrome</w:t>
      </w:r>
    </w:p>
    <w:p>
      <w:pPr>
        <w:spacing w:after="180" w:line="276" w:lineRule="auto"/>
        <w:jc w:val="both"/>
      </w:pPr>
      <w:r>
        <w:rPr>
          <w:rFonts w:ascii="Times New Roman" w:cs="Times New Roman" w:eastAsia="Times New Roman" w:hAnsi="Times New Roman"/>
          <w:sz w:val="24"/>
          <w:szCs w:val="24"/>
        </w:rPr>
        <w:t xml:space="preserve">In women, the hyperinsulinaemia generated by adipose instability has direct gonadal consequences. Insulin acts synergistically with LH on ovarian theca cells to stimulate androgen synthesis — excess insulin therefore drives excess androgen production. </w:t>
      </w:r>
      <w:r>
        <w:rPr>
          <w:rFonts w:ascii="Times New Roman" w:cs="Times New Roman" w:eastAsia="Times New Roman" w:hAnsi="Times New Roman"/>
          <w:sz w:val="18"/>
          <w:szCs w:val="18"/>
          <w:vertAlign w:val="superscript"/>
        </w:rPr>
        <w:t xml:space="preserve">[29,30]</w:t>
      </w:r>
      <w:r>
        <w:rPr>
          <w:rFonts w:ascii="Times New Roman" w:cs="Times New Roman" w:eastAsia="Times New Roman" w:hAnsi="Times New Roman"/>
          <w:sz w:val="24"/>
          <w:szCs w:val="24"/>
        </w:rPr>
        <w:t xml:space="preserve"> Elevated androgens disrupt follicular development and ovulation, producing the PCOS phenotype: oligo-ovulation, hyperandrogenaemia, and polycystic ovarian morphology. </w:t>
      </w:r>
      <w:r>
        <w:rPr>
          <w:rFonts w:ascii="Times New Roman" w:cs="Times New Roman" w:eastAsia="Times New Roman" w:hAnsi="Times New Roman"/>
          <w:sz w:val="18"/>
          <w:szCs w:val="18"/>
          <w:vertAlign w:val="superscript"/>
        </w:rPr>
        <w:t xml:space="preserve">[29,31]</w:t>
      </w:r>
    </w:p>
    <w:p>
      <w:pPr>
        <w:spacing w:after="180" w:line="276" w:lineRule="auto"/>
        <w:jc w:val="both"/>
      </w:pPr>
      <w:r>
        <w:rPr>
          <w:rFonts w:ascii="Times New Roman" w:cs="Times New Roman" w:eastAsia="Times New Roman" w:hAnsi="Times New Roman"/>
          <w:sz w:val="24"/>
          <w:szCs w:val="24"/>
        </w:rPr>
        <w:t xml:space="preserve">PCOS is therefore not a primary ovarian disorder within this framework. It is the </w:t>
      </w:r>
      <w:r>
        <w:rPr>
          <w:rFonts w:ascii="Times New Roman" w:cs="Times New Roman" w:eastAsia="Times New Roman" w:hAnsi="Times New Roman"/>
          <w:b/>
          <w:bCs/>
          <w:sz w:val="24"/>
          <w:szCs w:val="24"/>
        </w:rPr>
        <w:t xml:space="preserve">gonadal expression of systemic energetic buffer instability</w:t>
      </w:r>
      <w:r>
        <w:rPr>
          <w:rFonts w:ascii="Times New Roman" w:cs="Times New Roman" w:eastAsia="Times New Roman" w:hAnsi="Times New Roman"/>
          <w:sz w:val="24"/>
          <w:szCs w:val="24"/>
        </w:rPr>
        <w:t xml:space="preserve"> — the ovarian consequence of the same hyperinsulinaemia that produces hepatic steatosis and metabolic syndrome in the same patient. This explains why PCOS improves with weight loss and insulin sensitisation in most cases. </w:t>
      </w:r>
      <w:r>
        <w:rPr>
          <w:rFonts w:ascii="Times New Roman" w:cs="Times New Roman" w:eastAsia="Times New Roman" w:hAnsi="Times New Roman"/>
          <w:sz w:val="18"/>
          <w:szCs w:val="18"/>
          <w:vertAlign w:val="superscript"/>
        </w:rPr>
        <w:t xml:space="preserve">[15,29]</w:t>
      </w:r>
    </w:p>
    <w:p>
      <w:pPr>
        <w:pStyle w:val="Heading2"/>
        <w:spacing w:after="100" w:before="240"/>
      </w:pPr>
      <w:r>
        <w:rPr>
          <w:rFonts w:ascii="Arial" w:cs="Arial" w:eastAsia="Arial" w:hAnsi="Arial"/>
          <w:b/>
          <w:bCs/>
          <w:color w:val="2E75B6"/>
          <w:sz w:val="24"/>
          <w:szCs w:val="24"/>
        </w:rPr>
        <w:t xml:space="preserve">7.3 Sex-Specific Manifestations</w:t>
      </w:r>
    </w:p>
    <w:p>
      <w:pPr>
        <w:spacing w:after="180" w:line="276" w:lineRule="auto"/>
        <w:jc w:val="both"/>
      </w:pPr>
      <w:r>
        <w:rPr>
          <w:rFonts w:ascii="Times New Roman" w:cs="Times New Roman" w:eastAsia="Times New Roman" w:hAnsi="Times New Roman"/>
          <w:sz w:val="24"/>
          <w:szCs w:val="24"/>
        </w:rPr>
        <w:t xml:space="preserve">The same underlying adipose instability produces sex-divergent clinical phenotypes. In women, gonadotrophin-androgen signalling pathways amplify the hyperinsulinaemic signal into the PCOS phenotype. In men, the same metabolic overload more commonly manifests as visceral obesity with hypertriglyceridaemia, hepatic steatosis, hypertension, and the classical metabolic syndrome. </w:t>
      </w:r>
      <w:r>
        <w:rPr>
          <w:rFonts w:ascii="Times New Roman" w:cs="Times New Roman" w:eastAsia="Times New Roman" w:hAnsi="Times New Roman"/>
          <w:sz w:val="18"/>
          <w:szCs w:val="18"/>
          <w:vertAlign w:val="superscript"/>
        </w:rPr>
        <w:t xml:space="preserve">[7,28]</w:t>
      </w:r>
      <w:r>
        <w:rPr>
          <w:rFonts w:ascii="Times New Roman" w:cs="Times New Roman" w:eastAsia="Times New Roman" w:hAnsi="Times New Roman"/>
          <w:sz w:val="24"/>
          <w:szCs w:val="24"/>
        </w:rPr>
        <w:t xml:space="preserve"> These represent sex-specific clinical expressions of the same energetic buffer failure, channelled through different hormonal amplification systems.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Evolutionary Interpretation</w:t>
      </w:r>
    </w:p>
    <w:p>
      <w:pPr>
        <w:spacing w:after="180" w:line="276" w:lineRule="auto"/>
        <w:jc w:val="both"/>
      </w:pPr>
      <w:r>
        <w:rPr>
          <w:rFonts w:ascii="Times New Roman" w:cs="Times New Roman" w:eastAsia="Times New Roman" w:hAnsi="Times New Roman"/>
          <w:sz w:val="24"/>
          <w:szCs w:val="24"/>
        </w:rPr>
        <w:t xml:space="preserve">The mechanisms proposed in this framework — rapid fat accumulation, aggressive lipogenesis, hyperinsulinaemic responses to caloric excess, and maximal adipose buffering capacity — are not pathological aberrations. They are the expected expression of adaptations that were strongly evolutionarily advantageous in the environments in which human physiology evolved. </w:t>
      </w:r>
      <w:r>
        <w:rPr>
          <w:rFonts w:ascii="Times New Roman" w:cs="Times New Roman" w:eastAsia="Times New Roman" w:hAnsi="Times New Roman"/>
          <w:sz w:val="18"/>
          <w:szCs w:val="18"/>
          <w:vertAlign w:val="superscript"/>
        </w:rPr>
        <w:t xml:space="preserve">[34,35]</w:t>
      </w:r>
    </w:p>
    <w:p>
      <w:pPr>
        <w:spacing w:after="180" w:line="276" w:lineRule="auto"/>
        <w:jc w:val="both"/>
      </w:pPr>
      <w:r>
        <w:rPr>
          <w:rFonts w:ascii="Times New Roman" w:cs="Times New Roman" w:eastAsia="Times New Roman" w:hAnsi="Times New Roman"/>
          <w:sz w:val="24"/>
          <w:szCs w:val="24"/>
        </w:rPr>
        <w:t xml:space="preserve">Neel's "thrifty genotype" hypothesis </w:t>
      </w:r>
      <w:r>
        <w:rPr>
          <w:rFonts w:ascii="Times New Roman" w:cs="Times New Roman" w:eastAsia="Times New Roman" w:hAnsi="Times New Roman"/>
          <w:sz w:val="18"/>
          <w:szCs w:val="18"/>
          <w:vertAlign w:val="superscript"/>
        </w:rPr>
        <w:t xml:space="preserve">[34]</w:t>
      </w:r>
      <w:r>
        <w:rPr>
          <w:rFonts w:ascii="Times New Roman" w:cs="Times New Roman" w:eastAsia="Times New Roman" w:hAnsi="Times New Roman"/>
          <w:sz w:val="24"/>
          <w:szCs w:val="24"/>
        </w:rPr>
        <w:t xml:space="preserve"> proposed that alleles promoting efficient fat storage were selected during recurrent periods of famine. The present framework extends this interpretation: the capacity for rapid, large-scale adipose expansion — with its associated hyperinsulinaemic drive — provided a critical survival advantage under conditions of:</w:t>
      </w:r>
    </w:p>
    <w:p>
      <w:pPr>
        <w:pStyle w:val="ListParagraph"/>
        <w:numPr>
          <w:ilvl w:val="0"/>
          <w:numId w:val="2"/>
        </w:numPr>
        <w:spacing w:after="100"/>
      </w:pPr>
      <w:r>
        <w:rPr>
          <w:rFonts w:ascii="Times New Roman" w:cs="Times New Roman" w:eastAsia="Times New Roman" w:hAnsi="Times New Roman"/>
          <w:sz w:val="24"/>
          <w:szCs w:val="24"/>
        </w:rPr>
        <w:t xml:space="preserve">seasonal starvation and cyclical food availability,</w:t>
      </w:r>
    </w:p>
    <w:p>
      <w:pPr>
        <w:pStyle w:val="ListParagraph"/>
        <w:numPr>
          <w:ilvl w:val="0"/>
          <w:numId w:val="2"/>
        </w:numPr>
        <w:spacing w:after="100"/>
      </w:pPr>
      <w:r>
        <w:rPr>
          <w:rFonts w:ascii="Times New Roman" w:cs="Times New Roman" w:eastAsia="Times New Roman" w:hAnsi="Times New Roman"/>
          <w:sz w:val="24"/>
          <w:szCs w:val="24"/>
        </w:rPr>
        <w:t xml:space="preserve">cold climates requiring high adipose insulation and energy reserve,</w:t>
      </w:r>
    </w:p>
    <w:p>
      <w:pPr>
        <w:pStyle w:val="ListParagraph"/>
        <w:numPr>
          <w:ilvl w:val="0"/>
          <w:numId w:val="2"/>
        </w:numPr>
        <w:spacing w:after="100"/>
      </w:pPr>
      <w:r>
        <w:rPr>
          <w:rFonts w:ascii="Times New Roman" w:cs="Times New Roman" w:eastAsia="Times New Roman" w:hAnsi="Times New Roman"/>
          <w:sz w:val="24"/>
          <w:szCs w:val="24"/>
        </w:rPr>
        <w:t xml:space="preserve">high physical expenditure requiring large energy reserve capacity,</w:t>
      </w:r>
    </w:p>
    <w:p>
      <w:pPr>
        <w:pStyle w:val="ListParagraph"/>
        <w:numPr>
          <w:ilvl w:val="0"/>
          <w:numId w:val="2"/>
        </w:numPr>
        <w:spacing w:after="100"/>
      </w:pPr>
      <w:r>
        <w:rPr>
          <w:rFonts w:ascii="Times New Roman" w:cs="Times New Roman" w:eastAsia="Times New Roman" w:hAnsi="Times New Roman"/>
          <w:sz w:val="24"/>
          <w:szCs w:val="24"/>
        </w:rPr>
        <w:t xml:space="preserve">and frequent intercurrent illness demanding metabolic reserve for immune activation. </w:t>
      </w:r>
      <w:r>
        <w:rPr>
          <w:rFonts w:ascii="Times New Roman" w:cs="Times New Roman" w:eastAsia="Times New Roman" w:hAnsi="Times New Roman"/>
          <w:sz w:val="18"/>
          <w:szCs w:val="18"/>
          <w:vertAlign w:val="superscript"/>
        </w:rPr>
        <w:t xml:space="preserve">[34,35]</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Under modern conditions of chronic caloric abundance, continuous sedentary behaviour, and elimination of the periodic energy deficits that would normally discharge the adipose buffer, the same adaptive system becomes </w:t>
      </w:r>
      <w:r>
        <w:rPr>
          <w:rFonts w:ascii="Times New Roman" w:cs="Times New Roman" w:eastAsia="Times New Roman" w:hAnsi="Times New Roman"/>
          <w:b/>
          <w:bCs/>
          <w:sz w:val="24"/>
          <w:szCs w:val="24"/>
        </w:rPr>
        <w:t xml:space="preserve">chronically activated without appropriate discharge</w:t>
      </w:r>
      <w:r>
        <w:rPr>
          <w:rFonts w:ascii="Times New Roman" w:cs="Times New Roman" w:eastAsia="Times New Roman" w:hAnsi="Times New Roman"/>
          <w:sz w:val="24"/>
          <w:szCs w:val="24"/>
        </w:rPr>
        <w:t xml:space="preserve">. The adipose buffer fills but never empties; instability accumulates; and the pathological cycle initiates. Type 2 diabetes, metabolic syndrome, and PCOS are therefore, within this framework, not diseases of metabolic deficiency but </w:t>
      </w:r>
      <w:r>
        <w:rPr>
          <w:rFonts w:ascii="Times New Roman" w:cs="Times New Roman" w:eastAsia="Times New Roman" w:hAnsi="Times New Roman"/>
          <w:b/>
          <w:bCs/>
          <w:sz w:val="24"/>
          <w:szCs w:val="24"/>
        </w:rPr>
        <w:t xml:space="preserve">diseases of uninterrupted metabolic abundance</w:t>
      </w:r>
      <w:r>
        <w:rPr>
          <w:rFonts w:ascii="Times New Roman" w:cs="Times New Roman" w:eastAsia="Times New Roman" w:hAnsi="Times New Roman"/>
          <w:sz w:val="24"/>
          <w:szCs w:val="24"/>
        </w:rPr>
        <w:t xml:space="preserve"> acting on a system evolved for oscillating surplus and deficit. </w:t>
      </w:r>
      <w:r>
        <w:rPr>
          <w:rFonts w:ascii="Times New Roman" w:cs="Times New Roman" w:eastAsia="Times New Roman" w:hAnsi="Times New Roman"/>
          <w:sz w:val="18"/>
          <w:szCs w:val="18"/>
          <w:vertAlign w:val="superscript"/>
        </w:rPr>
        <w:t xml:space="preserve">[34,35,37]</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Weight Loss as Restoration of Energetic Buffer Stability</w:t>
      </w:r>
    </w:p>
    <w:p>
      <w:pPr>
        <w:spacing w:after="180" w:line="276" w:lineRule="auto"/>
        <w:jc w:val="both"/>
      </w:pPr>
      <w:r>
        <w:rPr>
          <w:rFonts w:ascii="Times New Roman" w:cs="Times New Roman" w:eastAsia="Times New Roman" w:hAnsi="Times New Roman"/>
          <w:sz w:val="24"/>
          <w:szCs w:val="24"/>
        </w:rPr>
        <w:t xml:space="preserve">The rapid and disproportionate metabolic improvement produced by even moderate weight loss — well-documented in clinical trials — is directly predicted by the energetic buffer instability model. </w:t>
      </w:r>
      <w:r>
        <w:rPr>
          <w:rFonts w:ascii="Times New Roman" w:cs="Times New Roman" w:eastAsia="Times New Roman" w:hAnsi="Times New Roman"/>
          <w:sz w:val="18"/>
          <w:szCs w:val="18"/>
          <w:vertAlign w:val="superscript"/>
        </w:rPr>
        <w:t xml:space="preserve">[8,26,27]</w:t>
      </w:r>
    </w:p>
    <w:p>
      <w:pPr>
        <w:spacing w:after="180" w:line="276" w:lineRule="auto"/>
        <w:jc w:val="both"/>
      </w:pPr>
      <w:r>
        <w:rPr>
          <w:rFonts w:ascii="Times New Roman" w:cs="Times New Roman" w:eastAsia="Times New Roman" w:hAnsi="Times New Roman"/>
          <w:sz w:val="24"/>
          <w:szCs w:val="24"/>
        </w:rPr>
        <w:t xml:space="preserve">Reduction of adipose tissue mass — particularly visceral and hepatic fat — produces a cascade of stabilising effects:</w:t>
      </w:r>
    </w:p>
    <w:p>
      <w:pPr>
        <w:pStyle w:val="ListParagraph"/>
        <w:numPr>
          <w:ilvl w:val="0"/>
          <w:numId w:val="2"/>
        </w:numPr>
        <w:spacing w:after="100"/>
      </w:pPr>
      <w:r>
        <w:rPr>
          <w:rFonts w:ascii="Times New Roman" w:cs="Times New Roman" w:eastAsia="Times New Roman" w:hAnsi="Times New Roman"/>
          <w:b/>
          <w:bCs/>
          <w:sz w:val="24"/>
          <w:szCs w:val="24"/>
        </w:rPr>
        <w:t xml:space="preserve">Reduced free fatty acid flux: </w:t>
      </w:r>
      <w:r>
        <w:rPr>
          <w:rFonts w:ascii="Times New Roman" w:cs="Times New Roman" w:eastAsia="Times New Roman" w:hAnsi="Times New Roman"/>
          <w:sz w:val="24"/>
          <w:szCs w:val="24"/>
        </w:rPr>
        <w:t xml:space="preserve">fewer unstable adipocytes, less lipolytic pressure, reduced portal FFA delivery. </w:t>
      </w:r>
      <w:r>
        <w:rPr>
          <w:rFonts w:ascii="Times New Roman" w:cs="Times New Roman" w:eastAsia="Times New Roman" w:hAnsi="Times New Roman"/>
          <w:sz w:val="18"/>
          <w:szCs w:val="18"/>
          <w:vertAlign w:val="superscript"/>
        </w:rPr>
        <w:t xml:space="preserve">[14,25]</w:t>
      </w:r>
    </w:p>
    <w:p>
      <w:pPr>
        <w:pStyle w:val="ListParagraph"/>
        <w:numPr>
          <w:ilvl w:val="0"/>
          <w:numId w:val="2"/>
        </w:numPr>
        <w:spacing w:after="100"/>
      </w:pPr>
      <w:r>
        <w:rPr>
          <w:rFonts w:ascii="Times New Roman" w:cs="Times New Roman" w:eastAsia="Times New Roman" w:hAnsi="Times New Roman"/>
          <w:b/>
          <w:bCs/>
          <w:sz w:val="24"/>
          <w:szCs w:val="24"/>
        </w:rPr>
        <w:t xml:space="preserve">Reduced hepatic overload: </w:t>
      </w:r>
      <w:r>
        <w:rPr>
          <w:rFonts w:ascii="Times New Roman" w:cs="Times New Roman" w:eastAsia="Times New Roman" w:hAnsi="Times New Roman"/>
          <w:sz w:val="24"/>
          <w:szCs w:val="24"/>
        </w:rPr>
        <w:t xml:space="preserve">lower FFA input to hepatocytes, reduced gluconeogenic drive, improved hepatic insulin sensitivity. </w:t>
      </w:r>
      <w:r>
        <w:rPr>
          <w:rFonts w:ascii="Times New Roman" w:cs="Times New Roman" w:eastAsia="Times New Roman" w:hAnsi="Times New Roman"/>
          <w:sz w:val="18"/>
          <w:szCs w:val="18"/>
          <w:vertAlign w:val="superscript"/>
        </w:rPr>
        <w:t xml:space="preserve">[17,26]</w:t>
      </w:r>
    </w:p>
    <w:p>
      <w:pPr>
        <w:pStyle w:val="ListParagraph"/>
        <w:numPr>
          <w:ilvl w:val="0"/>
          <w:numId w:val="2"/>
        </w:numPr>
        <w:spacing w:after="100"/>
      </w:pPr>
      <w:r>
        <w:rPr>
          <w:rFonts w:ascii="Times New Roman" w:cs="Times New Roman" w:eastAsia="Times New Roman" w:hAnsi="Times New Roman"/>
          <w:b/>
          <w:bCs/>
          <w:sz w:val="24"/>
          <w:szCs w:val="24"/>
        </w:rPr>
        <w:t xml:space="preserve">Reduced insulin demand: </w:t>
      </w:r>
      <w:r>
        <w:rPr>
          <w:rFonts w:ascii="Times New Roman" w:cs="Times New Roman" w:eastAsia="Times New Roman" w:hAnsi="Times New Roman"/>
          <w:sz w:val="24"/>
          <w:szCs w:val="24"/>
        </w:rPr>
        <w:t xml:space="preserve">smaller adipose mass requires less insulin for stabilisation, reducing hyperinsulinaemia and relieving β-cell demand. </w:t>
      </w:r>
      <w:r>
        <w:rPr>
          <w:rFonts w:ascii="Times New Roman" w:cs="Times New Roman" w:eastAsia="Times New Roman" w:hAnsi="Times New Roman"/>
          <w:sz w:val="18"/>
          <w:szCs w:val="18"/>
          <w:vertAlign w:val="superscript"/>
        </w:rPr>
        <w:t xml:space="preserve">[8,27]</w:t>
      </w:r>
    </w:p>
    <w:p>
      <w:pPr>
        <w:pStyle w:val="ListParagraph"/>
        <w:numPr>
          <w:ilvl w:val="0"/>
          <w:numId w:val="2"/>
        </w:numPr>
        <w:spacing w:after="100"/>
      </w:pPr>
      <w:r>
        <w:rPr>
          <w:rFonts w:ascii="Times New Roman" w:cs="Times New Roman" w:eastAsia="Times New Roman" w:hAnsi="Times New Roman"/>
          <w:b/>
          <w:bCs/>
          <w:sz w:val="24"/>
          <w:szCs w:val="24"/>
        </w:rPr>
        <w:t xml:space="preserve">Improved energetic distribution: </w:t>
      </w:r>
      <w:r>
        <w:rPr>
          <w:rFonts w:ascii="Times New Roman" w:cs="Times New Roman" w:eastAsia="Times New Roman" w:hAnsi="Times New Roman"/>
          <w:sz w:val="24"/>
          <w:szCs w:val="24"/>
        </w:rPr>
        <w:t xml:space="preserve">as the adipose sink for glucose and insulin is reduced, other tissues — muscle, brain, heart — receive more effective energetic delivery. </w:t>
      </w:r>
      <w:r>
        <w:rPr>
          <w:rFonts w:ascii="Times New Roman" w:cs="Times New Roman" w:eastAsia="Times New Roman" w:hAnsi="Times New Roman"/>
          <w:sz w:val="18"/>
          <w:szCs w:val="18"/>
          <w:vertAlign w:val="superscript"/>
        </w:rPr>
        <w:t xml:space="preserve">[6,27]</w:t>
      </w:r>
    </w:p>
    <w:p>
      <w:pPr>
        <w:pStyle w:val="ListParagraph"/>
        <w:numPr>
          <w:ilvl w:val="0"/>
          <w:numId w:val="2"/>
        </w:numPr>
        <w:spacing w:after="100"/>
      </w:pPr>
      <w:r>
        <w:rPr>
          <w:rFonts w:ascii="Times New Roman" w:cs="Times New Roman" w:eastAsia="Times New Roman" w:hAnsi="Times New Roman"/>
          <w:b/>
          <w:bCs/>
          <w:sz w:val="24"/>
          <w:szCs w:val="24"/>
        </w:rPr>
        <w:t xml:space="preserve">Reduced inflammatory tone: </w:t>
      </w:r>
      <w:r>
        <w:rPr>
          <w:rFonts w:ascii="Times New Roman" w:cs="Times New Roman" w:eastAsia="Times New Roman" w:hAnsi="Times New Roman"/>
          <w:sz w:val="24"/>
          <w:szCs w:val="24"/>
        </w:rPr>
        <w:t xml:space="preserve">fewer dying adipocytes means less DAMP and cytokine release, reducing systemic inflammatory insulin resistance. </w:t>
      </w:r>
      <w:r>
        <w:rPr>
          <w:rFonts w:ascii="Times New Roman" w:cs="Times New Roman" w:eastAsia="Times New Roman" w:hAnsi="Times New Roman"/>
          <w:sz w:val="18"/>
          <w:szCs w:val="18"/>
          <w:vertAlign w:val="superscript"/>
        </w:rPr>
        <w:t xml:space="preserve">[2,11]</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observation that relatively small reductions in adipose mass (5–10% of body weight) produce disproportionately large improvements in glycaemic control and insulin sensitivity </w:t>
      </w:r>
      <w:r>
        <w:rPr>
          <w:rFonts w:ascii="Times New Roman" w:cs="Times New Roman" w:eastAsia="Times New Roman" w:hAnsi="Times New Roman"/>
          <w:sz w:val="18"/>
          <w:szCs w:val="18"/>
          <w:vertAlign w:val="superscript"/>
        </w:rPr>
        <w:t xml:space="preserve">[26,27]</w:t>
      </w:r>
      <w:r>
        <w:rPr>
          <w:rFonts w:ascii="Times New Roman" w:cs="Times New Roman" w:eastAsia="Times New Roman" w:hAnsi="Times New Roman"/>
          <w:sz w:val="24"/>
          <w:szCs w:val="24"/>
        </w:rPr>
        <w:t xml:space="preserve"> suggests the presence of </w:t>
      </w:r>
      <w:r>
        <w:rPr>
          <w:rFonts w:ascii="Times New Roman" w:cs="Times New Roman" w:eastAsia="Times New Roman" w:hAnsi="Times New Roman"/>
          <w:b/>
          <w:bCs/>
          <w:sz w:val="24"/>
          <w:szCs w:val="24"/>
        </w:rPr>
        <w:t xml:space="preserve">nonlinear stability thresholds</w:t>
      </w:r>
      <w:r>
        <w:rPr>
          <w:rFonts w:ascii="Times New Roman" w:cs="Times New Roman" w:eastAsia="Times New Roman" w:hAnsi="Times New Roman"/>
          <w:sz w:val="24"/>
          <w:szCs w:val="24"/>
        </w:rPr>
        <w:t xml:space="preserve"> within the energetic buffer system — critical points at which reducing adipose mass below a tissue-specific tolerance limit rapidly restores buffering stability, consistent with the positive feedback dynamics of the instability cycle.</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10. Discussion</w:t>
      </w:r>
    </w:p>
    <w:p>
      <w:pPr>
        <w:pStyle w:val="Heading2"/>
        <w:spacing w:after="100" w:before="240"/>
      </w:pPr>
      <w:r>
        <w:rPr>
          <w:rFonts w:ascii="Arial" w:cs="Arial" w:eastAsia="Arial" w:hAnsi="Arial"/>
          <w:b/>
          <w:bCs/>
          <w:color w:val="2E75B6"/>
          <w:sz w:val="24"/>
          <w:szCs w:val="24"/>
        </w:rPr>
        <w:t xml:space="preserve">10.1 Relationship to the BGR-Collapse Framework</w:t>
      </w:r>
    </w:p>
    <w:p>
      <w:pPr>
        <w:spacing w:after="180" w:line="276" w:lineRule="auto"/>
        <w:jc w:val="both"/>
      </w:pPr>
      <w:r>
        <w:rPr>
          <w:rFonts w:ascii="Times New Roman" w:cs="Times New Roman" w:eastAsia="Times New Roman" w:hAnsi="Times New Roman"/>
          <w:sz w:val="24"/>
          <w:szCs w:val="24"/>
        </w:rPr>
        <w:t xml:space="preserve">The adipose instability model connects directly to the Basal Glycolytic Regime (BGR) framework of the companion series. </w:t>
      </w:r>
      <w:r>
        <w:rPr>
          <w:rFonts w:ascii="Times New Roman" w:cs="Times New Roman" w:eastAsia="Times New Roman" w:hAnsi="Times New Roman"/>
          <w:sz w:val="18"/>
          <w:szCs w:val="18"/>
          <w:vertAlign w:val="superscript"/>
        </w:rPr>
        <w:t xml:space="preserve">[36]</w:t>
      </w:r>
      <w:r>
        <w:rPr>
          <w:rFonts w:ascii="Times New Roman" w:cs="Times New Roman" w:eastAsia="Times New Roman" w:hAnsi="Times New Roman"/>
          <w:sz w:val="24"/>
          <w:szCs w:val="24"/>
        </w:rPr>
        <w:t xml:space="preserve"> Adipocytes — particularly in their lipogenic and re-esterification functions — are BGR-dependent in the sense that they require continuous glycolytic flux for glycerol-3-phosphate synthesis. This places adipocytes in the category of cells whose functional integrity depends on uninterrupted glucose availability. When glucose availability is restricted — either by vascular insufficiency within expanded adipose tissue or by insulin resistance reducing GLUT4-mediated glucose uptake — adipocytes undergo a form of localised BGR collapse: structural maintenance fails, lipolysis accelerates, and cell death follows. </w:t>
      </w:r>
      <w:r>
        <w:rPr>
          <w:rFonts w:ascii="Times New Roman" w:cs="Times New Roman" w:eastAsia="Times New Roman" w:hAnsi="Times New Roman"/>
          <w:sz w:val="18"/>
          <w:szCs w:val="18"/>
          <w:vertAlign w:val="superscript"/>
        </w:rPr>
        <w:t xml:space="preserve">[36,4]</w:t>
      </w:r>
    </w:p>
    <w:p>
      <w:pPr>
        <w:spacing w:after="180" w:line="276" w:lineRule="auto"/>
        <w:jc w:val="both"/>
      </w:pPr>
      <w:r>
        <w:rPr>
          <w:rFonts w:ascii="Times New Roman" w:cs="Times New Roman" w:eastAsia="Times New Roman" w:hAnsi="Times New Roman"/>
          <w:sz w:val="24"/>
          <w:szCs w:val="24"/>
        </w:rPr>
        <w:t xml:space="preserve">The intracellular hydrogel framework of the companion biophysical papers further illuminates the adipocyte death process: adipocyte death from energetic insufficiency follows the hydropic trajectory (when osmotic failure precedes structural gel condensation) or the syneretic trajectory (when lipid loss and cell deflation precede osmotic failure), generating the macrophage-engulfed lipid droplet clusters characteristic of obese adipose histology.</w:t>
      </w:r>
    </w:p>
    <w:p>
      <w:pPr>
        <w:pStyle w:val="Heading2"/>
        <w:spacing w:after="100" w:before="240"/>
      </w:pPr>
      <w:r>
        <w:rPr>
          <w:rFonts w:ascii="Arial" w:cs="Arial" w:eastAsia="Arial" w:hAnsi="Arial"/>
          <w:b/>
          <w:bCs/>
          <w:color w:val="2E75B6"/>
          <w:sz w:val="24"/>
          <w:szCs w:val="24"/>
        </w:rPr>
        <w:t xml:space="preserve">10.2 Testable Predictions</w:t>
      </w:r>
    </w:p>
    <w:p>
      <w:pPr>
        <w:spacing w:after="180" w:line="276" w:lineRule="auto"/>
        <w:jc w:val="both"/>
      </w:pPr>
      <w:r>
        <w:rPr>
          <w:rFonts w:ascii="Times New Roman" w:cs="Times New Roman" w:eastAsia="Times New Roman" w:hAnsi="Times New Roman"/>
          <w:sz w:val="24"/>
          <w:szCs w:val="24"/>
        </w:rPr>
        <w:t xml:space="preserve">The framework generates several testable predictions:</w:t>
      </w:r>
    </w:p>
    <w:p>
      <w:pPr>
        <w:pStyle w:val="ListParagraph"/>
        <w:numPr>
          <w:ilvl w:val="0"/>
          <w:numId w:val="3"/>
        </w:numPr>
        <w:spacing w:after="120"/>
      </w:pPr>
      <w:r>
        <w:rPr>
          <w:rFonts w:ascii="Times New Roman" w:cs="Times New Roman" w:eastAsia="Times New Roman" w:hAnsi="Times New Roman"/>
          <w:b/>
          <w:bCs/>
          <w:sz w:val="24"/>
          <w:szCs w:val="24"/>
        </w:rPr>
        <w:t xml:space="preserve">Adipocyte glucose flux as a predictor of stability: </w:t>
      </w:r>
      <w:r>
        <w:rPr>
          <w:rFonts w:ascii="Times New Roman" w:cs="Times New Roman" w:eastAsia="Times New Roman" w:hAnsi="Times New Roman"/>
          <w:sz w:val="24"/>
          <w:szCs w:val="24"/>
        </w:rPr>
        <w:t xml:space="preserve">direct measurement of glycerol-3-phosphate turnover in adipocytes from individuals at different stages of adipose expansion should show a threshold below which stability fails and stress-induced lipolysis initiates — independent of total adipocyte lipid content. </w:t>
      </w:r>
      <w:r>
        <w:rPr>
          <w:rFonts w:ascii="Times New Roman" w:cs="Times New Roman" w:eastAsia="Times New Roman" w:hAnsi="Times New Roman"/>
          <w:sz w:val="18"/>
          <w:szCs w:val="18"/>
          <w:vertAlign w:val="superscript"/>
        </w:rPr>
        <w:t xml:space="preserve">[13,4]</w:t>
      </w:r>
    </w:p>
    <w:p>
      <w:pPr>
        <w:pStyle w:val="ListParagraph"/>
        <w:numPr>
          <w:ilvl w:val="0"/>
          <w:numId w:val="3"/>
        </w:numPr>
        <w:spacing w:after="120"/>
      </w:pPr>
      <w:r>
        <w:rPr>
          <w:rFonts w:ascii="Times New Roman" w:cs="Times New Roman" w:eastAsia="Times New Roman" w:hAnsi="Times New Roman"/>
          <w:b/>
          <w:bCs/>
          <w:sz w:val="24"/>
          <w:szCs w:val="24"/>
        </w:rPr>
        <w:t xml:space="preserve">Vascular insufficiency as a primary trigger: </w:t>
      </w:r>
      <w:r>
        <w:rPr>
          <w:rFonts w:ascii="Times New Roman" w:cs="Times New Roman" w:eastAsia="Times New Roman" w:hAnsi="Times New Roman"/>
          <w:sz w:val="24"/>
          <w:szCs w:val="24"/>
        </w:rPr>
        <w:t xml:space="preserve">adipose tissue oxygen tension and capillary density should decrease below a critical threshold before systemic metabolic parameters (fasting glucose, insulin) become abnormal, predicting adipose tissue hypoxia as an early, potentially pre-diabetic biomarker. </w:t>
      </w:r>
      <w:r>
        <w:rPr>
          <w:rFonts w:ascii="Times New Roman" w:cs="Times New Roman" w:eastAsia="Times New Roman" w:hAnsi="Times New Roman"/>
          <w:sz w:val="18"/>
          <w:szCs w:val="18"/>
          <w:vertAlign w:val="superscript"/>
        </w:rPr>
        <w:t xml:space="preserve">[5,22]</w:t>
      </w:r>
    </w:p>
    <w:p>
      <w:pPr>
        <w:pStyle w:val="ListParagraph"/>
        <w:numPr>
          <w:ilvl w:val="0"/>
          <w:numId w:val="3"/>
        </w:numPr>
        <w:spacing w:after="120"/>
      </w:pPr>
      <w:r>
        <w:rPr>
          <w:rFonts w:ascii="Times New Roman" w:cs="Times New Roman" w:eastAsia="Times New Roman" w:hAnsi="Times New Roman"/>
          <w:b/>
          <w:bCs/>
          <w:sz w:val="24"/>
          <w:szCs w:val="24"/>
        </w:rPr>
        <w:t xml:space="preserve">Nonlinear weight loss response: </w:t>
      </w:r>
      <w:r>
        <w:rPr>
          <w:rFonts w:ascii="Times New Roman" w:cs="Times New Roman" w:eastAsia="Times New Roman" w:hAnsi="Times New Roman"/>
          <w:sz w:val="24"/>
          <w:szCs w:val="24"/>
        </w:rPr>
        <w:t xml:space="preserve">if stability thresholds exist, the relationship between adipose mass reduction and metabolic improvement should be nonlinear — improvement should accelerate once a tissue-specific threshold is crossed. This is testable by plotting metabolic parameters against adipose reduction in clinical weight loss trials with continuous monitoring. </w:t>
      </w:r>
      <w:r>
        <w:rPr>
          <w:rFonts w:ascii="Times New Roman" w:cs="Times New Roman" w:eastAsia="Times New Roman" w:hAnsi="Times New Roman"/>
          <w:sz w:val="18"/>
          <w:szCs w:val="18"/>
          <w:vertAlign w:val="superscript"/>
        </w:rPr>
        <w:t xml:space="preserve">[26,27]</w:t>
      </w:r>
    </w:p>
    <w:p>
      <w:pPr>
        <w:pStyle w:val="ListParagraph"/>
        <w:numPr>
          <w:ilvl w:val="0"/>
          <w:numId w:val="3"/>
        </w:numPr>
        <w:spacing w:after="120"/>
      </w:pPr>
      <w:r>
        <w:rPr>
          <w:rFonts w:ascii="Times New Roman" w:cs="Times New Roman" w:eastAsia="Times New Roman" w:hAnsi="Times New Roman"/>
          <w:b/>
          <w:bCs/>
          <w:sz w:val="24"/>
          <w:szCs w:val="24"/>
        </w:rPr>
        <w:t xml:space="preserve">PCOS remission correlation with hyperinsulinaemia reduction: </w:t>
      </w:r>
      <w:r>
        <w:rPr>
          <w:rFonts w:ascii="Times New Roman" w:cs="Times New Roman" w:eastAsia="Times New Roman" w:hAnsi="Times New Roman"/>
          <w:sz w:val="24"/>
          <w:szCs w:val="24"/>
        </w:rPr>
        <w:t xml:space="preserve">if PCOS is the gonadal expression of hyperinsulinaemia rather than a primary ovarian disorder, the degree of PCOS improvement following weight loss or metformin treatment should correlate more strongly with reduction in fasting insulin than with absolute weight reduction. </w:t>
      </w:r>
      <w:r>
        <w:rPr>
          <w:rFonts w:ascii="Times New Roman" w:cs="Times New Roman" w:eastAsia="Times New Roman" w:hAnsi="Times New Roman"/>
          <w:sz w:val="18"/>
          <w:szCs w:val="18"/>
          <w:vertAlign w:val="superscript"/>
        </w:rPr>
        <w:t xml:space="preserve">[15,29,30]</w:t>
      </w:r>
    </w:p>
    <w:p>
      <w:pPr>
        <w:pStyle w:val="ListParagraph"/>
        <w:numPr>
          <w:ilvl w:val="0"/>
          <w:numId w:val="3"/>
        </w:numPr>
        <w:spacing w:after="120"/>
      </w:pPr>
      <w:r>
        <w:rPr>
          <w:rFonts w:ascii="Times New Roman" w:cs="Times New Roman" w:eastAsia="Times New Roman" w:hAnsi="Times New Roman"/>
          <w:b/>
          <w:bCs/>
          <w:sz w:val="24"/>
          <w:szCs w:val="24"/>
        </w:rPr>
        <w:t xml:space="preserve">Sex-specific threshold difference: </w:t>
      </w:r>
      <w:r>
        <w:rPr>
          <w:rFonts w:ascii="Times New Roman" w:cs="Times New Roman" w:eastAsia="Times New Roman" w:hAnsi="Times New Roman"/>
          <w:sz w:val="24"/>
          <w:szCs w:val="24"/>
        </w:rPr>
        <w:t xml:space="preserve">women and men should differ in the adipose mass threshold at which instability initiates, consistent with known sex differences in adipose distribution, adipokine profiles, and androgen-insulin cross-talk — predicting sex-specific optimal intervention thresholds. </w:t>
      </w:r>
      <w:r>
        <w:rPr>
          <w:rFonts w:ascii="Times New Roman" w:cs="Times New Roman" w:eastAsia="Times New Roman" w:hAnsi="Times New Roman"/>
          <w:sz w:val="18"/>
          <w:szCs w:val="18"/>
          <w:vertAlign w:val="superscript"/>
        </w:rPr>
        <w:t xml:space="preserve">[7,31]</w:t>
      </w:r>
    </w:p>
    <w:p>
      <w:pPr>
        <w:pStyle w:val="Heading2"/>
        <w:spacing w:after="100" w:before="240"/>
      </w:pPr>
      <w:r>
        <w:rPr>
          <w:rFonts w:ascii="Arial" w:cs="Arial" w:eastAsia="Arial" w:hAnsi="Arial"/>
          <w:b/>
          <w:bCs/>
          <w:color w:val="2E75B6"/>
          <w:sz w:val="24"/>
          <w:szCs w:val="24"/>
        </w:rPr>
        <w:t xml:space="preserve">10.3 Limitations</w:t>
      </w:r>
    </w:p>
    <w:p>
      <w:pPr>
        <w:spacing w:after="180" w:line="276" w:lineRule="auto"/>
        <w:jc w:val="both"/>
      </w:pPr>
      <w:r>
        <w:rPr>
          <w:rFonts w:ascii="Times New Roman" w:cs="Times New Roman" w:eastAsia="Times New Roman" w:hAnsi="Times New Roman"/>
          <w:sz w:val="24"/>
          <w:szCs w:val="24"/>
        </w:rPr>
        <w:t xml:space="preserve">The present framework is conceptual and requires quantitative formalisation. The glycerol-3-phosphate dependence of adipocyte stability, while biochemically well-established, has not been systematically measured as a function of local glucose availability in vivo. The proposed instability threshold is inferred from the nonlinear clinical response to weight loss rather than directly measured. The evolutionary interpretation of thrifty-genotype mechanisms is plausible but not directly testable in human populations. Future work should aim to translate the conceptual model into a quantitative dynamical systems framework with measurable parameters.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11. Conclusion</w:t>
      </w:r>
    </w:p>
    <w:p>
      <w:pPr>
        <w:spacing w:after="180" w:line="276" w:lineRule="auto"/>
        <w:jc w:val="both"/>
      </w:pPr>
      <w:r>
        <w:rPr>
          <w:rFonts w:ascii="Times New Roman" w:cs="Times New Roman" w:eastAsia="Times New Roman" w:hAnsi="Times New Roman"/>
          <w:sz w:val="24"/>
          <w:szCs w:val="24"/>
        </w:rPr>
        <w:t xml:space="preserve">Adipose tissue is not a passive storage depot but a dynamic energetic buffer with limited intrinsic stability. Adipocytes depend on continuous glucose availability for structural maintenance through glycerol-3-phosphate-dependent fatty acid re-esterification — a dependence that creates a fundamental vulnerability when adipose expansion outpaces vascular and metabolic support capacity.</w:t>
      </w:r>
    </w:p>
    <w:p>
      <w:pPr>
        <w:spacing w:after="180" w:line="276" w:lineRule="auto"/>
        <w:jc w:val="both"/>
      </w:pPr>
      <w:r>
        <w:rPr>
          <w:rFonts w:ascii="Times New Roman" w:cs="Times New Roman" w:eastAsia="Times New Roman" w:hAnsi="Times New Roman"/>
          <w:sz w:val="24"/>
          <w:szCs w:val="24"/>
        </w:rPr>
        <w:t xml:space="preserve">The resulting adipocyte instability initiates a self-reinforcing cycle — free fatty acid release, hepatic gluconeogenesis, hyperglycaemia, hyperinsulinaemia, further adipose expansion — that constitutes the pathophysiological core of type 2 diabetes mellitus, metabolic syndrome, non-alcoholic fatty liver disease, and polycystic ovary syndrome. These conditions are reinterpreted as different clinical expressions of a single underlying systems-level failure: instability of the organism's energetic buffer.</w:t>
      </w:r>
    </w:p>
    <w:p>
      <w:pPr>
        <w:pBdr>
          <w:top w:val="double" w:color="2E75B6" w:sz="6" w:space="4"/>
          <w:bottom w:val="double" w:color="2E75B6" w:sz="6" w:space="4"/>
          <w:left w:val="double" w:color="2E75B6" w:sz="6" w:space="8"/>
          <w:right w:val="double" w:color="2E75B6" w:sz="6" w:space="8"/>
        </w:pBdr>
        <w:shd w:fill="E8F4FD"/>
        <w:spacing w:after="200" w:before="160"/>
        <w:ind w:left="240" w:right="240"/>
      </w:pPr>
      <w:r>
        <w:rPr>
          <w:rFonts w:ascii="Times New Roman" w:cs="Times New Roman" w:eastAsia="Times New Roman" w:hAnsi="Times New Roman"/>
          <w:b/>
          <w:bCs/>
          <w:sz w:val="24"/>
          <w:szCs w:val="24"/>
        </w:rPr>
        <w:t xml:space="preserve">Central reinterpretation: </w:t>
      </w:r>
      <w:r>
        <w:rPr>
          <w:rFonts w:ascii="Times New Roman" w:cs="Times New Roman" w:eastAsia="Times New Roman" w:hAnsi="Times New Roman"/>
          <w:sz w:val="24"/>
          <w:szCs w:val="24"/>
        </w:rPr>
        <w:t xml:space="preserve">Hyperglycaemia in type 2 diabetes does not signify energetic abundance. It signifies </w:t>
      </w:r>
      <w:r>
        <w:rPr>
          <w:rFonts w:ascii="Times New Roman" w:cs="Times New Roman" w:eastAsia="Times New Roman" w:hAnsi="Times New Roman"/>
          <w:b/>
          <w:bCs/>
          <w:sz w:val="24"/>
          <w:szCs w:val="24"/>
        </w:rPr>
        <w:t xml:space="preserve">energetic distribution failure</w:t>
      </w:r>
      <w:r>
        <w:rPr>
          <w:rFonts w:ascii="Times New Roman" w:cs="Times New Roman" w:eastAsia="Times New Roman" w:hAnsi="Times New Roman"/>
          <w:sz w:val="24"/>
          <w:szCs w:val="24"/>
        </w:rPr>
        <w:t xml:space="preserve"> — the inability of an overloaded, destabilised metabolic system to efficiently direct glucose to the tissues that require it. Insulin resistance is not the cause of this failure but its systemic signature. The adipose tissue is the buffer; its instability is the disease. Understanding and treating metabolic syndrome requires targeting the buffer instability itself, not merely its downstream glycaemic signature.</w:t>
      </w:r>
    </w:p>
    <w:p>
      <w:pPr>
        <w:spacing w:after="8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part of a conceptual series examining energetic constraints in biological systems. The Basal Glycolytic Regime framework developed in the companion series provides the cellular metabolic basis for adipocyte glucose dependence; the evolutionary argument connects to the discussion of cancer as the delayed price of regeneration in the companion evolutionary paper.</w:t>
      </w:r>
      <w:r>
        <w:rPr>
          <w:rFonts w:ascii="Times New Roman" w:cs="Times New Roman" w:eastAsia="Times New Roman" w:hAnsi="Times New Roman"/>
          <w:sz w:val="18"/>
          <w:szCs w:val="18"/>
          <w:vertAlign w:val="superscript"/>
        </w:rPr>
        <w:t xml:space="preserve">[36,37]</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Kahn SE, Hull RL, Utzschneider KM. Mechanisms linking obesity to insulin resistance and type 2 diabetes. Nature. 2006;444(7121):840-846.</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Hotamisligil GS. Inflammation and metabolic disorders. Nature. 2006;444(7121):860-867.</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Samuel VT, Shulman GI. Mechanisms for insulin resistance: common threads and missing links. Cell. 2012;148(5):852-871.</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Unger RH, Scherer PE. Gluttony, sloth and the metabolic syndrome: a roadmap to lipotoxicity. Trends Endocrinol Metab. 2010;21(6):345-352.</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Virtue S, Vidal-Puig A. Adipose tissue expandability, lipotoxicity and the metabolic syndrome. Biochim Biophys Acta. 2010;1801(3):338-349.</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Kelley DE, Goodpaster BH. Skeletal muscle triglyceride: an aspect of regional adiposity and insulin resistance. Diabetes Care. 2001;24(5):933-941.</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Després JP. Body fat distribution and risk of cardiovascular disease. Circulation. 2012;126(10):1301-1313.</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Taylor R. Type 2 diabetes: etiology and reversibility. Diabetes Care. 2013;36(4):1047-1055.</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Shulman GI. Cellular mechanisms of insulin resistance. J Clin Invest. 2000;106(2):171-176.</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Rosen ED, Spiegelman BM. Adipocytes as regulators of energy balance and glucose homeostasis. Nature. 2006;444(7121):847-853.</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Saltiel AR, Olefsky JM. Inflammatory mechanisms linking obesity and metabolic disease. J Clin Invest. 2017;127(1):1-4.</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Czech MP. Insulin action and resistance in obesity and type 2 diabetes. Nat Med. 2017;23(7):804-814.</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Frayn KN. Adipose tissue as a buffer for daily lipid flux. Diabetologia. 2002;45(9):1201-1210.</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Boden G. Obesity, insulin resistance and free fatty acids. Curr Opin Endocrinol Diabetes Obes. 2011;18(2):139-144.</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Barber TM, Hanson P, Weickert MO, Franks S. Obesity and polycystic ovary syndrome: implications for pathogenesis and novel management strategies. Clin Endocrinol. 2019;90(2):251-266.</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Shoelson SE, Lee J, Goldfine AB. Inflammation and insulin resistance. J Clin Invest. 2006;116(7):1793-1801.</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Cusi K. Role of obesity and lipotoxicity in the development of nonalcoholic steatohepatitis: pathophysiology and clinical implications. Gastroenterology. 2012;142(4):711-725.</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Browning JD, Horton JD. Molecular mediators of hepatic steatosis and liver injury. J Clin Invest. 2004;114(2):147-152.</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Yki-Järvinen H. Non-alcoholic fatty liver disease as a cause and a consequence of metabolic syndrome. Lancet Diabetes Endocrinol. 2014;2(11):901-910.</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Halberg N, Wernstedt-Asterholm I, Scherer PE. The adipocyte as an endocrine cell. Endocrinol Metab Clin North Am. 2008;37(3):753-768.</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Scherer PE. Adipose tissue: from lipid storage compartment to endocrine organ. Diabetes. 2006;55(6):1537-1545.</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Bluher M. Adipose tissue dysfunction contributes to obesity related metabolic diseases. Best Pract Res Clin Endocrinol Metab. 2013;27(2):163-177.</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Trayhurn P, Wood IS. Adipokines: inflammation and the pleiotropic role of white adipose tissue. Br J Nutr. 2004;92(3):347-355.</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Cinti S, Mitchell G, Barbatelli G, Murano I, Ceresi E, Faloia E, et al. Adipocyte death defines macrophage localization and function in adipose tissue of obese mice and humans. J Lipid Res. 2005;46(11):2347-2355.</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Nellemann B, Gormsen LC, Christiansen JS, Jessen N, Nielsen S. Fasting serum free fatty acids are associated with insulin resistance, dyslipidemia, and cardiovascular risk factors: the ADDITION Denmark study. Diabetes Care. 2012;35(3):597-603.</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Lim EL, Hollingsworth KG, Aribisala BS, Chen MJ, Mathers JC, Taylor R. Reversal of type 2 diabetes: normalisation of beta cell function in association with decreased pancreas and liver triacylglycerol. Diabetologia. 2011;54(10):2506-2514.</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Lean ME, Leslie WS, Barnes AC, Brosnahan N, Thom G, McCombie L, et al. Primary care-led weight management for remission of type 2 diabetes (DiRECT): an open-label, cluster-randomised trial. Lancet. 2018;391(10120):541-551.</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Esler M, Straznicky N, Eikelis N, Masuo K, Lambert G, Lambert E. Mechanisms of sympathetic activation in obesity-related hypertension. Hypertension. 2006;48(5):787-796.</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Ehrmann DA. Polycystic ovary syndrome. N Engl J Med. 2005;352(12):1223-1236.</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Dunaif A. Insulin resistance and the polycystic ovary syndrome: mechanism and implications for pathogenesis. Endocr Rev. 1997;18(6):774-800.</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Corbould A. Effects of androgens on insulin action in women: is androgen excess a component of female metabolic syndrome? Diabetes Metab Res Rev. 2008;24(7):520-532.</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Neel JV. Diabetes mellitus: a "thrifty" genotype rendered detrimental by "progress"? Am J Hum Genet. 1962;14:353-362.</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Speakman JR. Thrifty genes for obesity, an attractive but flawed idea, and an alternative perspective: the "drifty gene" hypothesis. Int J Obes. 2008;32(11):1611-1617.</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Dmitrochenko Y. Cancer as the Delayed Price of Regeneration: Coevolution of Multicellular Organisms, Tissue Plasticity, and Chronic Viral Persistence. [Companion Paper];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Instability of Adipose Tissue as an Energetic Buffer — Yuri Dmitrochenko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2026-05-16T19:00:06.571Z</dcterms:created>
  <dcterms:modified xsi:type="dcterms:W3CDTF">2026-05-16T19:00:06.584Z</dcterms:modified>
</cp:coreProperties>
</file>

<file path=docProps/custom.xml><?xml version="1.0" encoding="utf-8"?>
<Properties xmlns="http://schemas.openxmlformats.org/officeDocument/2006/custom-properties" xmlns:vt="http://schemas.openxmlformats.org/officeDocument/2006/docPropsVTypes"/>
</file>