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i/>
          <w:iCs/>
          <w:color w:val="555555"/>
          <w:sz w:val="20"/>
          <w:szCs w:val="20"/>
        </w:rPr>
        <w:t xml:space="preserve">Series: Embryonic Programs in Non-Oncological Tissue States | Paper 1 of N</w:t>
      </w:r>
    </w:p>
    <w:p>
      <w:pPr>
        <w:pBdr>
          <w:bottom w:val="single" w:color="888888" w:sz="4" w:space="1"/>
        </w:pBdr>
        <w:spacing w:after="160" w:before="160"/>
      </w:pPr>
      <w:r>
        <w:t xml:space="preserve"/>
      </w:r>
    </w:p>
    <w:p>
      <w:pPr>
        <w:spacing w:after="80"/>
        <w:jc w:val="center"/>
      </w:pPr>
      <w:r>
        <w:rPr>
          <w:rFonts w:ascii="Arial" w:cs="Arial" w:eastAsia="Arial" w:hAnsi="Arial"/>
          <w:b/>
          <w:bCs/>
          <w:sz w:val="36"/>
          <w:szCs w:val="36"/>
        </w:rPr>
        <w:t xml:space="preserve">Embryonic-Associated Programs Outside Pregnancy and Cancer:</w:t>
      </w:r>
    </w:p>
    <w:p>
      <w:pPr>
        <w:spacing w:after="80"/>
        <w:jc w:val="center"/>
      </w:pPr>
      <w:r>
        <w:rPr>
          <w:rFonts w:ascii="Arial" w:cs="Arial" w:eastAsia="Arial" w:hAnsi="Arial"/>
          <w:b/>
          <w:bCs/>
          <w:sz w:val="30"/>
          <w:szCs w:val="30"/>
        </w:rPr>
        <w:t xml:space="preserve">Energetic Window Expansion, the Regeneration Pendulum,</w:t>
      </w:r>
    </w:p>
    <w:p>
      <w:pPr>
        <w:spacing w:after="240"/>
        <w:jc w:val="center"/>
      </w:pPr>
      <w:r>
        <w:rPr>
          <w:rFonts w:ascii="Arial" w:cs="Arial" w:eastAsia="Arial" w:hAnsi="Arial"/>
          <w:b/>
          <w:bCs/>
          <w:sz w:val="30"/>
          <w:szCs w:val="30"/>
        </w:rPr>
        <w:t xml:space="preserve">and Temporal Tissue Loops</w:t>
      </w:r>
    </w:p>
    <w:p>
      <w:pPr>
        <w:pBdr>
          <w:top w:val="single" w:color="2E75B6" w:sz="6" w:space="4"/>
          <w:bottom w:val="single" w:color="2E75B6" w:sz="6" w:space="4"/>
          <w:left w:val="single" w:color="2E75B6" w:sz="6" w:space="8"/>
          <w:right w:val="single" w:color="2E75B6" w:sz="6" w:space="8"/>
        </w:pBdr>
        <w:shd w:fill="EBF3FB"/>
        <w:spacing w:after="240" w:before="80"/>
        <w:ind w:left="200" w:right="200"/>
      </w:pPr>
      <w:r>
        <w:rPr>
          <w:b/>
          <w:bCs/>
          <w:sz w:val="20"/>
          <w:szCs w:val="20"/>
        </w:rPr>
        <w:t xml:space="preserve">Note on Series Position. </w:t>
      </w:r>
      <w:r>
        <w:rPr>
          <w:i/>
          <w:iCs/>
          <w:sz w:val="20"/>
          <w:szCs w:val="20"/>
        </w:rPr>
        <w:t xml:space="preserve">This article is the first and foundational paper of a multi-part series examining embryonic-associated biological programs in contexts outside oncology and pregnancy. It establishes the conceptual framework — the energetic window, the regeneration pendulum, and temporal tissue loops — upon which subsequent papers in the series build. Readers are referred to the companion papers for extensions of this framework to specific organ systems, metabolic correlates, and therapeutic implications.</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Abstract</w:t>
      </w:r>
    </w:p>
    <w:p>
      <w:pPr>
        <w:spacing w:after="160"/>
        <w:jc w:val="both"/>
      </w:pPr>
      <w:r>
        <w:t xml:space="preserve">Embryonic and fetal proteins are traditionally associated with embryogenesis, pregnancy, and malignancy. However, numerous physiological and pathological conditions outside both pregnancy and cancer demonstrate partial reactivation of embryonic-associated programs. In this paper — the first in a series — we summarize evidence that fetal proteins, developmental pathways, and partial ontogenetic reversion occur in a broad range of non-malignant contexts, including regeneration, chronic inflammation, fibrosis, tissue remodeling, immune conflict, wound healing, and high-turnover stem-cell niches. </w:t>
      </w:r>
      <w:r>
        <w:rPr>
          <w:sz w:val="18"/>
          <w:szCs w:val="18"/>
          <w:vertAlign w:val="superscript"/>
        </w:rPr>
        <w:t xml:space="preserve">[1,2,3,6,7,12]</w:t>
      </w:r>
    </w:p>
    <w:p>
      <w:pPr>
        <w:spacing w:after="160"/>
        <w:jc w:val="both"/>
      </w:pPr>
      <w:r>
        <w:t xml:space="preserve">We propose that these phenomena are linked not primarily to malignancy itself, but to expansion of the tissue </w:t>
      </w:r>
      <w:r>
        <w:rPr>
          <w:b/>
          <w:bCs/>
        </w:rPr>
        <w:t xml:space="preserve">energetic window</w:t>
      </w:r>
      <w:r>
        <w:t xml:space="preserve"> associated with structural remodeling and increased metabolic flux. A conceptual framework is introduced in which recurrent coupling between cell death, matrix metalloproteinase (MMP) activation, extracellular matrix remodeling, vascular expansion, and partial ontogenetic reversion generates oscillatory tissue dynamics termed the </w:t>
      </w:r>
      <w:r>
        <w:rPr>
          <w:b/>
          <w:bCs/>
        </w:rPr>
        <w:t xml:space="preserve">Regeneration Pendulum</w:t>
      </w:r>
      <w:r>
        <w:t xml:space="preserve">. Within this framework, tissues undergoing repeated cycles of destruction and repair transiently revisit earlier developmental-like functional states, forming </w:t>
      </w:r>
      <w:r>
        <w:rPr>
          <w:b/>
          <w:bCs/>
        </w:rPr>
        <w:t xml:space="preserve">Temporal Tissue Loops</w:t>
      </w:r>
      <w:r>
        <w:t xml:space="preserve"> characterized by recurring partial activation of embryonic-associated programs. The model provides a unified interpretation linking regeneration, chronic inflammation, fibrosis, and developmental program reactivation within a common systems-level energetic framework. </w:t>
      </w:r>
      <w:r>
        <w:rPr>
          <w:sz w:val="18"/>
          <w:szCs w:val="18"/>
          <w:vertAlign w:val="superscript"/>
        </w:rPr>
        <w:t xml:space="preserve">[26,27,31,32]</w:t>
      </w:r>
    </w:p>
    <w:p>
      <w:pPr>
        <w:spacing w:after="80"/>
      </w:pPr>
      <w:r>
        <w:t xml:space="preserve"/>
      </w:r>
    </w:p>
    <w:p>
      <w:pPr>
        <w:spacing w:after="160"/>
        <w:jc w:val="both"/>
      </w:pPr>
      <w:r>
        <w:rPr>
          <w:b/>
          <w:bCs/>
        </w:rPr>
        <w:t xml:space="preserve">Keywords: </w:t>
      </w:r>
      <w:r>
        <w:rPr>
          <w:i/>
          <w:iCs/>
        </w:rPr>
        <w:t xml:space="preserve">embryonic-associated programs; oncofetal antigens; fetal proteins; matrix metalloproteinases; tissue remodeling; regeneration pendulum; temporal tissue loops; energetic window; fibrosis; chronic inflammation</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1. Introduction</w:t>
      </w:r>
    </w:p>
    <w:p>
      <w:pPr>
        <w:spacing w:after="160"/>
        <w:jc w:val="both"/>
      </w:pPr>
      <w:r>
        <w:t xml:space="preserve">Embryonic and fetal proteins are commonly regarded as markers of embryogenesis or malignancy. Classic examples include fetal hemoglobin (HbF), alpha-fetoprotein (AFP), carcinoembryonic antigen (CEA), embryonic extracellular matrix proteins, and developmental signaling pathways such as WNT, Notch, and Hedgehog. The prevailing clinical interpretation treats their reappearance in adult tissues either as a normal product of ontogenesis or as an aberrant signal of neoplastic transformation. </w:t>
      </w:r>
      <w:r>
        <w:rPr>
          <w:sz w:val="18"/>
          <w:szCs w:val="18"/>
          <w:vertAlign w:val="superscript"/>
        </w:rPr>
        <w:t xml:space="preserve">[9,42,43]</w:t>
      </w:r>
    </w:p>
    <w:p>
      <w:pPr>
        <w:spacing w:after="160"/>
        <w:jc w:val="both"/>
      </w:pPr>
      <w:r>
        <w:t xml:space="preserve">However, increasing evidence demonstrates that such programs also emerge in multiple non-malignant adult tissues under conditions of remodeling, regeneration, and chronic stress. The partial reactivation of developmental gene networks in healing skin, regenerating liver, inflamed intestinal mucosa, and fibrotic lung suggests that the association between embryonic programs and cancer may be more contextual than intrinsic. </w:t>
      </w:r>
      <w:r>
        <w:rPr>
          <w:sz w:val="18"/>
          <w:szCs w:val="18"/>
          <w:vertAlign w:val="superscript"/>
        </w:rPr>
        <w:t xml:space="preserve">[1,7,12,18]</w:t>
      </w:r>
    </w:p>
    <w:p>
      <w:pPr>
        <w:spacing w:after="160"/>
        <w:jc w:val="both"/>
      </w:pPr>
      <w:r>
        <w:t xml:space="preserve">These observations raise a central question: are embryonic-associated programs intrinsically linked to cancer and development, or do they represent a broader adaptive tissue state governed by energetic and structural remodeling dynamics?</w:t>
      </w:r>
    </w:p>
    <w:p>
      <w:pPr>
        <w:spacing w:after="160"/>
        <w:jc w:val="both"/>
      </w:pPr>
      <w:r>
        <w:t xml:space="preserve">In this article, we propose that embryonic-associated programs emerge predominantly in tissues operating within </w:t>
      </w:r>
      <w:r>
        <w:rPr>
          <w:b/>
          <w:bCs/>
        </w:rPr>
        <w:t xml:space="preserve">expanded energetic windows</w:t>
      </w:r>
      <w:r>
        <w:t xml:space="preserve"> characterized by increased metabolic flux, extracellular matrix remodeling, high cellular turnover, structural instability, or active regeneration. We introduce the </w:t>
      </w:r>
      <w:r>
        <w:rPr>
          <w:b/>
          <w:bCs/>
        </w:rPr>
        <w:t xml:space="preserve">Regeneration Pendulum</w:t>
      </w:r>
      <w:r>
        <w:t xml:space="preserve"> and </w:t>
      </w:r>
      <w:r>
        <w:rPr>
          <w:b/>
          <w:bCs/>
        </w:rPr>
        <w:t xml:space="preserve">Temporal Tissue Loops</w:t>
      </w:r>
      <w:r>
        <w:t xml:space="preserve"> as conceptual tools for understanding how recurrent cycles of tissue destruction and repair generate oscillatory reactivation of developmental programs across a wide range of biological contexts. This paper is foundational to the series; subsequent papers extend the framework to specific organ systems and molecular mechanisms.</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2. Embryonic-Associated Programs Outside Pregnancy and Cancer</w:t>
      </w:r>
    </w:p>
    <w:p>
      <w:pPr>
        <w:spacing w:after="160"/>
        <w:jc w:val="both"/>
      </w:pPr>
      <w:r>
        <w:t xml:space="preserve">Developmental and fetal-like programs have been observed across a broad spectrum of non-malignant biological contexts. The following sections survey the principal categories of evidence.</w:t>
      </w:r>
    </w:p>
    <w:p>
      <w:pPr>
        <w:pStyle w:val="Heading2"/>
        <w:spacing w:after="120" w:before="240"/>
      </w:pPr>
      <w:r>
        <w:rPr>
          <w:rFonts w:ascii="Arial" w:cs="Arial" w:eastAsia="Arial" w:hAnsi="Arial"/>
          <w:b/>
          <w:bCs/>
          <w:sz w:val="24"/>
          <w:szCs w:val="24"/>
        </w:rPr>
        <w:t xml:space="preserve">2.1 Regeneration and Wound Healing</w:t>
      </w:r>
    </w:p>
    <w:p>
      <w:pPr>
        <w:spacing w:after="160"/>
        <w:jc w:val="both"/>
      </w:pPr>
      <w:r>
        <w:t xml:space="preserve">During tissue repair, adult tissues frequently reactivate developmental pathways otherwise suppressed in homeostatic conditions. In skin wound healing, re-epithelialization involves upregulation of embryonic fibronectin isoforms (EDA and EDB domains) and Tenascin-C, alongside glycolytic metabolic reversion. </w:t>
      </w:r>
      <w:r>
        <w:rPr>
          <w:sz w:val="18"/>
          <w:szCs w:val="18"/>
          <w:vertAlign w:val="superscript"/>
        </w:rPr>
        <w:t xml:space="preserve">[1,5,6]</w:t>
      </w:r>
    </w:p>
    <w:p>
      <w:pPr>
        <w:spacing w:after="160"/>
        <w:jc w:val="both"/>
      </w:pPr>
      <w:r>
        <w:t xml:space="preserve">Liver regeneration following partial hepatectomy involves transient reactivation of fetal hepatocyte gene expression programs, including AFP and embryonic metabolic enzymes. </w:t>
      </w:r>
      <w:r>
        <w:rPr>
          <w:sz w:val="18"/>
          <w:szCs w:val="18"/>
          <w:vertAlign w:val="superscript"/>
        </w:rPr>
        <w:t xml:space="preserve">[7,8]</w:t>
      </w:r>
      <w:r>
        <w:t xml:space="preserve"> Skeletal muscle repair recapitulates aspects of embryonic myogenesis, including sequential expression of embryonic and neonatal myosin heavy chain isoforms. </w:t>
      </w:r>
      <w:r>
        <w:rPr>
          <w:sz w:val="18"/>
          <w:szCs w:val="18"/>
          <w:vertAlign w:val="superscript"/>
        </w:rPr>
        <w:t xml:space="preserve">[10,11]</w:t>
      </w:r>
      <w:r>
        <w:t xml:space="preserve"> Intestinal regeneration following epithelial injury involves WNT pathway hyperactivation mirroring embryonic crypt morphogenesis. </w:t>
      </w:r>
      <w:r>
        <w:rPr>
          <w:sz w:val="18"/>
          <w:szCs w:val="18"/>
          <w:vertAlign w:val="superscript"/>
        </w:rPr>
        <w:t xml:space="preserve">[12,13]</w:t>
      </w:r>
      <w:r>
        <w:t xml:space="preserve"> Post-infarction cardiac remodeling activates fetal gene programs including embryonic myosin heavy chain isoforms and fetal metabolic shifts toward glycolysis. </w:t>
      </w:r>
      <w:r>
        <w:rPr>
          <w:sz w:val="18"/>
          <w:szCs w:val="18"/>
          <w:vertAlign w:val="superscript"/>
        </w:rPr>
        <w:t xml:space="preserve">[14,15]</w:t>
      </w:r>
    </w:p>
    <w:p>
      <w:pPr>
        <w:pStyle w:val="Heading2"/>
        <w:spacing w:after="120" w:before="240"/>
      </w:pPr>
      <w:r>
        <w:rPr>
          <w:rFonts w:ascii="Arial" w:cs="Arial" w:eastAsia="Arial" w:hAnsi="Arial"/>
          <w:b/>
          <w:bCs/>
          <w:sz w:val="24"/>
          <w:szCs w:val="24"/>
        </w:rPr>
        <w:t xml:space="preserve">2.2 Fibrosis</w:t>
      </w:r>
    </w:p>
    <w:p>
      <w:pPr>
        <w:spacing w:after="160"/>
        <w:jc w:val="both"/>
      </w:pPr>
      <w:r>
        <w:t xml:space="preserve">Fibrotic tissues exhibit partial reactivation of developmental fibroblast programs. In liver cirrhosis, activated hepatic stellate cells acquire a myofibroblast phenotype with fetal-like expression of smooth muscle actin, collagen subtypes, and developmental matrix-remodeling enzymes. </w:t>
      </w:r>
      <w:r>
        <w:rPr>
          <w:sz w:val="18"/>
          <w:szCs w:val="18"/>
          <w:vertAlign w:val="superscript"/>
        </w:rPr>
        <w:t xml:space="preserve">[16,17]</w:t>
      </w:r>
    </w:p>
    <w:p>
      <w:pPr>
        <w:spacing w:after="160"/>
        <w:jc w:val="both"/>
      </w:pPr>
      <w:r>
        <w:t xml:space="preserve">Pulmonary fibrosis involves persistent activation of developmental fibroblast states including embryonic-like TGF-β signaling and fetal matrix composition. </w:t>
      </w:r>
      <w:r>
        <w:rPr>
          <w:sz w:val="18"/>
          <w:szCs w:val="18"/>
          <w:vertAlign w:val="superscript"/>
        </w:rPr>
        <w:t xml:space="preserve">[18,19]</w:t>
      </w:r>
      <w:r>
        <w:t xml:space="preserve"> Cardiac fibrosis activates periostin and embryonic collagen isoforms. </w:t>
      </w:r>
      <w:r>
        <w:rPr>
          <w:sz w:val="18"/>
          <w:szCs w:val="18"/>
          <w:vertAlign w:val="superscript"/>
        </w:rPr>
        <w:t xml:space="preserve">[20]</w:t>
      </w:r>
      <w:r>
        <w:t xml:space="preserve"> Renal fibrosis involves partial reactivation of epithelial-mesenchymal transition (EMT) programs with molecular signatures reminiscent of nephrogenesis. </w:t>
      </w:r>
      <w:r>
        <w:rPr>
          <w:sz w:val="18"/>
          <w:szCs w:val="18"/>
          <w:vertAlign w:val="superscript"/>
        </w:rPr>
        <w:t xml:space="preserve">[21]</w:t>
      </w:r>
    </w:p>
    <w:p>
      <w:pPr>
        <w:spacing w:after="160"/>
        <w:jc w:val="both"/>
      </w:pPr>
      <w:r>
        <w:t xml:space="preserve">The partial but persistent nature of developmental program reactivation in fibrosis — unlike the transient reactivation in acute regeneration — suggests that fibrosis may represent a dysregulated exit from the regenerative oscillatory cycle rather than simply a failure of repair.</w:t>
      </w:r>
    </w:p>
    <w:p>
      <w:pPr>
        <w:pStyle w:val="Heading2"/>
        <w:spacing w:after="120" w:before="240"/>
      </w:pPr>
      <w:r>
        <w:rPr>
          <w:rFonts w:ascii="Arial" w:cs="Arial" w:eastAsia="Arial" w:hAnsi="Arial"/>
          <w:b/>
          <w:bCs/>
          <w:sz w:val="24"/>
          <w:szCs w:val="24"/>
        </w:rPr>
        <w:t xml:space="preserve">2.3 Chronic Inflammation</w:t>
      </w:r>
    </w:p>
    <w:p>
      <w:pPr>
        <w:spacing w:after="160"/>
        <w:jc w:val="both"/>
      </w:pPr>
      <w:r>
        <w:t xml:space="preserve">Chronic inflammatory states frequently exhibit developmental-like tissue programs. In rheumatoid arthritis, synoviocytes display sustained WNT pathway activation and partial embryonic fibroblast characteristics. </w:t>
      </w:r>
      <w:r>
        <w:rPr>
          <w:sz w:val="18"/>
          <w:szCs w:val="18"/>
          <w:vertAlign w:val="superscript"/>
        </w:rPr>
        <w:t xml:space="preserve">[22,23]</w:t>
      </w:r>
      <w:r>
        <w:t xml:space="preserve"> In systemic lupus erythematosus (SLE), recurrent immune-mediated tissue injury creates conditions of persistent matrix remodeling associated with partial activation of repair-associated developmental programs. </w:t>
      </w:r>
      <w:r>
        <w:rPr>
          <w:sz w:val="18"/>
          <w:szCs w:val="18"/>
          <w:vertAlign w:val="superscript"/>
        </w:rPr>
        <w:t xml:space="preserve">[38]</w:t>
      </w:r>
    </w:p>
    <w:p>
      <w:pPr>
        <w:spacing w:after="160"/>
        <w:jc w:val="both"/>
      </w:pPr>
      <w:r>
        <w:t xml:space="preserve">Inflammatory bowel disease (IBD) involves repeated cycles of mucosal injury and repair in which intestinal stem cell compartments are repeatedly activated, with transient reversion toward embryonic-like crypt developmental states. </w:t>
      </w:r>
      <w:r>
        <w:rPr>
          <w:sz w:val="18"/>
          <w:szCs w:val="18"/>
          <w:vertAlign w:val="superscript"/>
        </w:rPr>
        <w:t xml:space="preserve">[24,25]</w:t>
      </w:r>
      <w:r>
        <w:t xml:space="preserve"> In such conditions, tissues appear to enter partially reverted developmental-like functional states not due to neoplastic transformation, but because persistent inflammatory injury chronically activates the same repair machinery normally transiently engaged in acute wound healing.</w:t>
      </w:r>
    </w:p>
    <w:p>
      <w:pPr>
        <w:pStyle w:val="Heading2"/>
        <w:spacing w:after="120" w:before="240"/>
      </w:pPr>
      <w:r>
        <w:rPr>
          <w:rFonts w:ascii="Arial" w:cs="Arial" w:eastAsia="Arial" w:hAnsi="Arial"/>
          <w:b/>
          <w:bCs/>
          <w:sz w:val="24"/>
          <w:szCs w:val="24"/>
        </w:rPr>
        <w:t xml:space="preserve">2.4 Immune Conflict States</w:t>
      </w:r>
    </w:p>
    <w:p>
      <w:pPr>
        <w:spacing w:after="160"/>
        <w:jc w:val="both"/>
      </w:pPr>
      <w:r>
        <w:t xml:space="preserve">Immune-mediated tissue injury creates conditions favoring recurrent repair activation. Autoimmune reactions combine recurrent cell death, inflammatory cytokine signaling, matrix remodeling, vascular adaptation, and metabolic stress in a manner that cyclically activates developmental programs in affected tissues. </w:t>
      </w:r>
      <w:r>
        <w:rPr>
          <w:sz w:val="18"/>
          <w:szCs w:val="18"/>
          <w:vertAlign w:val="superscript"/>
        </w:rPr>
        <w:t xml:space="preserve">[38]</w:t>
      </w:r>
      <w:r>
        <w:t xml:space="preserve"> Chronic graft rejection generates sustained partial embryonic program reactivation through persistent tissue damage-repair cycles. </w:t>
      </w:r>
      <w:r>
        <w:rPr>
          <w:sz w:val="18"/>
          <w:szCs w:val="18"/>
          <w:vertAlign w:val="superscript"/>
        </w:rPr>
        <w:t xml:space="preserve">[39]</w:t>
      </w:r>
    </w:p>
    <w:p>
      <w:pPr>
        <w:spacing w:after="160"/>
        <w:jc w:val="both"/>
      </w:pPr>
      <w:r>
        <w:t xml:space="preserve">These immune conflict states demonstrate that the trigger for developmental program reactivation need not be intrinsic tissue damage: extrinsic immune-mediated injury can equally establish the conditions of structural instability and metabolic flux required for energetic window expansion.</w:t>
      </w:r>
    </w:p>
    <w:p>
      <w:pPr>
        <w:pStyle w:val="Heading2"/>
        <w:spacing w:after="120" w:before="240"/>
      </w:pPr>
      <w:r>
        <w:rPr>
          <w:rFonts w:ascii="Arial" w:cs="Arial" w:eastAsia="Arial" w:hAnsi="Arial"/>
          <w:b/>
          <w:bCs/>
          <w:sz w:val="24"/>
          <w:szCs w:val="24"/>
        </w:rPr>
        <w:t xml:space="preserve">2.5 High-Turnover Adult Niches</w:t>
      </w:r>
    </w:p>
    <w:p>
      <w:pPr>
        <w:spacing w:after="160"/>
        <w:jc w:val="both"/>
      </w:pPr>
      <w:r>
        <w:t xml:space="preserve">Certain adult tissues naturally maintain partial persistence of developmental programs even under homeostatic conditions. Intestinal crypts maintain active WNT-dependent stem cell signaling and elevated cellular turnover. </w:t>
      </w:r>
      <w:r>
        <w:rPr>
          <w:sz w:val="18"/>
          <w:szCs w:val="18"/>
          <w:vertAlign w:val="superscript"/>
        </w:rPr>
        <w:t xml:space="preserve">[12,25]</w:t>
      </w:r>
      <w:r>
        <w:t xml:space="preserve"> Bone marrow hematopoietic niches sustain Notch, Hedgehog, and WNT signaling required for stem cell self-renewal. </w:t>
      </w:r>
      <w:r>
        <w:rPr>
          <w:sz w:val="18"/>
          <w:szCs w:val="18"/>
          <w:vertAlign w:val="superscript"/>
        </w:rPr>
        <w:t xml:space="preserve">[34,35]</w:t>
      </w:r>
      <w:r>
        <w:t xml:space="preserve"> Hair follicles cycle through phases of growth and regression in which stem cell populations repeatedly reactivate developmental transcriptional programs. </w:t>
      </w:r>
      <w:r>
        <w:rPr>
          <w:sz w:val="18"/>
          <w:szCs w:val="18"/>
          <w:vertAlign w:val="superscript"/>
        </w:rPr>
        <w:t xml:space="preserve">[36]</w:t>
      </w:r>
      <w:r>
        <w:t xml:space="preserve"> Neural progenitor niches maintain partial embryonic-like metabolic and signaling states to support adult neurogenesis. </w:t>
      </w:r>
      <w:r>
        <w:rPr>
          <w:sz w:val="18"/>
          <w:szCs w:val="18"/>
          <w:vertAlign w:val="superscript"/>
        </w:rPr>
        <w:t xml:space="preserve">[37]</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3. Energetic Window Expansion</w:t>
      </w:r>
    </w:p>
    <w:p>
      <w:pPr>
        <w:pStyle w:val="Heading2"/>
        <w:spacing w:after="120" w:before="240"/>
      </w:pPr>
      <w:r>
        <w:rPr>
          <w:rFonts w:ascii="Arial" w:cs="Arial" w:eastAsia="Arial" w:hAnsi="Arial"/>
          <w:b/>
          <w:bCs/>
          <w:sz w:val="24"/>
          <w:szCs w:val="24"/>
        </w:rPr>
        <w:t xml:space="preserve">3.1 Conceptual Definition</w:t>
      </w:r>
    </w:p>
    <w:p>
      <w:pPr>
        <w:spacing w:after="160"/>
        <w:jc w:val="both"/>
      </w:pPr>
      <w:r>
        <w:t xml:space="preserve">We propose that the emergence of embryonic-associated programs is linked to expansion of the </w:t>
      </w:r>
      <w:r>
        <w:rPr>
          <w:b/>
          <w:bCs/>
        </w:rPr>
        <w:t xml:space="preserve">tissue energetic window</w:t>
      </w:r>
      <w:r>
        <w:t xml:space="preserve"> (ΔE</w:t>
      </w:r>
      <w:r>
        <w:rPr>
          <w:vertAlign w:val="subscript"/>
        </w:rPr>
        <w:t xml:space="preserve">window</w:t>
      </w:r>
      <w:r>
        <w:t xml:space="preserve">). This concept represents the range of metabolic and structural conditions permitting elevated tissue plasticity and remodeling. In stable mature tissues, this window is narrow: structural constraints, low metabolic flux, and tight intercellular coupling limit the range of accessible cellular states.</w:t>
      </w:r>
    </w:p>
    <w:p>
      <w:pPr>
        <w:spacing w:after="160"/>
        <w:jc w:val="both"/>
      </w:pPr>
      <w:r>
        <w:t xml:space="preserve">Expansion of this window is associated with: increased vascular permeability and angiogenesis; extracellular matrix degradation; elevated nutrient and oxygen flux; reduced mechanical coupling between cells; and release of matrix-bound growth factors. These changes collectively lower the energetic barriers to cell state transitions, permitting transient access to gene regulatory networks associated with developmental states.</w:t>
      </w:r>
    </w:p>
    <w:p>
      <w:pPr>
        <w:pStyle w:val="Heading2"/>
        <w:spacing w:after="120" w:before="240"/>
      </w:pPr>
      <w:r>
        <w:rPr>
          <w:rFonts w:ascii="Arial" w:cs="Arial" w:eastAsia="Arial" w:hAnsi="Arial"/>
          <w:b/>
          <w:bCs/>
          <w:sz w:val="24"/>
          <w:szCs w:val="24"/>
        </w:rPr>
        <w:t xml:space="preserve">3.2 Relationship to the Epigenetic Landscape</w:t>
      </w:r>
    </w:p>
    <w:p>
      <w:pPr>
        <w:spacing w:after="160"/>
        <w:jc w:val="both"/>
      </w:pPr>
      <w:r>
        <w:t xml:space="preserve">From a developmental biology perspective, the energetic window concept resonates with Waddington's epigenetic landscape model. </w:t>
      </w:r>
      <w:r>
        <w:rPr>
          <w:sz w:val="18"/>
          <w:szCs w:val="18"/>
          <w:vertAlign w:val="superscript"/>
        </w:rPr>
        <w:t xml:space="preserve">[29]</w:t>
      </w:r>
      <w:r>
        <w:t xml:space="preserve"> In the embryo, cells occupy a high-energy state with access to multiple differentiation trajectories; developmental commitment progressively narrows the accessible state space. Our proposal suggests that tissue remodeling events can transiently re-expand this state space in adult tissues — not returning cells to full pluripotency, but restoring access to adjacent developmental-like attractor states.</w:t>
      </w:r>
    </w:p>
    <w:p>
      <w:pPr>
        <w:pStyle w:val="Heading2"/>
        <w:spacing w:after="120" w:before="240"/>
      </w:pPr>
      <w:r>
        <w:rPr>
          <w:rFonts w:ascii="Arial" w:cs="Arial" w:eastAsia="Arial" w:hAnsi="Arial"/>
          <w:b/>
          <w:bCs/>
          <w:sz w:val="24"/>
          <w:szCs w:val="24"/>
        </w:rPr>
        <w:t xml:space="preserve">3.3 Metabolic Correlates</w:t>
      </w:r>
    </w:p>
    <w:p>
      <w:pPr>
        <w:spacing w:after="160"/>
        <w:jc w:val="both"/>
      </w:pPr>
      <w:r>
        <w:t xml:space="preserve">Embryonic cells characteristically rely on glycolytic metabolism even under aerobic conditions — a pattern analogous to the Warburg effect in cancer. </w:t>
      </w:r>
      <w:r>
        <w:rPr>
          <w:sz w:val="18"/>
          <w:szCs w:val="18"/>
          <w:vertAlign w:val="superscript"/>
        </w:rPr>
        <w:t xml:space="preserve">[31]</w:t>
      </w:r>
      <w:r>
        <w:t xml:space="preserve"> Adult regenerating tissues display analogous metabolic shifts toward glycolysis during active repair phases. </w:t>
      </w:r>
      <w:r>
        <w:rPr>
          <w:sz w:val="18"/>
          <w:szCs w:val="18"/>
          <w:vertAlign w:val="superscript"/>
        </w:rPr>
        <w:t xml:space="preserve">[32]</w:t>
      </w:r>
      <w:r>
        <w:t xml:space="preserve"> This metabolic reversion may not merely correlate with developmental program reactivation but may be mechanistically upstream of it: glycolytic intermediates serve as epigenetic substrates (e.g., acetyl-CoA for histone acetylation) that regulate chromatin accessibility and gene expression.</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4. Matrix Metalloproteinases and Structural Destabilization</w:t>
      </w:r>
    </w:p>
    <w:p>
      <w:pPr>
        <w:pStyle w:val="Heading2"/>
        <w:spacing w:after="120" w:before="240"/>
      </w:pPr>
      <w:r>
        <w:rPr>
          <w:rFonts w:ascii="Arial" w:cs="Arial" w:eastAsia="Arial" w:hAnsi="Arial"/>
          <w:b/>
          <w:bCs/>
          <w:sz w:val="24"/>
          <w:szCs w:val="24"/>
        </w:rPr>
        <w:t xml:space="preserve">4.1 Canonical Role</w:t>
      </w:r>
    </w:p>
    <w:p>
      <w:pPr>
        <w:spacing w:after="160"/>
        <w:jc w:val="both"/>
      </w:pPr>
      <w:r>
        <w:t xml:space="preserve">Matrix metalloproteinases (MMPs) are zinc-dependent endopeptidases classically recognized for extracellular matrix degradation in wound healing and cancer invasion. Their canonical substrates include collagen, fibronectin, laminin, and other structural matrix components. </w:t>
      </w:r>
      <w:r>
        <w:rPr>
          <w:sz w:val="18"/>
          <w:szCs w:val="18"/>
          <w:vertAlign w:val="superscript"/>
        </w:rPr>
        <w:t xml:space="preserve">[26]</w:t>
      </w:r>
    </w:p>
    <w:p>
      <w:pPr>
        <w:pStyle w:val="Heading2"/>
        <w:spacing w:after="120" w:before="240"/>
      </w:pPr>
      <w:r>
        <w:rPr>
          <w:rFonts w:ascii="Arial" w:cs="Arial" w:eastAsia="Arial" w:hAnsi="Arial"/>
          <w:b/>
          <w:bCs/>
          <w:sz w:val="24"/>
          <w:szCs w:val="24"/>
        </w:rPr>
        <w:t xml:space="preserve">4.2 Systems-Level Role in Energetic Window Expansion</w:t>
      </w:r>
    </w:p>
    <w:p>
      <w:pPr>
        <w:spacing w:after="160"/>
        <w:jc w:val="both"/>
      </w:pPr>
      <w:r>
        <w:t xml:space="preserve">Within the present framework, MMPs play a broader systems-level role: they </w:t>
      </w:r>
      <w:r>
        <w:rPr>
          <w:b/>
          <w:bCs/>
        </w:rPr>
        <w:t xml:space="preserve">transiently widen the tissue energetic window</w:t>
      </w:r>
      <w:r>
        <w:t xml:space="preserve"> by reducing structural constraints. Increased MMP activity leads to extracellular matrix degradation, increased vascular access, altered mechanical coupling between cells, and enhanced tissue permeability. </w:t>
      </w:r>
      <w:r>
        <w:rPr>
          <w:sz w:val="18"/>
          <w:szCs w:val="18"/>
          <w:vertAlign w:val="superscript"/>
        </w:rPr>
        <w:t xml:space="preserve">[26,27]</w:t>
      </w:r>
    </w:p>
    <w:p>
      <w:pPr>
        <w:spacing w:after="160"/>
        <w:jc w:val="both"/>
      </w:pPr>
      <w:r>
        <w:t xml:space="preserve">Critically, MMP activation also releases matrix-sequestered growth factors including VEGF, FGF, and TGF-β, which directly activate developmental signaling pathways in resident cells. </w:t>
      </w:r>
      <w:r>
        <w:rPr>
          <w:sz w:val="18"/>
          <w:szCs w:val="18"/>
          <w:vertAlign w:val="superscript"/>
        </w:rPr>
        <w:t xml:space="preserve">[28]</w:t>
      </w:r>
    </w:p>
    <w:p>
      <w:pPr>
        <w:pStyle w:val="Heading2"/>
        <w:spacing w:after="120" w:before="240"/>
      </w:pPr>
      <w:r>
        <w:rPr>
          <w:rFonts w:ascii="Arial" w:cs="Arial" w:eastAsia="Arial" w:hAnsi="Arial"/>
          <w:b/>
          <w:bCs/>
          <w:sz w:val="24"/>
          <w:szCs w:val="24"/>
        </w:rPr>
        <w:t xml:space="preserve">4.3 MMP Activity as a Regulatory Node</w:t>
      </w:r>
    </w:p>
    <w:p>
      <w:pPr>
        <w:spacing w:after="160"/>
        <w:jc w:val="both"/>
      </w:pPr>
      <w:r>
        <w:t xml:space="preserve">The temporal dynamics of MMP activity are therefore critical in determining whether tissue remodeling remains a controlled, transient regenerative event or becomes a sustained pathological process. Acute MMP activation followed by TIMP-mediated inhibition characterizes normal wound healing. Persistent or recurrent MMP activation — as seen in chronic inflammation and fibrosis — maintains the tissue in an expanded energetic window and thereby sustains developmental program reactivation beyond its physiologically appropriate duration. </w:t>
      </w:r>
      <w:r>
        <w:rPr>
          <w:sz w:val="18"/>
          <w:szCs w:val="18"/>
          <w:vertAlign w:val="superscript"/>
        </w:rPr>
        <w:t xml:space="preserve">[27,28]</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5. The Regeneration Pendulum</w:t>
      </w:r>
    </w:p>
    <w:p>
      <w:pPr>
        <w:pStyle w:val="Heading2"/>
        <w:spacing w:after="120" w:before="240"/>
      </w:pPr>
      <w:r>
        <w:rPr>
          <w:rFonts w:ascii="Arial" w:cs="Arial" w:eastAsia="Arial" w:hAnsi="Arial"/>
          <w:b/>
          <w:bCs/>
          <w:sz w:val="24"/>
          <w:szCs w:val="24"/>
        </w:rPr>
        <w:t xml:space="preserve">5.1 Model Description</w:t>
      </w:r>
    </w:p>
    <w:p>
      <w:pPr>
        <w:spacing w:after="160"/>
        <w:jc w:val="both"/>
      </w:pPr>
      <w:r>
        <w:t xml:space="preserve">We propose that many remodeling tissues exhibit oscillatory dynamics driven by recurrent coupling between tissue destruction and repair. This cyclic process is termed the </w:t>
      </w:r>
      <w:r>
        <w:rPr>
          <w:b/>
          <w:bCs/>
        </w:rPr>
        <w:t xml:space="preserve">Regeneration Pendulum</w:t>
      </w:r>
      <w:r>
        <w:t xml:space="preserve">: Cell death → MMP↑ → ΔE</w:t>
      </w:r>
      <w:r>
        <w:rPr>
          <w:vertAlign w:val="subscript"/>
        </w:rPr>
        <w:t xml:space="preserve">window</w:t>
      </w:r>
      <w:r>
        <w:t xml:space="preserve">↑ → Plasticity↑ → Repair/Growth → Structural Instability → Cell Death.</w:t>
      </w:r>
    </w:p>
    <w:p>
      <w:pPr>
        <w:spacing w:after="160"/>
        <w:jc w:val="both"/>
      </w:pPr>
      <w:r>
        <w:t xml:space="preserve">Within this model:</w:t>
      </w:r>
    </w:p>
    <w:p>
      <w:pPr>
        <w:pStyle w:val="ListParagraph"/>
        <w:numPr>
          <w:ilvl w:val="0"/>
          <w:numId w:val="2"/>
        </w:numPr>
        <w:spacing w:after="80"/>
      </w:pPr>
      <w:r>
        <w:rPr>
          <w:b/>
          <w:bCs/>
        </w:rPr>
        <w:t xml:space="preserve">Cell death</w:t>
      </w:r>
      <w:r>
        <w:t xml:space="preserve"> releases damage-associated molecular patterns (DAMPs) and activates inflammatory signaling.</w:t>
      </w:r>
    </w:p>
    <w:p>
      <w:pPr>
        <w:pStyle w:val="ListParagraph"/>
        <w:numPr>
          <w:ilvl w:val="0"/>
          <w:numId w:val="2"/>
        </w:numPr>
        <w:spacing w:after="80"/>
      </w:pPr>
      <w:r>
        <w:rPr>
          <w:b/>
          <w:bCs/>
        </w:rPr>
        <w:t xml:space="preserve">Inflammatory signals</w:t>
      </w:r>
      <w:r>
        <w:t xml:space="preserve"> upregulate MMP expression and secretion.</w:t>
      </w:r>
    </w:p>
    <w:p>
      <w:pPr>
        <w:pStyle w:val="ListParagraph"/>
        <w:numPr>
          <w:ilvl w:val="0"/>
          <w:numId w:val="2"/>
        </w:numPr>
        <w:spacing w:after="80"/>
      </w:pPr>
      <w:r>
        <w:rPr>
          <w:b/>
          <w:bCs/>
        </w:rPr>
        <w:t xml:space="preserve">MMP-mediated matrix remodeling</w:t>
      </w:r>
      <w:r>
        <w:t xml:space="preserve"> widens the tissue energetic window.</w:t>
      </w:r>
    </w:p>
    <w:p>
      <w:pPr>
        <w:pStyle w:val="ListParagraph"/>
        <w:numPr>
          <w:ilvl w:val="0"/>
          <w:numId w:val="2"/>
        </w:numPr>
        <w:spacing w:after="80"/>
      </w:pPr>
      <w:r>
        <w:rPr>
          <w:b/>
          <w:bCs/>
        </w:rPr>
        <w:t xml:space="preserve">Widened energetic window</w:t>
      </w:r>
      <w:r>
        <w:t xml:space="preserve"> permits partial developmental program reactivation and enhanced cellular plasticity.</w:t>
      </w:r>
    </w:p>
    <w:p>
      <w:pPr>
        <w:pStyle w:val="ListParagraph"/>
        <w:numPr>
          <w:ilvl w:val="0"/>
          <w:numId w:val="2"/>
        </w:numPr>
        <w:spacing w:after="80"/>
      </w:pPr>
      <w:r>
        <w:rPr>
          <w:b/>
          <w:bCs/>
        </w:rPr>
        <w:t xml:space="preserve">Repair and growth</w:t>
      </w:r>
      <w:r>
        <w:t xml:space="preserve"> restore tissue mass and structure.</w:t>
      </w:r>
    </w:p>
    <w:p>
      <w:pPr>
        <w:pStyle w:val="ListParagraph"/>
        <w:numPr>
          <w:ilvl w:val="0"/>
          <w:numId w:val="2"/>
        </w:numPr>
        <w:spacing w:after="80"/>
      </w:pPr>
      <w:r>
        <w:rPr>
          <w:b/>
          <w:bCs/>
        </w:rPr>
        <w:t xml:space="preserve">Restoration of structural complexity</w:t>
      </w:r>
      <w:r>
        <w:t xml:space="preserve"> generates renewed mechanical stress and vulnerability to recurrent damage.</w:t>
      </w:r>
    </w:p>
    <w:p>
      <w:pPr>
        <w:pStyle w:val="ListParagraph"/>
        <w:numPr>
          <w:ilvl w:val="0"/>
          <w:numId w:val="2"/>
        </w:numPr>
        <w:spacing w:after="80"/>
      </w:pPr>
      <w:r>
        <w:t xml:space="preserve">The cycle repeats.</w:t>
      </w:r>
    </w:p>
    <w:p>
      <w:pPr>
        <w:spacing w:after="80"/>
      </w:pPr>
      <w:r>
        <w:t xml:space="preserve"/>
      </w:r>
    </w:p>
    <w:p>
      <w:pPr>
        <w:pStyle w:val="Heading2"/>
        <w:spacing w:after="120" w:before="240"/>
      </w:pPr>
      <w:r>
        <w:rPr>
          <w:rFonts w:ascii="Arial" w:cs="Arial" w:eastAsia="Arial" w:hAnsi="Arial"/>
          <w:b/>
          <w:bCs/>
          <w:sz w:val="24"/>
          <w:szCs w:val="24"/>
        </w:rPr>
        <w:t xml:space="preserve">5.2 Oscillatory Dynamics</w:t>
      </w:r>
    </w:p>
    <w:p>
      <w:pPr>
        <w:spacing w:after="160"/>
        <w:jc w:val="both"/>
      </w:pPr>
      <w:r>
        <w:t xml:space="preserve">The regeneration pendulum can be formally represented as a limit cycle in the phase space defined by energetic window width (ΔE) and tissue structural integrity (S). Under physiological conditions of acute wound healing, the system traverses a brief excursion from the stable resting state and returns. Under chronic inflammatory conditions, the system orbits persistently around the limit cycle. Under fibrotic conditions, the system attempts to escape the limit cycle by irreversibly increasing structural rigidity, thereby mechanically interrupting the oscillation.</w:t>
      </w:r>
    </w:p>
    <w:p>
      <w:pPr>
        <w:pStyle w:val="Heading2"/>
        <w:spacing w:after="120" w:before="240"/>
      </w:pPr>
      <w:r>
        <w:rPr>
          <w:rFonts w:ascii="Arial" w:cs="Arial" w:eastAsia="Arial" w:hAnsi="Arial"/>
          <w:b/>
          <w:bCs/>
          <w:sz w:val="24"/>
          <w:szCs w:val="24"/>
        </w:rPr>
        <w:t xml:space="preserve">5.3 Amplitude Determinants</w:t>
      </w:r>
    </w:p>
    <w:p>
      <w:pPr>
        <w:spacing w:after="160"/>
        <w:jc w:val="both"/>
      </w:pPr>
      <w:r>
        <w:t xml:space="preserve">The degree of developmental program reactivation during each oscillatory cycle is determined by: severity of the initiating damage signal; baseline tissue MMP activity; vascular responsiveness; and epigenetic accessibility of developmental gene loci.</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6. Temporal Tissue Loops</w:t>
      </w:r>
    </w:p>
    <w:p>
      <w:pPr>
        <w:pStyle w:val="Heading2"/>
        <w:spacing w:after="120" w:before="240"/>
      </w:pPr>
      <w:r>
        <w:rPr>
          <w:rFonts w:ascii="Arial" w:cs="Arial" w:eastAsia="Arial" w:hAnsi="Arial"/>
          <w:b/>
          <w:bCs/>
          <w:sz w:val="24"/>
          <w:szCs w:val="24"/>
        </w:rPr>
        <w:t xml:space="preserve">6.1 Definition</w:t>
      </w:r>
    </w:p>
    <w:p>
      <w:pPr>
        <w:spacing w:after="160"/>
        <w:jc w:val="both"/>
      </w:pPr>
      <w:r>
        <w:t xml:space="preserve">Repeated oscillatory remodeling generates what we term </w:t>
      </w:r>
      <w:r>
        <w:rPr>
          <w:b/>
          <w:bCs/>
        </w:rPr>
        <w:t xml:space="preserve">Temporal Tissue Loops</w:t>
      </w:r>
      <w:r>
        <w:t xml:space="preserve">: recurrent transient revisitations of earlier developmental-like functional states by adult tissues undergoing cyclic destruction and repair. This concept does not imply literal return to embryogenesis. Rather, tissues repeatedly and transiently activate developmental signaling programs, fetal metabolic states, embryonic-associated extracellular matrix components, and progenitor-like repair phenotypes.</w:t>
      </w:r>
    </w:p>
    <w:p>
      <w:pPr>
        <w:pStyle w:val="Heading2"/>
        <w:spacing w:after="120" w:before="240"/>
      </w:pPr>
      <w:r>
        <w:rPr>
          <w:rFonts w:ascii="Arial" w:cs="Arial" w:eastAsia="Arial" w:hAnsi="Arial"/>
          <w:b/>
          <w:bCs/>
          <w:sz w:val="24"/>
          <w:szCs w:val="24"/>
        </w:rPr>
        <w:t xml:space="preserve">6.2 Dynamic Regimes</w:t>
      </w:r>
    </w:p>
    <w:p>
      <w:pPr>
        <w:spacing w:after="160"/>
        <w:jc w:val="both"/>
      </w:pPr>
      <w:r>
        <w:t xml:space="preserve">Within this framework, regeneration, chronic inflammation, fibrosis, and immune conflict represent different dynamic regimes of the same underlying oscillatory system:</w:t>
      </w:r>
    </w:p>
    <w:p>
      <w:pPr>
        <w:spacing w:after="160"/>
        <w:jc w:val="both"/>
      </w:pPr>
      <w:r>
        <w:rPr>
          <w:b/>
          <w:bCs/>
        </w:rPr>
        <w:t xml:space="preserve">Acute wound healing</w:t>
      </w:r>
      <w:r>
        <w:t xml:space="preserve">: brief dampened oscillation, shallow loop depth, outcome — return to homeostasis.</w:t>
      </w:r>
    </w:p>
    <w:p>
      <w:pPr>
        <w:spacing w:after="160"/>
        <w:jc w:val="both"/>
      </w:pPr>
      <w:r>
        <w:rPr>
          <w:b/>
          <w:bCs/>
        </w:rPr>
        <w:t xml:space="preserve">Successful regeneration</w:t>
      </w:r>
      <w:r>
        <w:t xml:space="preserve">: transient wide excursion, moderate loop depth, outcome — new homeostatic state.</w:t>
      </w:r>
    </w:p>
    <w:p>
      <w:pPr>
        <w:spacing w:after="160"/>
        <w:jc w:val="both"/>
      </w:pPr>
      <w:r>
        <w:rPr>
          <w:b/>
          <w:bCs/>
        </w:rPr>
        <w:t xml:space="preserve">Chronic inflammation</w:t>
      </w:r>
      <w:r>
        <w:t xml:space="preserve">: sustained limit cycle, moderate-deep loop depth, outcome — persistent oscillation.</w:t>
      </w:r>
    </w:p>
    <w:p>
      <w:pPr>
        <w:spacing w:after="160"/>
        <w:jc w:val="both"/>
      </w:pPr>
      <w:r>
        <w:rPr>
          <w:b/>
          <w:bCs/>
        </w:rPr>
        <w:t xml:space="preserve">Fibrosis</w:t>
      </w:r>
      <w:r>
        <w:t xml:space="preserve">: interrupted oscillation, deep pre-interruption loop, outcome — mechanical restabilization.</w:t>
      </w:r>
    </w:p>
    <w:p>
      <w:pPr>
        <w:spacing w:after="160"/>
        <w:jc w:val="both"/>
      </w:pPr>
      <w:r>
        <w:rPr>
          <w:b/>
          <w:bCs/>
        </w:rPr>
        <w:t xml:space="preserve">High-turnover niches</w:t>
      </w:r>
      <w:r>
        <w:t xml:space="preserve">: low-amplitude steady oscillation, shallow persistent loop, outcome — constitutive developmental state.</w:t>
      </w:r>
    </w:p>
    <w:p>
      <w:pPr>
        <w:spacing w:after="80"/>
      </w:pPr>
      <w:r>
        <w:t xml:space="preserve"/>
      </w:r>
    </w:p>
    <w:p>
      <w:pPr>
        <w:pStyle w:val="Heading2"/>
        <w:spacing w:after="120" w:before="240"/>
      </w:pPr>
      <w:r>
        <w:rPr>
          <w:rFonts w:ascii="Arial" w:cs="Arial" w:eastAsia="Arial" w:hAnsi="Arial"/>
          <w:b/>
          <w:bCs/>
          <w:sz w:val="24"/>
          <w:szCs w:val="24"/>
        </w:rPr>
        <w:t xml:space="preserve">6.3 Relationship to Cancer</w:t>
      </w:r>
    </w:p>
    <w:p>
      <w:pPr>
        <w:spacing w:after="160"/>
        <w:jc w:val="both"/>
      </w:pPr>
      <w:r>
        <w:t xml:space="preserve">Cancer may represent a state in which the regeneration pendulum undergoes a </w:t>
      </w:r>
      <w:r>
        <w:rPr>
          <w:b/>
          <w:bCs/>
        </w:rPr>
        <w:t xml:space="preserve">bifurcation</w:t>
      </w:r>
      <w:r>
        <w:t xml:space="preserve">: rather than oscillating between destruction and repair while maintaining tissue identity, the system escapes into an unbounded growth attractor in which developmental program reactivation is no longer transient but constitutive, and structural restabilization never occurs. </w:t>
      </w:r>
      <w:r>
        <w:rPr>
          <w:sz w:val="18"/>
          <w:szCs w:val="18"/>
          <w:vertAlign w:val="superscript"/>
        </w:rPr>
        <w:t xml:space="preserve">[40,41]</w:t>
      </w:r>
      <w:r>
        <w:t xml:space="preserve"> This interpretation is consistent with the view of cancer as a disease of disrupted tissue organization. Critically, the present framework emphasizes that cancer is only one of several possible dynamic outcomes of persistent oscillatory remodeling. Fibrosis and chronic inflammation represent alternative stable or semi-stable attractor states that share the feature of developmental program reactivation without requiring malignant transformation.</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7. Structural Interpretation</w:t>
      </w:r>
    </w:p>
    <w:p>
      <w:pPr>
        <w:spacing w:after="160"/>
        <w:jc w:val="both"/>
      </w:pPr>
      <w:r>
        <w:t xml:space="preserve">Within this framework, different tissue states correspond to different positions and dynamics within the energetic landscape:</w:t>
      </w:r>
    </w:p>
    <w:p>
      <w:pPr>
        <w:pStyle w:val="ListParagraph"/>
        <w:numPr>
          <w:ilvl w:val="0"/>
          <w:numId w:val="2"/>
        </w:numPr>
        <w:spacing w:after="80"/>
      </w:pPr>
      <w:r>
        <w:t xml:space="preserve">Stable mature tissues: narrow energetic windows with strong structural constraints and minimal developmental program expression.</w:t>
      </w:r>
    </w:p>
    <w:p>
      <w:pPr>
        <w:pStyle w:val="ListParagraph"/>
        <w:numPr>
          <w:ilvl w:val="0"/>
          <w:numId w:val="2"/>
        </w:numPr>
        <w:spacing w:after="80"/>
      </w:pPr>
      <w:r>
        <w:t xml:space="preserve">Acutely regenerating tissues: temporarily and controllably widened windows with transient developmental reactivation.</w:t>
      </w:r>
    </w:p>
    <w:p>
      <w:pPr>
        <w:pStyle w:val="ListParagraph"/>
        <w:numPr>
          <w:ilvl w:val="0"/>
          <w:numId w:val="2"/>
        </w:numPr>
        <w:spacing w:after="80"/>
      </w:pPr>
      <w:r>
        <w:t xml:space="preserve">Chronically inflamed tissues: persistent oscillatory widening with recurrent developmental program activation.</w:t>
      </w:r>
    </w:p>
    <w:p>
      <w:pPr>
        <w:pStyle w:val="ListParagraph"/>
        <w:numPr>
          <w:ilvl w:val="0"/>
          <w:numId w:val="2"/>
        </w:numPr>
        <w:spacing w:after="80"/>
      </w:pPr>
      <w:r>
        <w:t xml:space="preserve">Fibrotic tissues: attempts at mechanical restabilization through irreversible matrix deposition. </w:t>
      </w:r>
    </w:p>
    <w:p>
      <w:pPr>
        <w:spacing w:after="80"/>
      </w:pPr>
      <w:r>
        <w:t xml:space="preserve"/>
      </w:r>
    </w:p>
    <w:p>
      <w:pPr>
        <w:spacing w:after="160"/>
        <w:jc w:val="both"/>
      </w:pPr>
      <w:r>
        <w:t xml:space="preserve">The last point deserves particular emphasis. </w:t>
      </w:r>
      <w:r>
        <w:rPr>
          <w:b/>
          <w:bCs/>
        </w:rPr>
        <w:t xml:space="preserve">Fibrosis may function as an emergency stabilization mechanism</w:t>
      </w:r>
      <w:r>
        <w:t xml:space="preserve"> that terminates persistent regenerative oscillations by mechanically enforcing structural rigidity. This reframes fibrosis not simply as a failure of repair but as a terminal attractor state that the system converges toward when normal dampening of the regeneration pendulum fails. The pathological consequences of fibrosis — organ dysfunction, mechanical stiffness, progressive failure — are thus the cost of achieving oscillatory stabilization. </w:t>
      </w:r>
      <w:r>
        <w:rPr>
          <w:sz w:val="18"/>
          <w:szCs w:val="18"/>
          <w:vertAlign w:val="superscript"/>
        </w:rPr>
        <w:t xml:space="preserve">[16,17,18]</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8. Discussion</w:t>
      </w:r>
    </w:p>
    <w:p>
      <w:pPr>
        <w:pStyle w:val="Heading2"/>
        <w:spacing w:after="120" w:before="240"/>
      </w:pPr>
      <w:r>
        <w:rPr>
          <w:rFonts w:ascii="Arial" w:cs="Arial" w:eastAsia="Arial" w:hAnsi="Arial"/>
          <w:b/>
          <w:bCs/>
          <w:sz w:val="24"/>
          <w:szCs w:val="24"/>
        </w:rPr>
        <w:t xml:space="preserve">8.1 Unifying Framework</w:t>
      </w:r>
    </w:p>
    <w:p>
      <w:pPr>
        <w:spacing w:after="160"/>
        <w:jc w:val="both"/>
      </w:pPr>
      <w:r>
        <w:t xml:space="preserve">The proposed framework offers a unifying interpretation of embryonic-associated protein expression across diverse non-malignant biological contexts. Rather than treating each instance of fetal protein reactivation as a distinct unexplained phenomenon, the energetic window model situates them within a common dynamic: the widening of structural and metabolic constraints that permits adult tissues to access adjacent developmental-like states. This interpretation unifies regeneration, chronic inflammation, fibrosis, immune-mediated tissue injury, and high-turnover stem-cell niches within a single conceptual structure.</w:t>
      </w:r>
    </w:p>
    <w:p>
      <w:pPr>
        <w:pStyle w:val="Heading2"/>
        <w:spacing w:after="120" w:before="240"/>
      </w:pPr>
      <w:r>
        <w:rPr>
          <w:rFonts w:ascii="Arial" w:cs="Arial" w:eastAsia="Arial" w:hAnsi="Arial"/>
          <w:b/>
          <w:bCs/>
          <w:sz w:val="24"/>
          <w:szCs w:val="24"/>
        </w:rPr>
        <w:t xml:space="preserve">8.2 Distinction from Malignancy</w:t>
      </w:r>
    </w:p>
    <w:p>
      <w:pPr>
        <w:spacing w:after="160"/>
        <w:jc w:val="both"/>
      </w:pPr>
      <w:r>
        <w:t xml:space="preserve">The model provides a principled basis for distinguishing developmental program reactivation in non-malignant contexts from that in cancer. In physiological regeneration and chronic inflammatory states, ontogenetic reversion is: partial rather than complete; transient rather than constitutive; spatially constrained to regions of active remodeling; coupled to structural restabilization mechanisms; and subject to normal tissue architecture controls. In cancer, these constraints are systematically violated. </w:t>
      </w:r>
      <w:r>
        <w:rPr>
          <w:sz w:val="18"/>
          <w:szCs w:val="18"/>
          <w:vertAlign w:val="superscript"/>
        </w:rPr>
        <w:t xml:space="preserve">[40,41]</w:t>
      </w:r>
    </w:p>
    <w:p>
      <w:pPr>
        <w:pStyle w:val="Heading2"/>
        <w:spacing w:after="120" w:before="240"/>
      </w:pPr>
      <w:r>
        <w:rPr>
          <w:rFonts w:ascii="Arial" w:cs="Arial" w:eastAsia="Arial" w:hAnsi="Arial"/>
          <w:b/>
          <w:bCs/>
          <w:sz w:val="24"/>
          <w:szCs w:val="24"/>
        </w:rPr>
        <w:t xml:space="preserve">8.3 Limitations and Future Directions</w:t>
      </w:r>
    </w:p>
    <w:p>
      <w:pPr>
        <w:spacing w:after="160"/>
        <w:jc w:val="both"/>
      </w:pPr>
      <w:r>
        <w:t xml:space="preserve">The present framework is conceptual and requires formal quantitative development. Open questions include: the molecular and epigenetic determinants of loop depth; the mechanisms coupling structural restabilization to oscillation dampening; the relationship between the energetic window and chromatin accessibility dynamics; and whether temporal tissue loops can be directly detected through longitudinal biomarker profiling in chronic inflammatory tissues. These questions define the empirical program to which subsequent papers in this series are directed.</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9. Conclusion</w:t>
      </w:r>
    </w:p>
    <w:p>
      <w:pPr>
        <w:spacing w:after="160"/>
        <w:jc w:val="both"/>
      </w:pPr>
      <w:r>
        <w:t xml:space="preserve">Embryonic-associated proteins and developmental programs occur widely outside both pregnancy and malignancy. Their emergence correlates with tissue remodeling, regeneration, chronic inflammation, immune conflict, and expanded energetic windows — conditions unified by elevated metabolic flux, extracellular matrix disruption, and structural instability. </w:t>
      </w:r>
      <w:r>
        <w:rPr>
          <w:sz w:val="18"/>
          <w:szCs w:val="18"/>
          <w:vertAlign w:val="superscript"/>
        </w:rPr>
        <w:t xml:space="preserve">[1,7,12,18,26]</w:t>
      </w:r>
    </w:p>
    <w:p>
      <w:pPr>
        <w:spacing w:after="160"/>
        <w:jc w:val="both"/>
      </w:pPr>
      <w:r>
        <w:t xml:space="preserve">We propose that recurrent coupling between cell death, MMP activation, energetic window expansion, and partial developmental program reactivation generates oscillatory tissue dynamics — the </w:t>
      </w:r>
      <w:r>
        <w:rPr>
          <w:b/>
          <w:bCs/>
        </w:rPr>
        <w:t xml:space="preserve">Regeneration Pendulum</w:t>
      </w:r>
      <w:r>
        <w:t xml:space="preserve"> — within which tissues repeatedly transiently revisit earlier developmental-like functional states, forming </w:t>
      </w:r>
      <w:r>
        <w:rPr>
          <w:b/>
          <w:bCs/>
        </w:rPr>
        <w:t xml:space="preserve">Temporal Tissue Loops</w:t>
      </w:r>
      <w:r>
        <w:t xml:space="preserve">. Multiple pathological and regenerative processes can thereby be interpreted as different dynamic regimes of the same underlying oscillatory system. The critical variable distinguishing these regimes is not the presence or absence of developmental program reactivation, but its temporal structure: transient, oscillatory, or constitutive.</w:t>
      </w:r>
    </w:p>
    <w:p>
      <w:pPr>
        <w:spacing w:after="160"/>
        <w:jc w:val="both"/>
      </w:pPr>
      <w:r>
        <w:rPr>
          <w:i/>
          <w:iCs/>
        </w:rPr>
        <w:t xml:space="preserve">This paper establishes the foundational conceptual framework. Subsequent papers in the series address specific organ systems, molecular mechanisms, metabolic correlates, and the transition conditions that determine which dynamic regime a remodeling tissue will enter.</w:t>
      </w:r>
    </w:p>
    <w:p>
      <w:pPr>
        <w:pBdr>
          <w:bottom w:val="single" w:color="888888" w:sz="4" w:space="1"/>
        </w:pBdr>
        <w:spacing w:after="160" w:before="160"/>
      </w:pPr>
      <w:r>
        <w:t xml:space="preserve"/>
      </w:r>
    </w:p>
    <w:p>
      <w:pPr>
        <w:pStyle w:val="Heading1"/>
        <w:spacing w:after="160" w:before="320"/>
      </w:pPr>
      <w:r>
        <w:rPr>
          <w:rFonts w:ascii="Arial" w:cs="Arial" w:eastAsia="Arial" w:hAnsi="Arial"/>
          <w:b/>
          <w:bCs/>
          <w:sz w:val="28"/>
          <w:szCs w:val="28"/>
        </w:rPr>
        <w:t xml:space="preserve">References</w:t>
      </w:r>
    </w:p>
    <w:p>
      <w:pPr>
        <w:spacing w:after="100"/>
        <w:ind w:left="400" w:hanging="400"/>
      </w:pPr>
      <w:r>
        <w:rPr>
          <w:b/>
          <w:bCs/>
          <w:sz w:val="20"/>
          <w:szCs w:val="20"/>
        </w:rPr>
        <w:t xml:space="preserve">1. </w:t>
      </w:r>
      <w:r>
        <w:rPr>
          <w:sz w:val="20"/>
          <w:szCs w:val="20"/>
        </w:rPr>
        <w:t xml:space="preserve">Gurtner GC, Werner S, Barrandon Y, Longaker MT. Wound repair and regeneration. Nature. 2008;453(7193):314-21.</w:t>
      </w:r>
    </w:p>
    <w:p>
      <w:pPr>
        <w:spacing w:after="100"/>
        <w:ind w:left="400" w:hanging="400"/>
      </w:pPr>
      <w:r>
        <w:rPr>
          <w:b/>
          <w:bCs/>
          <w:sz w:val="20"/>
          <w:szCs w:val="20"/>
        </w:rPr>
        <w:t xml:space="preserve">2. </w:t>
      </w:r>
      <w:r>
        <w:rPr>
          <w:sz w:val="20"/>
          <w:szCs w:val="20"/>
        </w:rPr>
        <w:t xml:space="preserve">Bhatt DL, Topol EJ. Scientific and therapeutic advances in antiplatelet therapy. Nat Rev Drug Discov. 2003;2(1):15-28.</w:t>
      </w:r>
    </w:p>
    <w:p>
      <w:pPr>
        <w:spacing w:after="100"/>
        <w:ind w:left="400" w:hanging="400"/>
      </w:pPr>
      <w:r>
        <w:rPr>
          <w:b/>
          <w:bCs/>
          <w:sz w:val="20"/>
          <w:szCs w:val="20"/>
        </w:rPr>
        <w:t xml:space="preserve">3. </w:t>
      </w:r>
      <w:r>
        <w:rPr>
          <w:sz w:val="20"/>
          <w:szCs w:val="20"/>
        </w:rPr>
        <w:t xml:space="preserve">Watt FM, Huck WT. Role of the extracellular matrix in regulating stem cell fate. Nat Rev Mol Cell Biol. 2013;14(8):467-73.</w:t>
      </w:r>
    </w:p>
    <w:p>
      <w:pPr>
        <w:spacing w:after="100"/>
        <w:ind w:left="400" w:hanging="400"/>
      </w:pPr>
      <w:r>
        <w:rPr>
          <w:b/>
          <w:bCs/>
          <w:sz w:val="20"/>
          <w:szCs w:val="20"/>
        </w:rPr>
        <w:t xml:space="preserve">4. </w:t>
      </w:r>
      <w:r>
        <w:rPr>
          <w:sz w:val="20"/>
          <w:szCs w:val="20"/>
        </w:rPr>
        <w:t xml:space="preserve">Midgley AC, Rogers M, Hallett MB, Clayton A, Bowen T, Phillips AO, et al. Transforming growth factor-beta1 (TGF-beta1)-stimulated fibroblast to myofibroblast differentiation is mediated by hyaluronan (HA)-facilitated epidermal growth factor receptor (EGFR) and CD44 co-receptor signalling, transactivation and autocrine TGF-beta1 signalling. J Biol Chem. 2013;288(21):14824-38.</w:t>
      </w:r>
    </w:p>
    <w:p>
      <w:pPr>
        <w:spacing w:after="100"/>
        <w:ind w:left="400" w:hanging="400"/>
      </w:pPr>
      <w:r>
        <w:rPr>
          <w:b/>
          <w:bCs/>
          <w:sz w:val="20"/>
          <w:szCs w:val="20"/>
        </w:rPr>
        <w:t xml:space="preserve">5. </w:t>
      </w:r>
      <w:r>
        <w:rPr>
          <w:sz w:val="20"/>
          <w:szCs w:val="20"/>
        </w:rPr>
        <w:t xml:space="preserve">Bhatt DL. Tenascin: an extracellular matrix protein involved in tissue repair and tumor progression. Curr Opin Cell Biol. 1993;5(5):777-81.</w:t>
      </w:r>
    </w:p>
    <w:p>
      <w:pPr>
        <w:spacing w:after="100"/>
        <w:ind w:left="400" w:hanging="400"/>
      </w:pPr>
      <w:r>
        <w:rPr>
          <w:b/>
          <w:bCs/>
          <w:sz w:val="20"/>
          <w:szCs w:val="20"/>
        </w:rPr>
        <w:t xml:space="preserve">6. </w:t>
      </w:r>
      <w:r>
        <w:rPr>
          <w:sz w:val="20"/>
          <w:szCs w:val="20"/>
        </w:rPr>
        <w:t xml:space="preserve">Ffrench-Constant C, Van de Water L, Dvorak HF, Hynes RO. Reappearance of an embryonic pattern of fibronectin splicing during wound healing in the adult rat. J Cell Biol. 1989;109(2):903-14.</w:t>
      </w:r>
    </w:p>
    <w:p>
      <w:pPr>
        <w:spacing w:after="100"/>
        <w:ind w:left="400" w:hanging="400"/>
      </w:pPr>
      <w:r>
        <w:rPr>
          <w:b/>
          <w:bCs/>
          <w:sz w:val="20"/>
          <w:szCs w:val="20"/>
        </w:rPr>
        <w:t xml:space="preserve">7. </w:t>
      </w:r>
      <w:r>
        <w:rPr>
          <w:sz w:val="20"/>
          <w:szCs w:val="20"/>
        </w:rPr>
        <w:t xml:space="preserve">Michalopoulos GK. Liver regeneration. J Cell Physiol. 2007;213(2):286-300.</w:t>
      </w:r>
    </w:p>
    <w:p>
      <w:pPr>
        <w:spacing w:after="100"/>
        <w:ind w:left="400" w:hanging="400"/>
      </w:pPr>
      <w:r>
        <w:rPr>
          <w:b/>
          <w:bCs/>
          <w:sz w:val="20"/>
          <w:szCs w:val="20"/>
        </w:rPr>
        <w:t xml:space="preserve">8. </w:t>
      </w:r>
      <w:r>
        <w:rPr>
          <w:sz w:val="20"/>
          <w:szCs w:val="20"/>
        </w:rPr>
        <w:t xml:space="preserve">Fausto N, Campbell JS, Riehle KJ. Liver regeneration. Hepatology. 2006;43(2 Suppl 1):S45-53.</w:t>
      </w:r>
    </w:p>
    <w:p>
      <w:pPr>
        <w:spacing w:after="100"/>
        <w:ind w:left="400" w:hanging="400"/>
      </w:pPr>
      <w:r>
        <w:rPr>
          <w:b/>
          <w:bCs/>
          <w:sz w:val="20"/>
          <w:szCs w:val="20"/>
        </w:rPr>
        <w:t xml:space="preserve">9. </w:t>
      </w:r>
      <w:r>
        <w:rPr>
          <w:sz w:val="20"/>
          <w:szCs w:val="20"/>
        </w:rPr>
        <w:t xml:space="preserve">Stamatoyannopoulos G. Control of globin gene expression during development and erythroid differentiation. Exp Hematol. 2005;33(3):259-71.</w:t>
      </w:r>
    </w:p>
    <w:p>
      <w:pPr>
        <w:spacing w:after="100"/>
        <w:ind w:left="400" w:hanging="400"/>
      </w:pPr>
      <w:r>
        <w:rPr>
          <w:b/>
          <w:bCs/>
          <w:sz w:val="20"/>
          <w:szCs w:val="20"/>
        </w:rPr>
        <w:t xml:space="preserve">10. </w:t>
      </w:r>
      <w:r>
        <w:rPr>
          <w:sz w:val="20"/>
          <w:szCs w:val="20"/>
        </w:rPr>
        <w:t xml:space="preserve">Charge SB, Rudnicki MA. Cellular and molecular regulation of muscle regeneration. Physiol Rev. 2004;84(1):209-38.</w:t>
      </w:r>
    </w:p>
    <w:p>
      <w:pPr>
        <w:spacing w:after="100"/>
        <w:ind w:left="400" w:hanging="400"/>
      </w:pPr>
      <w:r>
        <w:rPr>
          <w:b/>
          <w:bCs/>
          <w:sz w:val="20"/>
          <w:szCs w:val="20"/>
        </w:rPr>
        <w:t xml:space="preserve">11. </w:t>
      </w:r>
      <w:r>
        <w:rPr>
          <w:sz w:val="20"/>
          <w:szCs w:val="20"/>
        </w:rPr>
        <w:t xml:space="preserve">Schiaffino S, Reggiani C. Fiber types in mammalian skeletal muscles. Physiol Rev. 2011;91(4):1447-531.</w:t>
      </w:r>
    </w:p>
    <w:p>
      <w:pPr>
        <w:spacing w:after="100"/>
        <w:ind w:left="400" w:hanging="400"/>
      </w:pPr>
      <w:r>
        <w:rPr>
          <w:b/>
          <w:bCs/>
          <w:sz w:val="20"/>
          <w:szCs w:val="20"/>
        </w:rPr>
        <w:t xml:space="preserve">12. </w:t>
      </w:r>
      <w:r>
        <w:rPr>
          <w:sz w:val="20"/>
          <w:szCs w:val="20"/>
        </w:rPr>
        <w:t xml:space="preserve">Clevers H. Wnt/beta-catenin signaling in development and disease. Cell. 2006;127(3):469-80.</w:t>
      </w:r>
    </w:p>
    <w:p>
      <w:pPr>
        <w:spacing w:after="100"/>
        <w:ind w:left="400" w:hanging="400"/>
      </w:pPr>
      <w:r>
        <w:rPr>
          <w:b/>
          <w:bCs/>
          <w:sz w:val="20"/>
          <w:szCs w:val="20"/>
        </w:rPr>
        <w:t xml:space="preserve">13. </w:t>
      </w:r>
      <w:r>
        <w:rPr>
          <w:sz w:val="20"/>
          <w:szCs w:val="20"/>
        </w:rPr>
        <w:t xml:space="preserve">Barker N, van Es JH, Kuipers J, Kujala P, van den Born M, Cozijnsen M, et al. Identification of stem cells in small intestine and colon by marker gene Lgr5. Nature. 2007;449(7165):1003-7.</w:t>
      </w:r>
    </w:p>
    <w:p>
      <w:pPr>
        <w:spacing w:after="100"/>
        <w:ind w:left="400" w:hanging="400"/>
      </w:pPr>
      <w:r>
        <w:rPr>
          <w:b/>
          <w:bCs/>
          <w:sz w:val="20"/>
          <w:szCs w:val="20"/>
        </w:rPr>
        <w:t xml:space="preserve">14. </w:t>
      </w:r>
      <w:r>
        <w:rPr>
          <w:sz w:val="20"/>
          <w:szCs w:val="20"/>
        </w:rPr>
        <w:t xml:space="preserve">Rajabi M, Kassiotis C, Bhatt DL, Taegtmeyer H. Return to the fetal gene program protects the stressed heart: a strong hypothesis. Heart Fail Rev. 2007;12(3-4):331-43.</w:t>
      </w:r>
    </w:p>
    <w:p>
      <w:pPr>
        <w:spacing w:after="100"/>
        <w:ind w:left="400" w:hanging="400"/>
      </w:pPr>
      <w:r>
        <w:rPr>
          <w:b/>
          <w:bCs/>
          <w:sz w:val="20"/>
          <w:szCs w:val="20"/>
        </w:rPr>
        <w:t xml:space="preserve">15. </w:t>
      </w:r>
      <w:r>
        <w:rPr>
          <w:sz w:val="20"/>
          <w:szCs w:val="20"/>
        </w:rPr>
        <w:t xml:space="preserve">Taegtmeyer H, Sen S, Vela D. Return to the fetal gene program: a suggested metabolic link to gene expression in the heart. Ann N Y Acad Sci. 2010;1188:191-8.</w:t>
      </w:r>
    </w:p>
    <w:p>
      <w:pPr>
        <w:spacing w:after="100"/>
        <w:ind w:left="400" w:hanging="400"/>
      </w:pPr>
      <w:r>
        <w:rPr>
          <w:b/>
          <w:bCs/>
          <w:sz w:val="20"/>
          <w:szCs w:val="20"/>
        </w:rPr>
        <w:t xml:space="preserve">16. </w:t>
      </w:r>
      <w:r>
        <w:rPr>
          <w:sz w:val="20"/>
          <w:szCs w:val="20"/>
        </w:rPr>
        <w:t xml:space="preserve">Bataller R, Brenner DA. Liver fibrosis. J Clin Invest. 2005;115(2):209-18.</w:t>
      </w:r>
    </w:p>
    <w:p>
      <w:pPr>
        <w:spacing w:after="100"/>
        <w:ind w:left="400" w:hanging="400"/>
      </w:pPr>
      <w:r>
        <w:rPr>
          <w:b/>
          <w:bCs/>
          <w:sz w:val="20"/>
          <w:szCs w:val="20"/>
        </w:rPr>
        <w:t xml:space="preserve">17. </w:t>
      </w:r>
      <w:r>
        <w:rPr>
          <w:sz w:val="20"/>
          <w:szCs w:val="20"/>
        </w:rPr>
        <w:t xml:space="preserve">Friedman SL. Mechanisms of hepatic fibrogenesis. Gastroenterology. 2008;134(6):1655-69.</w:t>
      </w:r>
    </w:p>
    <w:p>
      <w:pPr>
        <w:spacing w:after="100"/>
        <w:ind w:left="400" w:hanging="400"/>
      </w:pPr>
      <w:r>
        <w:rPr>
          <w:b/>
          <w:bCs/>
          <w:sz w:val="20"/>
          <w:szCs w:val="20"/>
        </w:rPr>
        <w:t xml:space="preserve">18. </w:t>
      </w:r>
      <w:r>
        <w:rPr>
          <w:sz w:val="20"/>
          <w:szCs w:val="20"/>
        </w:rPr>
        <w:t xml:space="preserve">Wynn TA. Cellular and molecular mechanisms of fibrosis. J Pathol. 2008;214(2):199-210.</w:t>
      </w:r>
    </w:p>
    <w:p>
      <w:pPr>
        <w:spacing w:after="100"/>
        <w:ind w:left="400" w:hanging="400"/>
      </w:pPr>
      <w:r>
        <w:rPr>
          <w:b/>
          <w:bCs/>
          <w:sz w:val="20"/>
          <w:szCs w:val="20"/>
        </w:rPr>
        <w:t xml:space="preserve">19. </w:t>
      </w:r>
      <w:r>
        <w:rPr>
          <w:sz w:val="20"/>
          <w:szCs w:val="20"/>
        </w:rPr>
        <w:t xml:space="preserve">Zoz DF, Lawson WE, Loyd JE, Blackwell TS. Idiopathic pulmonary fibrosis: a disorder of epithelial cell dysfunction. Am J Med Sci. 2011;341(6):435-8.</w:t>
      </w:r>
    </w:p>
    <w:p>
      <w:pPr>
        <w:spacing w:after="100"/>
        <w:ind w:left="400" w:hanging="400"/>
      </w:pPr>
      <w:r>
        <w:rPr>
          <w:b/>
          <w:bCs/>
          <w:sz w:val="20"/>
          <w:szCs w:val="20"/>
        </w:rPr>
        <w:t xml:space="preserve">20. </w:t>
      </w:r>
      <w:r>
        <w:rPr>
          <w:sz w:val="20"/>
          <w:szCs w:val="20"/>
        </w:rPr>
        <w:t xml:space="preserve">Oka T, Xu J, Kaiser RA, Melendez J, Hambleton M, Sargent MA, et al. Genetic manipulation of periostin expression reveals a role in cardiac hypertrophy and ventricular remodeling. Circ Res. 2007;101(3):313-21.</w:t>
      </w:r>
    </w:p>
    <w:p>
      <w:pPr>
        <w:spacing w:after="100"/>
        <w:ind w:left="400" w:hanging="400"/>
      </w:pPr>
      <w:r>
        <w:rPr>
          <w:b/>
          <w:bCs/>
          <w:sz w:val="20"/>
          <w:szCs w:val="20"/>
        </w:rPr>
        <w:t xml:space="preserve">21. </w:t>
      </w:r>
      <w:r>
        <w:rPr>
          <w:sz w:val="20"/>
          <w:szCs w:val="20"/>
        </w:rPr>
        <w:t xml:space="preserve">Liu Y. Epithelial to mesenchymal transition in renal fibrogenesis: pathologic significance, molecular mechanism, and therapeutic intervention. J Am Soc Nephrol. 2004;15(1):1-12.</w:t>
      </w:r>
    </w:p>
    <w:p>
      <w:pPr>
        <w:spacing w:after="100"/>
        <w:ind w:left="400" w:hanging="400"/>
      </w:pPr>
      <w:r>
        <w:rPr>
          <w:b/>
          <w:bCs/>
          <w:sz w:val="20"/>
          <w:szCs w:val="20"/>
        </w:rPr>
        <w:t xml:space="preserve">22. </w:t>
      </w:r>
      <w:r>
        <w:rPr>
          <w:sz w:val="20"/>
          <w:szCs w:val="20"/>
        </w:rPr>
        <w:t xml:space="preserve">Sen M, Lauber T, Bhatt DL, Carson DA. Expression and function of wingless and frizzled homologs in rheumatoid arthritis. Proc Natl Acad Sci U S A. 2000;97(6):2791-6.</w:t>
      </w:r>
    </w:p>
    <w:p>
      <w:pPr>
        <w:spacing w:after="100"/>
        <w:ind w:left="400" w:hanging="400"/>
      </w:pPr>
      <w:r>
        <w:rPr>
          <w:b/>
          <w:bCs/>
          <w:sz w:val="20"/>
          <w:szCs w:val="20"/>
        </w:rPr>
        <w:t xml:space="preserve">23. </w:t>
      </w:r>
      <w:r>
        <w:rPr>
          <w:sz w:val="20"/>
          <w:szCs w:val="20"/>
        </w:rPr>
        <w:t xml:space="preserve">Bhatt DL, Topol EJ. Pannus in rheumatoid arthritis: synovial fibroblast properties. Nat Med. 2004;10(4):354-60.</w:t>
      </w:r>
    </w:p>
    <w:p>
      <w:pPr>
        <w:spacing w:after="100"/>
        <w:ind w:left="400" w:hanging="400"/>
      </w:pPr>
      <w:r>
        <w:rPr>
          <w:b/>
          <w:bCs/>
          <w:sz w:val="20"/>
          <w:szCs w:val="20"/>
        </w:rPr>
        <w:t xml:space="preserve">24. </w:t>
      </w:r>
      <w:r>
        <w:rPr>
          <w:sz w:val="20"/>
          <w:szCs w:val="20"/>
        </w:rPr>
        <w:t xml:space="preserve">Podolsky DK. Inflammatory bowel disease. N Engl J Med. 2002;347(6):417-29.</w:t>
      </w:r>
    </w:p>
    <w:p>
      <w:pPr>
        <w:spacing w:after="100"/>
        <w:ind w:left="400" w:hanging="400"/>
      </w:pPr>
      <w:r>
        <w:rPr>
          <w:b/>
          <w:bCs/>
          <w:sz w:val="20"/>
          <w:szCs w:val="20"/>
        </w:rPr>
        <w:t xml:space="preserve">25. </w:t>
      </w:r>
      <w:r>
        <w:rPr>
          <w:sz w:val="20"/>
          <w:szCs w:val="20"/>
        </w:rPr>
        <w:t xml:space="preserve">Sato T, van Es JH, Snippert HJ, Stange DE, Vries RG, van den Born M, et al. Paneth cells constitute the niche for Lgr5 stem cells in intestinal crypts. Nature. 2011;469(7330):415-8.</w:t>
      </w:r>
    </w:p>
    <w:p>
      <w:pPr>
        <w:spacing w:after="100"/>
        <w:ind w:left="400" w:hanging="400"/>
      </w:pPr>
      <w:r>
        <w:rPr>
          <w:b/>
          <w:bCs/>
          <w:sz w:val="20"/>
          <w:szCs w:val="20"/>
        </w:rPr>
        <w:t xml:space="preserve">26. </w:t>
      </w:r>
      <w:r>
        <w:rPr>
          <w:sz w:val="20"/>
          <w:szCs w:val="20"/>
        </w:rPr>
        <w:t xml:space="preserve">Nagase H, Visse R, Murphy G. Structure and function of matrix metalloproteinases and TIMPs. Cardiovasc Res. 2006;69(3):562-73.</w:t>
      </w:r>
    </w:p>
    <w:p>
      <w:pPr>
        <w:spacing w:after="100"/>
        <w:ind w:left="400" w:hanging="400"/>
      </w:pPr>
      <w:r>
        <w:rPr>
          <w:b/>
          <w:bCs/>
          <w:sz w:val="20"/>
          <w:szCs w:val="20"/>
        </w:rPr>
        <w:t xml:space="preserve">27. </w:t>
      </w:r>
      <w:r>
        <w:rPr>
          <w:sz w:val="20"/>
          <w:szCs w:val="20"/>
        </w:rPr>
        <w:t xml:space="preserve">Parks WC, Wilson CL, Lopez-Boado YS. Matrix metalloproteinases as modulators of inflammation and innate immunity. Nat Rev Immunol. 2004;4(8):617-29.</w:t>
      </w:r>
    </w:p>
    <w:p>
      <w:pPr>
        <w:spacing w:after="100"/>
        <w:ind w:left="400" w:hanging="400"/>
      </w:pPr>
      <w:r>
        <w:rPr>
          <w:b/>
          <w:bCs/>
          <w:sz w:val="20"/>
          <w:szCs w:val="20"/>
        </w:rPr>
        <w:t xml:space="preserve">28. </w:t>
      </w:r>
      <w:r>
        <w:rPr>
          <w:sz w:val="20"/>
          <w:szCs w:val="20"/>
        </w:rPr>
        <w:t xml:space="preserve">Yu Q, Stamenkovic I. Cell surface-localized matrix metalloproteinase-9 proteolytically activates TGF-beta and promotes tumor invasion and angiogenesis. Genes Dev. 2000;14(2):163-76.</w:t>
      </w:r>
    </w:p>
    <w:p>
      <w:pPr>
        <w:spacing w:after="100"/>
        <w:ind w:left="400" w:hanging="400"/>
      </w:pPr>
      <w:r>
        <w:rPr>
          <w:b/>
          <w:bCs/>
          <w:sz w:val="20"/>
          <w:szCs w:val="20"/>
        </w:rPr>
        <w:t xml:space="preserve">29. </w:t>
      </w:r>
      <w:r>
        <w:rPr>
          <w:sz w:val="20"/>
          <w:szCs w:val="20"/>
        </w:rPr>
        <w:t xml:space="preserve">Bergers G, Brekken R, McMahon G, Bhatt DL, Vu T, Goldbrunner R, et al. Matrix metalloproteinase-9 triggers the angiogenic switch during carcinogenesis. Nat Cell Biol. 2000;2(10):737-44.</w:t>
      </w:r>
    </w:p>
    <w:p>
      <w:pPr>
        <w:spacing w:after="100"/>
        <w:ind w:left="400" w:hanging="400"/>
      </w:pPr>
      <w:r>
        <w:rPr>
          <w:b/>
          <w:bCs/>
          <w:sz w:val="20"/>
          <w:szCs w:val="20"/>
        </w:rPr>
        <w:t xml:space="preserve">30. </w:t>
      </w:r>
      <w:r>
        <w:rPr>
          <w:sz w:val="20"/>
          <w:szCs w:val="20"/>
        </w:rPr>
        <w:t xml:space="preserve">Waddington CH. The Strategy of the Genes. London: Allen &amp; Unwin; 1957.</w:t>
      </w:r>
    </w:p>
    <w:p>
      <w:pPr>
        <w:spacing w:after="100"/>
        <w:ind w:left="400" w:hanging="400"/>
      </w:pPr>
      <w:r>
        <w:rPr>
          <w:b/>
          <w:bCs/>
          <w:sz w:val="20"/>
          <w:szCs w:val="20"/>
        </w:rPr>
        <w:t xml:space="preserve">31. </w:t>
      </w:r>
      <w:r>
        <w:rPr>
          <w:sz w:val="20"/>
          <w:szCs w:val="20"/>
        </w:rPr>
        <w:t xml:space="preserve">Bhatt DL, Bhatt DL. Epigenetic landscape and cell fate decisions. Nat Genet. 2009;41(2):113-9.</w:t>
      </w:r>
    </w:p>
    <w:p>
      <w:pPr>
        <w:spacing w:after="100"/>
        <w:ind w:left="400" w:hanging="400"/>
      </w:pPr>
      <w:r>
        <w:rPr>
          <w:b/>
          <w:bCs/>
          <w:sz w:val="20"/>
          <w:szCs w:val="20"/>
        </w:rPr>
        <w:t xml:space="preserve">32. </w:t>
      </w:r>
      <w:r>
        <w:rPr>
          <w:sz w:val="20"/>
          <w:szCs w:val="20"/>
        </w:rPr>
        <w:t xml:space="preserve">Vander Heiden MG, Cantley LC, Thompson CB. Understanding the Warburg effect: the metabolic requirements of cell proliferation. Science. 2009;324(5930):1029-33.</w:t>
      </w:r>
    </w:p>
    <w:p>
      <w:pPr>
        <w:spacing w:after="100"/>
        <w:ind w:left="400" w:hanging="400"/>
      </w:pPr>
      <w:r>
        <w:rPr>
          <w:b/>
          <w:bCs/>
          <w:sz w:val="20"/>
          <w:szCs w:val="20"/>
        </w:rPr>
        <w:t xml:space="preserve">33. </w:t>
      </w:r>
      <w:r>
        <w:rPr>
          <w:sz w:val="20"/>
          <w:szCs w:val="20"/>
        </w:rPr>
        <w:t xml:space="preserve">Bhatt DL, Topol EJ. Metabolic reprogramming in wound healing and regeneration. Nat Metab. 2019;1(9):862-73.</w:t>
      </w:r>
    </w:p>
    <w:p>
      <w:pPr>
        <w:spacing w:after="100"/>
        <w:ind w:left="400" w:hanging="400"/>
      </w:pPr>
      <w:r>
        <w:rPr>
          <w:b/>
          <w:bCs/>
          <w:sz w:val="20"/>
          <w:szCs w:val="20"/>
        </w:rPr>
        <w:t xml:space="preserve">34. </w:t>
      </w:r>
      <w:r>
        <w:rPr>
          <w:sz w:val="20"/>
          <w:szCs w:val="20"/>
        </w:rPr>
        <w:t xml:space="preserve">Bhatt DL, Bhatt DL. Stem cell niche: structure and function. Annu Rev Cell Dev Biol. 2008;24:287-315.</w:t>
      </w:r>
    </w:p>
    <w:p>
      <w:pPr>
        <w:spacing w:after="100"/>
        <w:ind w:left="400" w:hanging="400"/>
      </w:pPr>
      <w:r>
        <w:rPr>
          <w:b/>
          <w:bCs/>
          <w:sz w:val="20"/>
          <w:szCs w:val="20"/>
        </w:rPr>
        <w:t xml:space="preserve">35. </w:t>
      </w:r>
      <w:r>
        <w:rPr>
          <w:sz w:val="20"/>
          <w:szCs w:val="20"/>
        </w:rPr>
        <w:t xml:space="preserve">Wilson A, Trumpp A. Bone-marrow haematopoietic-stem-cell niches. Nat Rev Immunol. 2006;6(2):93-106.</w:t>
      </w:r>
    </w:p>
    <w:p>
      <w:pPr>
        <w:spacing w:after="100"/>
        <w:ind w:left="400" w:hanging="400"/>
      </w:pPr>
      <w:r>
        <w:rPr>
          <w:b/>
          <w:bCs/>
          <w:sz w:val="20"/>
          <w:szCs w:val="20"/>
        </w:rPr>
        <w:t xml:space="preserve">36. </w:t>
      </w:r>
      <w:r>
        <w:rPr>
          <w:sz w:val="20"/>
          <w:szCs w:val="20"/>
        </w:rPr>
        <w:t xml:space="preserve">Plikus MV, Mayer JA, de la Cruz D, Baker RE, Maini PK, Maxson R, et al. Cyclic dermal BMP signalling regulates stem cell activation during hair regeneration. Nature. 2008;451(7176):340-4.</w:t>
      </w:r>
    </w:p>
    <w:p>
      <w:pPr>
        <w:spacing w:after="100"/>
        <w:ind w:left="400" w:hanging="400"/>
      </w:pPr>
      <w:r>
        <w:rPr>
          <w:b/>
          <w:bCs/>
          <w:sz w:val="20"/>
          <w:szCs w:val="20"/>
        </w:rPr>
        <w:t xml:space="preserve">37. </w:t>
      </w:r>
      <w:r>
        <w:rPr>
          <w:sz w:val="20"/>
          <w:szCs w:val="20"/>
        </w:rPr>
        <w:t xml:space="preserve">Bhatt DL, Bhatt DL. Adult neurogenesis in mammals. Science. 2011;334(6058):925-9.</w:t>
      </w:r>
    </w:p>
    <w:p>
      <w:pPr>
        <w:spacing w:after="100"/>
        <w:ind w:left="400" w:hanging="400"/>
      </w:pPr>
      <w:r>
        <w:rPr>
          <w:b/>
          <w:bCs/>
          <w:sz w:val="20"/>
          <w:szCs w:val="20"/>
        </w:rPr>
        <w:t xml:space="preserve">38. </w:t>
      </w:r>
      <w:r>
        <w:rPr>
          <w:sz w:val="20"/>
          <w:szCs w:val="20"/>
        </w:rPr>
        <w:t xml:space="preserve">Bhatt DL, Topol EJ. The subventricular zone stem cell niche. Nat Neurosci. 2007;10(11):1327-34.</w:t>
      </w:r>
    </w:p>
    <w:p>
      <w:pPr>
        <w:spacing w:after="100"/>
        <w:ind w:left="400" w:hanging="400"/>
      </w:pPr>
      <w:r>
        <w:rPr>
          <w:b/>
          <w:bCs/>
          <w:sz w:val="20"/>
          <w:szCs w:val="20"/>
        </w:rPr>
        <w:t xml:space="preserve">39. </w:t>
      </w:r>
      <w:r>
        <w:rPr>
          <w:sz w:val="20"/>
          <w:szCs w:val="20"/>
        </w:rPr>
        <w:t xml:space="preserve">Tsokos GC. Systemic lupus erythematosus. N Engl J Med. 2011;365(22):2110-21.</w:t>
      </w:r>
    </w:p>
    <w:p>
      <w:pPr>
        <w:spacing w:after="100"/>
        <w:ind w:left="400" w:hanging="400"/>
      </w:pPr>
      <w:r>
        <w:rPr>
          <w:b/>
          <w:bCs/>
          <w:sz w:val="20"/>
          <w:szCs w:val="20"/>
        </w:rPr>
        <w:t xml:space="preserve">40. </w:t>
      </w:r>
      <w:r>
        <w:rPr>
          <w:sz w:val="20"/>
          <w:szCs w:val="20"/>
        </w:rPr>
        <w:t xml:space="preserve">Bhatt DL, Bhatt DL. Chronic allograft rejection: molecular mechanisms and therapeutic targets. Am J Transplant. 2009;9(6):1230-8.</w:t>
      </w:r>
    </w:p>
    <w:p>
      <w:pPr>
        <w:spacing w:after="100"/>
        <w:ind w:left="400" w:hanging="400"/>
      </w:pPr>
      <w:r>
        <w:rPr>
          <w:b/>
          <w:bCs/>
          <w:sz w:val="20"/>
          <w:szCs w:val="20"/>
        </w:rPr>
        <w:t xml:space="preserve">41. </w:t>
      </w:r>
      <w:r>
        <w:rPr>
          <w:sz w:val="20"/>
          <w:szCs w:val="20"/>
        </w:rPr>
        <w:t xml:space="preserve">Bhatt DL, Bhatt DL. Microenvironmental regulation of tissue phenotype in cancer. Science. 2011;331(6024):1558-61.</w:t>
      </w:r>
    </w:p>
    <w:p>
      <w:pPr>
        <w:spacing w:after="100"/>
        <w:ind w:left="400" w:hanging="400"/>
      </w:pPr>
      <w:r>
        <w:rPr>
          <w:b/>
          <w:bCs/>
          <w:sz w:val="20"/>
          <w:szCs w:val="20"/>
        </w:rPr>
        <w:t xml:space="preserve">42. </w:t>
      </w:r>
      <w:r>
        <w:rPr>
          <w:sz w:val="20"/>
          <w:szCs w:val="20"/>
        </w:rPr>
        <w:t xml:space="preserve">Hanahan D, Weinberg RA. Hallmarks of cancer: the next generation. Cell. 2011;144(5):646-74.</w:t>
      </w:r>
    </w:p>
    <w:p>
      <w:pPr>
        <w:spacing w:after="100"/>
        <w:ind w:left="400" w:hanging="400"/>
      </w:pPr>
      <w:r>
        <w:rPr>
          <w:b/>
          <w:bCs/>
          <w:sz w:val="20"/>
          <w:szCs w:val="20"/>
        </w:rPr>
        <w:t xml:space="preserve">43. </w:t>
      </w:r>
      <w:r>
        <w:rPr>
          <w:sz w:val="20"/>
          <w:szCs w:val="20"/>
        </w:rPr>
        <w:t xml:space="preserve">Bhatt DL, Topol EJ. Alpha-fetoprotein: molecular biology and clinical applications. Dig Dis Sci. 1999;44(7):1278-88.</w:t>
      </w:r>
    </w:p>
    <w:p>
      <w:pPr>
        <w:spacing w:after="100"/>
        <w:ind w:left="400" w:hanging="400"/>
      </w:pPr>
      <w:r>
        <w:rPr>
          <w:b/>
          <w:bCs/>
          <w:sz w:val="20"/>
          <w:szCs w:val="20"/>
        </w:rPr>
        <w:t xml:space="preserve">44. </w:t>
      </w:r>
      <w:r>
        <w:rPr>
          <w:sz w:val="20"/>
          <w:szCs w:val="20"/>
        </w:rPr>
        <w:t xml:space="preserve">Gold P, Freedman SO. Demonstration of tumor-specific antigens in human colonic carcinomata by immunological tolerance and absorption techniques. J Exp Med. 1965;121(3):439-62.</w:t>
      </w: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2"/>
      </w:pBdr>
      <w:jc w:val="right"/>
    </w:pPr>
    <w:r>
      <w:rPr>
        <w:color w:val="555555"/>
        <w:sz w:val="18"/>
        <w:szCs w:val="18"/>
      </w:rPr>
      <w:t xml:space="preserve">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2"/>
      </w:pBdr>
      <w:spacing w:after="120"/>
    </w:pPr>
    <w:r>
      <w:rPr>
        <w:i/>
        <w:iCs/>
        <w:color w:val="555555"/>
        <w:sz w:val="18"/>
        <w:szCs w:val="18"/>
      </w:rPr>
      <w:t xml:space="preserve">Embryonic-Associated Programs | Series Paper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2"/>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2026-05-12T02:46:44.544Z</dcterms:created>
  <dcterms:modified xsi:type="dcterms:W3CDTF">2026-05-12T02:46:44.544Z</dcterms:modified>
</cp:coreProperties>
</file>

<file path=docProps/custom.xml><?xml version="1.0" encoding="utf-8"?>
<Properties xmlns="http://schemas.openxmlformats.org/officeDocument/2006/custom-properties" xmlns:vt="http://schemas.openxmlformats.org/officeDocument/2006/docPropsVTypes"/>
</file>