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i/>
          <w:iCs/>
          <w:color w:val="555555"/>
          <w:sz w:val="20"/>
          <w:szCs w:val="20"/>
        </w:rPr>
        <w:t xml:space="preserve">Series: Embryonic Programs in Non-Oncological Tissue States  |  Paper 2 of N</w:t>
      </w:r>
    </w:p>
    <w:p>
      <w:pPr>
        <w:spacing w:after="80"/>
      </w:pPr>
      <w:r>
        <w:rPr>
          <w:rFonts w:ascii="Arial" w:cs="Arial" w:eastAsia="Arial" w:hAnsi="Arial"/>
          <w:i/>
          <w:iCs/>
          <w:color w:val="777777"/>
          <w:sz w:val="18"/>
          <w:szCs w:val="18"/>
        </w:rPr>
        <w:t xml:space="preserve">Preceding paper: Paper 1 — Embryonic-Associated Programs Outside Pregnancy and Cancer: Energetic Window Expansion, Regeneration Pendulum, and Temporal Tissue Loops</w:t>
      </w:r>
    </w:p>
    <w:p>
      <w:pPr>
        <w:pBdr>
          <w:bottom w:val="single" w:color="888888" w:sz="4" w:space="1"/>
        </w:pBdr>
        <w:spacing w:after="160" w:before="120"/>
      </w:pPr>
      <w:r>
        <w:rPr>
          <w:rFonts w:ascii="Times New Roman" w:cs="Times New Roman" w:eastAsia="Times New Roman" w:hAnsi="Times New Roman"/>
          <w:sz w:val="24"/>
          <w:szCs w:val="24"/>
        </w:rPr>
        <w:t xml:space="preserve"/>
      </w:r>
    </w:p>
    <w:p>
      <w:pPr>
        <w:spacing w:after="80"/>
        <w:jc w:val="center"/>
      </w:pPr>
      <w:r>
        <w:rPr>
          <w:rFonts w:ascii="Arial" w:cs="Arial" w:eastAsia="Arial" w:hAnsi="Arial"/>
          <w:b/>
          <w:bCs/>
          <w:color w:val="1F3864"/>
          <w:sz w:val="38"/>
          <w:szCs w:val="38"/>
        </w:rPr>
        <w:t xml:space="preserve">Dual-Flux Energetics and Stochastic Ontogenetic Dynamics:</w:t>
      </w:r>
    </w:p>
    <w:p>
      <w:pPr>
        <w:spacing w:after="80"/>
        <w:jc w:val="center"/>
      </w:pPr>
      <w:r>
        <w:rPr>
          <w:rFonts w:ascii="Arial" w:cs="Arial" w:eastAsia="Arial" w:hAnsi="Arial"/>
          <w:b/>
          <w:bCs/>
          <w:color w:val="2E75B6"/>
          <w:sz w:val="30"/>
          <w:szCs w:val="30"/>
        </w:rPr>
        <w:t xml:space="preserve">Basal Glycolytic Regime, Energetic Window Modulation,</w:t>
      </w:r>
    </w:p>
    <w:p>
      <w:pPr>
        <w:spacing w:after="200"/>
        <w:jc w:val="center"/>
      </w:pPr>
      <w:r>
        <w:rPr>
          <w:rFonts w:ascii="Arial" w:cs="Arial" w:eastAsia="Arial" w:hAnsi="Arial"/>
          <w:b/>
          <w:bCs/>
          <w:color w:val="2E75B6"/>
          <w:sz w:val="30"/>
          <w:szCs w:val="30"/>
        </w:rPr>
        <w:t xml:space="preserve">and Bidirectional Cell-State Transitions</w:t>
      </w:r>
    </w:p>
    <w:p>
      <w:pPr>
        <w:spacing w:after="320"/>
        <w:jc w:val="center"/>
      </w:pPr>
      <w:r>
        <w:rPr>
          <w:rFonts w:ascii="Arial" w:cs="Arial" w:eastAsia="Arial" w:hAnsi="Arial"/>
          <w:b/>
          <w:bCs/>
          <w:sz w:val="24"/>
          <w:szCs w:val="24"/>
        </w:rPr>
        <w:t xml:space="preserve">Yuri Dmitrochenko</w:t>
      </w:r>
    </w:p>
    <w:p>
      <w:pPr>
        <w:pBdr>
          <w:top w:val="single" w:color="2E75B6" w:sz="6" w:space="4"/>
          <w:bottom w:val="single" w:color="2E75B6" w:sz="6" w:space="4"/>
          <w:left w:val="single" w:color="2E75B6" w:sz="6" w:space="8"/>
          <w:right w:val="single" w:color="2E75B6" w:sz="6" w:space="8"/>
        </w:pBdr>
        <w:shd w:fill="EBF3FB"/>
        <w:spacing w:after="200" w:before="80"/>
        <w:ind w:left="200" w:right="200"/>
      </w:pPr>
      <w:r>
        <w:rPr>
          <w:rFonts w:ascii="Arial" w:cs="Arial" w:eastAsia="Arial" w:hAnsi="Arial"/>
          <w:b/>
          <w:bCs/>
          <w:sz w:val="20"/>
          <w:szCs w:val="20"/>
        </w:rPr>
        <w:t xml:space="preserve">Series Context. </w:t>
      </w:r>
      <w:r>
        <w:rPr>
          <w:rFonts w:ascii="Times New Roman" w:cs="Times New Roman" w:eastAsia="Times New Roman" w:hAnsi="Times New Roman"/>
          <w:sz w:val="20"/>
          <w:szCs w:val="20"/>
        </w:rPr>
        <w:t xml:space="preserve">Paper 1 of this series established the empirical and conceptual foundation: embryonic-associated proteins and developmental programs are reactivated in a broad range of non-malignant adult tissues undergoing remodeling, regeneration, and chronic inflammation. The unifying construct introduced in Paper 1 was the </w:t>
      </w:r>
      <w:r>
        <w:rPr>
          <w:rFonts w:ascii="Times New Roman" w:cs="Times New Roman" w:eastAsia="Times New Roman" w:hAnsi="Times New Roman"/>
          <w:b/>
          <w:bCs/>
          <w:sz w:val="20"/>
          <w:szCs w:val="20"/>
        </w:rPr>
        <w:t xml:space="preserve">energetic window</w:t>
      </w:r>
      <w:r>
        <w:rPr>
          <w:rFonts w:ascii="Times New Roman" w:cs="Times New Roman" w:eastAsia="Times New Roman" w:hAnsi="Times New Roman"/>
          <w:sz w:val="20"/>
          <w:szCs w:val="20"/>
        </w:rPr>
        <w:t xml:space="preserve"> — the range of metabolic and structural conditions permitting access to alternative cellular attractor states — together with the </w:t>
      </w:r>
      <w:r>
        <w:rPr>
          <w:rFonts w:ascii="Times New Roman" w:cs="Times New Roman" w:eastAsia="Times New Roman" w:hAnsi="Times New Roman"/>
          <w:b/>
          <w:bCs/>
          <w:sz w:val="20"/>
          <w:szCs w:val="20"/>
        </w:rPr>
        <w:t xml:space="preserve">Regeneration Pendulum</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Temporal Tissue Loops</w:t>
      </w:r>
      <w:r>
        <w:rPr>
          <w:rFonts w:ascii="Times New Roman" w:cs="Times New Roman" w:eastAsia="Times New Roman" w:hAnsi="Times New Roman"/>
          <w:sz w:val="20"/>
          <w:szCs w:val="20"/>
        </w:rPr>
        <w:t xml:space="preserve">. The present paper (Paper 2) provides the mechanistic substrate for those observations: it introduces the dual-flux energetic architecture — Oxidative Functional Flux (OFF) and Basal Glycolytic Regime (BGR) — and develops a stochastic dynamical framework in which ontogenetic state transitions are governed by the interaction between energetic window width, metabolic regime, and structural constraints. Subsequent papers will apply this framework to specific organ systems, aging dynamics, and oncogenic transitions.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Classical models of cellular differentiation describe ontogenesis as a predominantly unidirectional developmental trajectory driven by genetic and epigenetic programming, in which differentiated cellular states are viewed as progressively stabilized endpoints. However, accumulating evidence from regeneration, chronic inflammation, fibrosis, stem-cell niches, and malignant transformation demonstrates that partial developmental reactivation remains possible in adult tissues under specific physiological and pathological conditions — as documented in Paper 1 of this series. </w:t>
      </w:r>
      <w:r>
        <w:rPr>
          <w:rFonts w:ascii="Times New Roman" w:cs="Times New Roman" w:eastAsia="Times New Roman" w:hAnsi="Times New Roman"/>
          <w:sz w:val="18"/>
          <w:szCs w:val="18"/>
          <w:vertAlign w:val="superscript"/>
        </w:rPr>
        <w:t xml:space="preserve">[41,4,7,8]</w:t>
      </w:r>
    </w:p>
    <w:p>
      <w:pPr>
        <w:spacing w:after="180" w:line="276" w:lineRule="auto"/>
        <w:jc w:val="both"/>
      </w:pPr>
      <w:r>
        <w:rPr>
          <w:rFonts w:ascii="Times New Roman" w:cs="Times New Roman" w:eastAsia="Times New Roman" w:hAnsi="Times New Roman"/>
          <w:sz w:val="24"/>
          <w:szCs w:val="24"/>
        </w:rPr>
        <w:t xml:space="preserve">The present paper proposes a systems-level mechanistic framework in which ontogenetic state transitions are interpreted as stochastic movements within a dynamic cellular state landscape. The dominant direction of these transitions is governed not by intrinsic irreversibility, but by the degree of structural and energetic constraint imposed upon the system through the </w:t>
      </w:r>
      <w:r>
        <w:rPr>
          <w:rFonts w:ascii="Times New Roman" w:cs="Times New Roman" w:eastAsia="Times New Roman" w:hAnsi="Times New Roman"/>
          <w:b/>
          <w:bCs/>
          <w:sz w:val="24"/>
          <w:szCs w:val="24"/>
        </w:rPr>
        <w:t xml:space="preserve">energetic window</w:t>
      </w:r>
      <w:r>
        <w:rPr>
          <w:rFonts w:ascii="Times New Roman" w:cs="Times New Roman" w:eastAsia="Times New Roman" w:hAnsi="Times New Roman"/>
          <w:sz w:val="24"/>
          <w:szCs w:val="24"/>
        </w:rPr>
        <w:t xml:space="preserve"> — a concept introduced in Paper 1 and formalized here. </w:t>
      </w:r>
      <w:r>
        <w:rPr>
          <w:rFonts w:ascii="Times New Roman" w:cs="Times New Roman" w:eastAsia="Times New Roman" w:hAnsi="Times New Roman"/>
          <w:sz w:val="18"/>
          <w:szCs w:val="18"/>
          <w:vertAlign w:val="superscript"/>
        </w:rPr>
        <w:t xml:space="preserve">[41,1,2]</w:t>
      </w:r>
    </w:p>
    <w:p>
      <w:pPr>
        <w:spacing w:after="180" w:line="276" w:lineRule="auto"/>
        <w:jc w:val="both"/>
      </w:pPr>
      <w:r>
        <w:rPr>
          <w:rFonts w:ascii="Times New Roman" w:cs="Times New Roman" w:eastAsia="Times New Roman" w:hAnsi="Times New Roman"/>
          <w:sz w:val="24"/>
          <w:szCs w:val="24"/>
        </w:rPr>
        <w:t xml:space="preserve">To explain how multicellular systems preserve plasticity while maintaining genomic integrity, a </w:t>
      </w:r>
      <w:r>
        <w:rPr>
          <w:rFonts w:ascii="Times New Roman" w:cs="Times New Roman" w:eastAsia="Times New Roman" w:hAnsi="Times New Roman"/>
          <w:b/>
          <w:bCs/>
          <w:sz w:val="24"/>
          <w:szCs w:val="24"/>
        </w:rPr>
        <w:t xml:space="preserve">dual-flux energetic architecture</w:t>
      </w:r>
      <w:r>
        <w:rPr>
          <w:rFonts w:ascii="Times New Roman" w:cs="Times New Roman" w:eastAsia="Times New Roman" w:hAnsi="Times New Roman"/>
          <w:sz w:val="24"/>
          <w:szCs w:val="24"/>
        </w:rPr>
        <w:t xml:space="preserve"> is introduced, comprising two partially interconnected metabolic regimes: (1) </w:t>
      </w:r>
      <w:r>
        <w:rPr>
          <w:rFonts w:ascii="Times New Roman" w:cs="Times New Roman" w:eastAsia="Times New Roman" w:hAnsi="Times New Roman"/>
          <w:b/>
          <w:bCs/>
          <w:sz w:val="24"/>
          <w:szCs w:val="24"/>
        </w:rPr>
        <w:t xml:space="preserve">Oxidative Functional Flux (OFF)</w:t>
      </w:r>
      <w:r>
        <w:rPr>
          <w:rFonts w:ascii="Times New Roman" w:cs="Times New Roman" w:eastAsia="Times New Roman" w:hAnsi="Times New Roman"/>
          <w:sz w:val="24"/>
          <w:szCs w:val="24"/>
        </w:rPr>
        <w:t xml:space="preserve"> — a high-power oxidative regime supporting specialized tissue function at the progressive cost of oxidative molecular wear; and (2) </w:t>
      </w:r>
      <w:r>
        <w:rPr>
          <w:rFonts w:ascii="Times New Roman" w:cs="Times New Roman" w:eastAsia="Times New Roman" w:hAnsi="Times New Roman"/>
          <w:b/>
          <w:bCs/>
          <w:sz w:val="24"/>
          <w:szCs w:val="24"/>
        </w:rPr>
        <w:t xml:space="preserve">Basal Glycolytic Regime (BGR)</w:t>
      </w:r>
      <w:r>
        <w:rPr>
          <w:rFonts w:ascii="Times New Roman" w:cs="Times New Roman" w:eastAsia="Times New Roman" w:hAnsi="Times New Roman"/>
          <w:sz w:val="24"/>
          <w:szCs w:val="24"/>
        </w:rPr>
        <w:t xml:space="preserve"> — a low-dissipation glycolytic-recycling regime associated with reduced reactive oxygen species, preservation of genomic integrity, regenerative capacity, and developmental plasticity. </w:t>
      </w:r>
      <w:r>
        <w:rPr>
          <w:rFonts w:ascii="Times New Roman" w:cs="Times New Roman" w:eastAsia="Times New Roman" w:hAnsi="Times New Roman"/>
          <w:sz w:val="18"/>
          <w:szCs w:val="18"/>
          <w:vertAlign w:val="superscript"/>
        </w:rPr>
        <w:t xml:space="preserve">[6,13,14]</w:t>
      </w:r>
    </w:p>
    <w:p>
      <w:pPr>
        <w:spacing w:after="180" w:line="276" w:lineRule="auto"/>
        <w:jc w:val="both"/>
      </w:pPr>
      <w:r>
        <w:rPr>
          <w:rFonts w:ascii="Times New Roman" w:cs="Times New Roman" w:eastAsia="Times New Roman" w:hAnsi="Times New Roman"/>
          <w:sz w:val="24"/>
          <w:szCs w:val="24"/>
        </w:rPr>
        <w:t xml:space="preserve">Within this framework, differentiation, regeneration, fibrosis, aging, and oncogenesis emerge as distinct dynamic regimes of a common nonequilibrium biological system governed by energetic-window modulation and the balance between OFF and BGR. A formal probabilistic model of state-transition dynamics is presented, the biological corollaries of each regime are developed, and connections to the Regeneration Pendulum and Temporal Tissue Loops of Paper 1 are made explicit.</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dual-flux energetics; Oxidative Functional Flux; Basal Glycolytic Regime; energetic window; stochastic ontogenesis; cell-state transitions; Warburg effect; tissue plasticity; regeneration; fibrosis; aging; oncogenesis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spacing w:after="180" w:line="276" w:lineRule="auto"/>
        <w:jc w:val="both"/>
      </w:pPr>
      <w:r>
        <w:rPr>
          <w:rFonts w:ascii="Times New Roman" w:cs="Times New Roman" w:eastAsia="Times New Roman" w:hAnsi="Times New Roman"/>
          <w:sz w:val="24"/>
          <w:szCs w:val="24"/>
        </w:rPr>
        <w:t xml:space="preserve">Developmental biology has traditionally represented cellular differentiation as a hierarchical, predominantly irreversible process in which pluripotent embryonic cells progressively lose developmental potential while acquiring stable, specialized identities. Waddington's epigenetic landscape remains the canonical metaphor: a ball rolling downhill through a branching valley system, with each bifurcation representing a commitment decision that is not subsequently reversed. </w:t>
      </w:r>
      <w:r>
        <w:rPr>
          <w:rFonts w:ascii="Times New Roman" w:cs="Times New Roman" w:eastAsia="Times New Roman" w:hAnsi="Times New Roman"/>
          <w:sz w:val="18"/>
          <w:szCs w:val="18"/>
          <w:vertAlign w:val="superscript"/>
        </w:rPr>
        <w:t xml:space="preserve">[1]</w:t>
      </w:r>
    </w:p>
    <w:p>
      <w:pPr>
        <w:spacing w:after="180" w:line="276" w:lineRule="auto"/>
        <w:jc w:val="both"/>
      </w:pPr>
      <w:r>
        <w:rPr>
          <w:rFonts w:ascii="Times New Roman" w:cs="Times New Roman" w:eastAsia="Times New Roman" w:hAnsi="Times New Roman"/>
          <w:sz w:val="24"/>
          <w:szCs w:val="24"/>
        </w:rPr>
        <w:t xml:space="preserve">This deterministic model has been productively extended by systems biology, which represents cellular identity as an attractor state within a high-dimensional gene regulatory network. </w:t>
      </w:r>
      <w:r>
        <w:rPr>
          <w:rFonts w:ascii="Times New Roman" w:cs="Times New Roman" w:eastAsia="Times New Roman" w:hAnsi="Times New Roman"/>
          <w:sz w:val="18"/>
          <w:szCs w:val="18"/>
          <w:vertAlign w:val="superscript"/>
        </w:rPr>
        <w:t xml:space="preserve">[3,30,31]</w:t>
      </w:r>
      <w:r>
        <w:rPr>
          <w:rFonts w:ascii="Times New Roman" w:cs="Times New Roman" w:eastAsia="Times New Roman" w:hAnsi="Times New Roman"/>
          <w:sz w:val="24"/>
          <w:szCs w:val="24"/>
        </w:rPr>
        <w:t xml:space="preserve"> However, numerous biological phenomena challenge the strict irreversibility assumption: tissue regeneration, induced pluripotency, stem-cell activation, chronic inflammatory remodeling, fibrosis, embryonic gene reactivation in adult tissues, and malignant transformation all demonstrate that cells can exit and partially re-enter earlier developmental attractor states. </w:t>
      </w:r>
      <w:r>
        <w:rPr>
          <w:rFonts w:ascii="Times New Roman" w:cs="Times New Roman" w:eastAsia="Times New Roman" w:hAnsi="Times New Roman"/>
          <w:sz w:val="18"/>
          <w:szCs w:val="18"/>
          <w:vertAlign w:val="superscript"/>
        </w:rPr>
        <w:t xml:space="preserve">[4,40,41]</w:t>
      </w:r>
    </w:p>
    <w:p>
      <w:pPr>
        <w:spacing w:after="180" w:line="276" w:lineRule="auto"/>
        <w:jc w:val="both"/>
      </w:pPr>
      <w:r>
        <w:rPr>
          <w:rFonts w:ascii="Times New Roman" w:cs="Times New Roman" w:eastAsia="Times New Roman" w:hAnsi="Times New Roman"/>
          <w:sz w:val="24"/>
          <w:szCs w:val="24"/>
        </w:rPr>
        <w:t xml:space="preserve">Paper 1 of this series catalogued the empirical scope of this phenomenon: embryonic-associated proteins and developmental signaling pathways are reactivated across wound healing, liver regeneration, fibrosis, chronic inflammation, immune conflict states, and high-turnover stem-cell niches. The unifying explanatory construct proposed there was the </w:t>
      </w:r>
      <w:r>
        <w:rPr>
          <w:rFonts w:ascii="Times New Roman" w:cs="Times New Roman" w:eastAsia="Times New Roman" w:hAnsi="Times New Roman"/>
          <w:b/>
          <w:bCs/>
          <w:sz w:val="24"/>
          <w:szCs w:val="24"/>
        </w:rPr>
        <w:t xml:space="preserve">energetic window</w:t>
      </w:r>
      <w:r>
        <w:rPr>
          <w:rFonts w:ascii="Times New Roman" w:cs="Times New Roman" w:eastAsia="Times New Roman" w:hAnsi="Times New Roman"/>
          <w:sz w:val="24"/>
          <w:szCs w:val="24"/>
        </w:rPr>
        <w:t xml:space="preserve"> — the range of metabolic and structural conditions permitting access to alternative cellular attractor states — and its oscillatory dynamics were described through the </w:t>
      </w:r>
      <w:r>
        <w:rPr>
          <w:rFonts w:ascii="Times New Roman" w:cs="Times New Roman" w:eastAsia="Times New Roman" w:hAnsi="Times New Roman"/>
          <w:b/>
          <w:bCs/>
          <w:sz w:val="24"/>
          <w:szCs w:val="24"/>
        </w:rPr>
        <w:t xml:space="preserve">Regeneration Pendulum</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Temporal Tissue Loops</w:t>
      </w:r>
      <w:r>
        <w:rPr>
          <w:rFonts w:ascii="Times New Roman" w:cs="Times New Roman" w:eastAsia="Times New Roman" w:hAnsi="Times New Roman"/>
          <w:sz w:val="24"/>
          <w:szCs w:val="24"/>
        </w:rPr>
        <w:t xml:space="preserve"> concepts. </w:t>
      </w:r>
      <w:r>
        <w:rPr>
          <w:rFonts w:ascii="Times New Roman" w:cs="Times New Roman" w:eastAsia="Times New Roman" w:hAnsi="Times New Roman"/>
          <w:sz w:val="18"/>
          <w:szCs w:val="18"/>
          <w:vertAlign w:val="superscript"/>
        </w:rPr>
        <w:t xml:space="preserve">[41]</w:t>
      </w:r>
    </w:p>
    <w:p>
      <w:pPr>
        <w:spacing w:after="180" w:line="276" w:lineRule="auto"/>
        <w:jc w:val="both"/>
      </w:pPr>
      <w:r>
        <w:rPr>
          <w:rFonts w:ascii="Times New Roman" w:cs="Times New Roman" w:eastAsia="Times New Roman" w:hAnsi="Times New Roman"/>
          <w:sz w:val="24"/>
          <w:szCs w:val="24"/>
        </w:rPr>
        <w:t xml:space="preserve">The present paper provides the mechanistic substrate for that framework. Two core questions are addressed: (i) </w:t>
      </w:r>
      <w:r>
        <w:rPr>
          <w:rFonts w:ascii="Times New Roman" w:cs="Times New Roman" w:eastAsia="Times New Roman" w:hAnsi="Times New Roman"/>
          <w:i/>
          <w:iCs/>
          <w:sz w:val="24"/>
          <w:szCs w:val="24"/>
        </w:rPr>
        <w:t xml:space="preserve">What metabolic architecture permits adult tissues to maintain access to developmental-like states without constitutive dedifferentiation?</w:t>
      </w:r>
      <w:r>
        <w:rPr>
          <w:rFonts w:ascii="Times New Roman" w:cs="Times New Roman" w:eastAsia="Times New Roman" w:hAnsi="Times New Roman"/>
          <w:sz w:val="24"/>
          <w:szCs w:val="24"/>
        </w:rPr>
        <w:t xml:space="preserve"> and (ii) </w:t>
      </w:r>
      <w:r>
        <w:rPr>
          <w:rFonts w:ascii="Times New Roman" w:cs="Times New Roman" w:eastAsia="Times New Roman" w:hAnsi="Times New Roman"/>
          <w:i/>
          <w:iCs/>
          <w:sz w:val="24"/>
          <w:szCs w:val="24"/>
        </w:rPr>
        <w:t xml:space="preserve">How can cell-state transitions be formally modelled as stochastic processes governed by energetic and structural constraints?</w:t>
      </w:r>
      <w:r>
        <w:rPr>
          <w:rFonts w:ascii="Times New Roman" w:cs="Times New Roman" w:eastAsia="Times New Roman" w:hAnsi="Times New Roman"/>
          <w:sz w:val="24"/>
          <w:szCs w:val="24"/>
        </w:rPr>
        <w:t xml:space="preserve"> The answers centre on the dual-flux energetic architecture and a probabilistic model of ontogenetic transitions.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Ontogenesis as a Stochastic Dynamical System</w:t>
      </w:r>
    </w:p>
    <w:p>
      <w:pPr>
        <w:pStyle w:val="Heading2"/>
        <w:spacing w:after="100" w:before="240"/>
      </w:pPr>
      <w:r>
        <w:rPr>
          <w:rFonts w:ascii="Arial" w:cs="Arial" w:eastAsia="Arial" w:hAnsi="Arial"/>
          <w:b/>
          <w:bCs/>
          <w:color w:val="2E75B6"/>
          <w:sz w:val="24"/>
          <w:szCs w:val="24"/>
        </w:rPr>
        <w:t xml:space="preserve">2.1 Conceptual Foundations</w:t>
      </w:r>
    </w:p>
    <w:p>
      <w:pPr>
        <w:spacing w:after="180" w:line="276" w:lineRule="auto"/>
        <w:jc w:val="both"/>
      </w:pPr>
      <w:r>
        <w:rPr>
          <w:rFonts w:ascii="Times New Roman" w:cs="Times New Roman" w:eastAsia="Times New Roman" w:hAnsi="Times New Roman"/>
          <w:sz w:val="24"/>
          <w:szCs w:val="24"/>
        </w:rPr>
        <w:t xml:space="preserve">Within the proposed framework, cellular states are represented as partially connected attractor states within a multidimensional biological state space. This is consistent with attractor-landscape models of gene regulatory networks in which each stable cell type corresponds to a local energy minimum, and transitions between types require surmounting energy barriers. </w:t>
      </w:r>
      <w:r>
        <w:rPr>
          <w:rFonts w:ascii="Times New Roman" w:cs="Times New Roman" w:eastAsia="Times New Roman" w:hAnsi="Times New Roman"/>
          <w:sz w:val="18"/>
          <w:szCs w:val="18"/>
          <w:vertAlign w:val="superscript"/>
        </w:rPr>
        <w:t xml:space="preserve">[3,30,31]</w:t>
      </w:r>
    </w:p>
    <w:p>
      <w:pPr>
        <w:spacing w:after="180" w:line="276" w:lineRule="auto"/>
        <w:jc w:val="both"/>
      </w:pPr>
      <w:r>
        <w:rPr>
          <w:rFonts w:ascii="Times New Roman" w:cs="Times New Roman" w:eastAsia="Times New Roman" w:hAnsi="Times New Roman"/>
          <w:sz w:val="24"/>
          <w:szCs w:val="24"/>
        </w:rPr>
        <w:t xml:space="preserve">Classical deterministic models predict that once a cell reaches a differentiated attractor, it remains there indefinitely in the absence of oncogenic mutation. The present framework replaces this with a stochastic model in which transitions are always possible but occur with probabilities that depend sensitively on local energetic and structural conditions.</w:t>
      </w:r>
    </w:p>
    <w:p>
      <w:pPr>
        <w:pStyle w:val="Heading2"/>
        <w:spacing w:after="100" w:before="240"/>
      </w:pPr>
      <w:r>
        <w:rPr>
          <w:rFonts w:ascii="Arial" w:cs="Arial" w:eastAsia="Arial" w:hAnsi="Arial"/>
          <w:b/>
          <w:bCs/>
          <w:color w:val="2E75B6"/>
          <w:sz w:val="24"/>
          <w:szCs w:val="24"/>
        </w:rPr>
        <w:t xml:space="preserve">2.2 Formal State-Transition Model</w:t>
      </w:r>
    </w:p>
    <w:p>
      <w:pPr>
        <w:spacing w:after="180" w:line="276" w:lineRule="auto"/>
        <w:jc w:val="both"/>
      </w:pPr>
      <w:r>
        <w:rPr>
          <w:rFonts w:ascii="Times New Roman" w:cs="Times New Roman" w:eastAsia="Times New Roman" w:hAnsi="Times New Roman"/>
          <w:sz w:val="24"/>
          <w:szCs w:val="24"/>
        </w:rPr>
        <w:t xml:space="preserve">Let S(i) denote a cellular ontogenetic state, where i indexes position along an ontogenetic trajectory from totipotent (i = 0) toward fully differentiated (i = N). Transitions between neighboring states occur probabilistically:</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S(i) → S(i+1)   [forward differentiation,  probability P_forward(i)]</w:t>
      </w:r>
      <w:r>
        <w:rPr>
          <w:color w:val="555555"/>
          <w:sz w:val="20"/>
          <w:szCs w:val="20"/>
        </w:rPr>
        <w:t xml:space="preserve">   ...(2.1)</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S(i) → S(i−1)   [partial dedifferentiation, probability P_reverse(i)]</w:t>
      </w:r>
      <w:r>
        <w:rPr>
          <w:color w:val="555555"/>
          <w:sz w:val="20"/>
          <w:szCs w:val="20"/>
        </w:rPr>
        <w:t xml:space="preserve">   ...(2.2)</w:t>
      </w:r>
    </w:p>
    <w:p>
      <w:pPr>
        <w:spacing w:after="180" w:line="276" w:lineRule="auto"/>
        <w:jc w:val="both"/>
      </w:pPr>
      <w:r>
        <w:rPr>
          <w:rFonts w:ascii="Times New Roman" w:cs="Times New Roman" w:eastAsia="Times New Roman" w:hAnsi="Times New Roman"/>
          <w:sz w:val="24"/>
          <w:szCs w:val="24"/>
        </w:rPr>
        <w:t xml:space="preserve">The net direction of ontogenetic movement at any given state is determined by the ratio P_forward / P_reverse, which is itself a function of the energetic window width and prevailing metabolic regime.</w:t>
      </w:r>
    </w:p>
    <w:p>
      <w:pPr>
        <w:spacing w:after="180" w:line="276" w:lineRule="auto"/>
        <w:jc w:val="both"/>
      </w:pPr>
      <w:r>
        <w:rPr>
          <w:rFonts w:ascii="Times New Roman" w:cs="Times New Roman" w:eastAsia="Times New Roman" w:hAnsi="Times New Roman"/>
          <w:sz w:val="24"/>
          <w:szCs w:val="24"/>
        </w:rPr>
        <w:t xml:space="preserve">The full transition probability matrix is written as:</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P(i→j) = f( E, M, C, O, G, S )</w:t>
      </w:r>
      <w:r>
        <w:rPr>
          <w:color w:val="555555"/>
          <w:sz w:val="20"/>
          <w:szCs w:val="20"/>
        </w:rPr>
        <w:t xml:space="preserve">   ...(2.3)</w:t>
      </w:r>
    </w:p>
    <w:p>
      <w:pPr>
        <w:spacing w:after="180" w:line="276" w:lineRule="auto"/>
        <w:jc w:val="both"/>
      </w:pPr>
      <w:r>
        <w:rPr>
          <w:rFonts w:ascii="Times New Roman" w:cs="Times New Roman" w:eastAsia="Times New Roman" w:hAnsi="Times New Roman"/>
          <w:sz w:val="24"/>
          <w:szCs w:val="24"/>
        </w:rPr>
        <w:t xml:space="preserve">where:</w:t>
      </w:r>
    </w:p>
    <w:p>
      <w:pPr>
        <w:pStyle w:val="ListParagraph"/>
        <w:numPr>
          <w:ilvl w:val="0"/>
          <w:numId w:val="2"/>
        </w:numPr>
        <w:spacing w:after="100"/>
      </w:pPr>
      <w:r>
        <w:rPr>
          <w:rFonts w:ascii="Times New Roman" w:cs="Times New Roman" w:eastAsia="Times New Roman" w:hAnsi="Times New Roman"/>
          <w:b/>
          <w:bCs/>
          <w:sz w:val="24"/>
          <w:szCs w:val="24"/>
        </w:rPr>
        <w:t xml:space="preserve">E</w:t>
      </w:r>
      <w:r>
        <w:rPr>
          <w:rFonts w:ascii="Times New Roman" w:cs="Times New Roman" w:eastAsia="Times New Roman" w:hAnsi="Times New Roman"/>
          <w:sz w:val="24"/>
          <w:szCs w:val="24"/>
        </w:rPr>
        <w:t xml:space="preserve"> = energetic-window width (primary modulator of transition probability)</w:t>
      </w:r>
    </w:p>
    <w:p>
      <w:pPr>
        <w:pStyle w:val="ListParagraph"/>
        <w:numPr>
          <w:ilvl w:val="0"/>
          <w:numId w:val="2"/>
        </w:numPr>
        <w:spacing w:after="100"/>
      </w:pPr>
      <w:r>
        <w:rPr>
          <w:rFonts w:ascii="Times New Roman" w:cs="Times New Roman" w:eastAsia="Times New Roman" w:hAnsi="Times New Roman"/>
          <w:b/>
          <w:bCs/>
          <w:sz w:val="24"/>
          <w:szCs w:val="24"/>
        </w:rPr>
        <w:t xml:space="preserve">M</w:t>
      </w:r>
      <w:r>
        <w:rPr>
          <w:rFonts w:ascii="Times New Roman" w:cs="Times New Roman" w:eastAsia="Times New Roman" w:hAnsi="Times New Roman"/>
          <w:sz w:val="24"/>
          <w:szCs w:val="24"/>
        </w:rPr>
        <w:t xml:space="preserve"> = prevailing metabolic regime (OFF or BGR dominance)</w:t>
      </w:r>
    </w:p>
    <w:p>
      <w:pPr>
        <w:pStyle w:val="ListParagraph"/>
        <w:numPr>
          <w:ilvl w:val="0"/>
          <w:numId w:val="2"/>
        </w:numPr>
        <w:spacing w:after="100"/>
      </w:pP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 extracellular matrix constraints and rigidity</w:t>
      </w:r>
    </w:p>
    <w:p>
      <w:pPr>
        <w:pStyle w:val="ListParagraph"/>
        <w:numPr>
          <w:ilvl w:val="0"/>
          <w:numId w:val="2"/>
        </w:numPr>
        <w:spacing w:after="100"/>
      </w:pPr>
      <w:r>
        <w:rPr>
          <w:rFonts w:ascii="Times New Roman" w:cs="Times New Roman" w:eastAsia="Times New Roman" w:hAnsi="Times New Roman"/>
          <w:b/>
          <w:bCs/>
          <w:sz w:val="24"/>
          <w:szCs w:val="24"/>
        </w:rPr>
        <w:t xml:space="preserve">O</w:t>
      </w:r>
      <w:r>
        <w:rPr>
          <w:rFonts w:ascii="Times New Roman" w:cs="Times New Roman" w:eastAsia="Times New Roman" w:hAnsi="Times New Roman"/>
          <w:sz w:val="24"/>
          <w:szCs w:val="24"/>
        </w:rPr>
        <w:t xml:space="preserve"> = oxygen availability and mitochondrial activity</w:t>
      </w:r>
    </w:p>
    <w:p>
      <w:pPr>
        <w:pStyle w:val="ListParagraph"/>
        <w:numPr>
          <w:ilvl w:val="0"/>
          <w:numId w:val="2"/>
        </w:numPr>
        <w:spacing w:after="100"/>
      </w:pPr>
      <w:r>
        <w:rPr>
          <w:rFonts w:ascii="Times New Roman" w:cs="Times New Roman" w:eastAsia="Times New Roman" w:hAnsi="Times New Roman"/>
          <w:b/>
          <w:bCs/>
          <w:sz w:val="24"/>
          <w:szCs w:val="24"/>
        </w:rPr>
        <w:t xml:space="preserve">G</w:t>
      </w:r>
      <w:r>
        <w:rPr>
          <w:rFonts w:ascii="Times New Roman" w:cs="Times New Roman" w:eastAsia="Times New Roman" w:hAnsi="Times New Roman"/>
          <w:sz w:val="24"/>
          <w:szCs w:val="24"/>
        </w:rPr>
        <w:t xml:space="preserve"> = glucose and alternative substrate availability</w:t>
      </w:r>
    </w:p>
    <w:p>
      <w:pPr>
        <w:pStyle w:val="ListParagraph"/>
        <w:numPr>
          <w:ilvl w:val="0"/>
          <w:numId w:val="2"/>
        </w:numPr>
        <w:spacing w:after="100"/>
      </w:pP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rPr>
        <w:t xml:space="preserve"> = structural and inflammatory stress signals</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Transitions are predominantly </w:t>
      </w:r>
      <w:r>
        <w:rPr>
          <w:rFonts w:ascii="Times New Roman" w:cs="Times New Roman" w:eastAsia="Times New Roman" w:hAnsi="Times New Roman"/>
          <w:i/>
          <w:iCs/>
          <w:sz w:val="24"/>
          <w:szCs w:val="24"/>
        </w:rPr>
        <w:t xml:space="preserve">local</w:t>
      </w:r>
      <w:r>
        <w:rPr>
          <w:rFonts w:ascii="Times New Roman" w:cs="Times New Roman" w:eastAsia="Times New Roman" w:hAnsi="Times New Roman"/>
          <w:sz w:val="24"/>
          <w:szCs w:val="24"/>
        </w:rPr>
        <w:t xml:space="preserve"> (|i − j| = 1) rather than global, reflecting the observation that biological systems rarely undergo large-scale ontogenetic jumps without intermediate states. This constraint is consistent with the findings of Paper 1, where tissues undergoing partial developmental reactivation typically achieved adjacent developmental-like states rather than full embryonic reversion. </w:t>
      </w:r>
      <w:r>
        <w:rPr>
          <w:rFonts w:ascii="Times New Roman" w:cs="Times New Roman" w:eastAsia="Times New Roman" w:hAnsi="Times New Roman"/>
          <w:sz w:val="18"/>
          <w:szCs w:val="18"/>
          <w:vertAlign w:val="superscript"/>
        </w:rPr>
        <w:t xml:space="preserve">[41,4]</w:t>
      </w:r>
    </w:p>
    <w:p>
      <w:pPr>
        <w:pStyle w:val="Heading2"/>
        <w:spacing w:after="100" w:before="240"/>
      </w:pPr>
      <w:r>
        <w:rPr>
          <w:rFonts w:ascii="Arial" w:cs="Arial" w:eastAsia="Arial" w:hAnsi="Arial"/>
          <w:b/>
          <w:bCs/>
          <w:color w:val="2E75B6"/>
          <w:sz w:val="24"/>
          <w:szCs w:val="24"/>
        </w:rPr>
        <w:t xml:space="preserve">2.3 Noise and Stochastic Variability</w:t>
      </w:r>
    </w:p>
    <w:p>
      <w:pPr>
        <w:spacing w:after="180" w:line="276" w:lineRule="auto"/>
        <w:jc w:val="both"/>
      </w:pPr>
      <w:r>
        <w:rPr>
          <w:rFonts w:ascii="Times New Roman" w:cs="Times New Roman" w:eastAsia="Times New Roman" w:hAnsi="Times New Roman"/>
          <w:sz w:val="24"/>
          <w:szCs w:val="24"/>
        </w:rPr>
        <w:t xml:space="preserve">Stochastic gene expression noise plays a functional role in enabling cell-state transitions. </w:t>
      </w:r>
      <w:r>
        <w:rPr>
          <w:rFonts w:ascii="Times New Roman" w:cs="Times New Roman" w:eastAsia="Times New Roman" w:hAnsi="Times New Roman"/>
          <w:sz w:val="18"/>
          <w:szCs w:val="18"/>
          <w:vertAlign w:val="superscript"/>
        </w:rPr>
        <w:t xml:space="preserve">[28,29]</w:t>
      </w:r>
      <w:r>
        <w:rPr>
          <w:rFonts w:ascii="Times New Roman" w:cs="Times New Roman" w:eastAsia="Times New Roman" w:hAnsi="Times New Roman"/>
          <w:sz w:val="24"/>
          <w:szCs w:val="24"/>
        </w:rPr>
        <w:t xml:space="preserve"> In a narrow energetic window, noise is insufficient to drive cells out of their current attractor states — the barriers are too high relative to available thermal and metabolic fluctuations. As the energetic window broadens, barrier heights decrease and the same level of stochastic noise becomes sufficient to generate transitions. This provides a mechanistic explanation for why energetic-window expansion is both necessary and sufficient for partial ontogenetic reversion, without requiring specific dedifferentiation signals.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Energetic Window: Formalization</w:t>
      </w:r>
    </w:p>
    <w:p>
      <w:pPr>
        <w:pStyle w:val="Heading2"/>
        <w:spacing w:after="100" w:before="240"/>
      </w:pPr>
      <w:r>
        <w:rPr>
          <w:rFonts w:ascii="Arial" w:cs="Arial" w:eastAsia="Arial" w:hAnsi="Arial"/>
          <w:b/>
          <w:bCs/>
          <w:color w:val="2E75B6"/>
          <w:sz w:val="24"/>
          <w:szCs w:val="24"/>
        </w:rPr>
        <w:t xml:space="preserve">3.1 Definition and Physical Analogy</w:t>
      </w:r>
    </w:p>
    <w:p>
      <w:pPr>
        <w:spacing w:after="180" w:line="276" w:lineRule="auto"/>
        <w:jc w:val="both"/>
      </w:pPr>
      <w:r>
        <w:rPr>
          <w:rFonts w:ascii="Times New Roman" w:cs="Times New Roman" w:eastAsia="Times New Roman" w:hAnsi="Times New Roman"/>
          <w:sz w:val="24"/>
          <w:szCs w:val="24"/>
        </w:rPr>
        <w:t xml:space="preserve">The energetic window ΔE</w:t>
      </w:r>
      <w:r>
        <w:rPr>
          <w:rFonts w:ascii="Times New Roman" w:cs="Times New Roman" w:eastAsia="Times New Roman" w:hAnsi="Times New Roman"/>
          <w:sz w:val="22"/>
          <w:szCs w:val="22"/>
          <w:vertAlign w:val="subscript"/>
        </w:rPr>
        <w:t xml:space="preserve">window</w:t>
      </w:r>
      <w:r>
        <w:rPr>
          <w:rFonts w:ascii="Times New Roman" w:cs="Times New Roman" w:eastAsia="Times New Roman" w:hAnsi="Times New Roman"/>
          <w:sz w:val="24"/>
          <w:szCs w:val="24"/>
        </w:rPr>
        <w:t xml:space="preserve"> is defined as the range of metabolic and structural conditions permitting access to alternative cellular attractor states. In physical terms it is analogous to the thermal energy available to surmount energy barriers in a potential landscape: wider windows permit access to more alternative states; narrower windows confine the system to its current attractor. </w:t>
      </w:r>
      <w:r>
        <w:rPr>
          <w:rFonts w:ascii="Times New Roman" w:cs="Times New Roman" w:eastAsia="Times New Roman" w:hAnsi="Times New Roman"/>
          <w:sz w:val="18"/>
          <w:szCs w:val="18"/>
          <w:vertAlign w:val="superscript"/>
        </w:rPr>
        <w:t xml:space="preserve">[2,1]</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ΔE_window = f( V, Λ, F, O₂, ROS_burden, C_rigidity )</w:t>
      </w:r>
      <w:r>
        <w:rPr>
          <w:color w:val="555555"/>
          <w:sz w:val="20"/>
          <w:szCs w:val="20"/>
        </w:rPr>
        <w:t xml:space="preserve">   ...(3.1)</w:t>
      </w:r>
    </w:p>
    <w:p>
      <w:pPr>
        <w:spacing w:after="180" w:line="276" w:lineRule="auto"/>
        <w:jc w:val="both"/>
      </w:pPr>
      <w:r>
        <w:rPr>
          <w:rFonts w:ascii="Times New Roman" w:cs="Times New Roman" w:eastAsia="Times New Roman" w:hAnsi="Times New Roman"/>
          <w:sz w:val="24"/>
          <w:szCs w:val="24"/>
        </w:rPr>
        <w:t xml:space="preserve">where V is vascular permeability and perfusion, Λ is matrix metalloproteinase activity, F is metabolic flexibility, O₂ is local oxygen tension, ROS_burden is cumulative reactive oxygen species load, and C_rigidity is extracellular matrix mechanical rigidity.</w:t>
      </w:r>
    </w:p>
    <w:p>
      <w:pPr>
        <w:pStyle w:val="Heading2"/>
        <w:spacing w:after="100" w:before="240"/>
      </w:pPr>
      <w:r>
        <w:rPr>
          <w:rFonts w:ascii="Arial" w:cs="Arial" w:eastAsia="Arial" w:hAnsi="Arial"/>
          <w:b/>
          <w:bCs/>
          <w:color w:val="2E75B6"/>
          <w:sz w:val="24"/>
          <w:szCs w:val="24"/>
        </w:rPr>
        <w:t xml:space="preserve">3.2 Narrow and Expanded Window States</w:t>
      </w:r>
    </w:p>
    <w:p>
      <w:pPr>
        <w:spacing w:after="180" w:line="276" w:lineRule="auto"/>
        <w:jc w:val="both"/>
      </w:pPr>
      <w:r>
        <w:rPr>
          <w:rFonts w:ascii="Times New Roman" w:cs="Times New Roman" w:eastAsia="Times New Roman" w:hAnsi="Times New Roman"/>
          <w:sz w:val="24"/>
          <w:szCs w:val="24"/>
        </w:rPr>
        <w:t xml:space="preserve">Two limiting regimes are identified:</w:t>
      </w:r>
    </w:p>
    <w:p>
      <w:pPr>
        <w:spacing w:after="180" w:line="276" w:lineRule="auto"/>
        <w:jc w:val="both"/>
      </w:pPr>
      <w:r>
        <w:rPr>
          <w:rFonts w:ascii="Times New Roman" w:cs="Times New Roman" w:eastAsia="Times New Roman" w:hAnsi="Times New Roman"/>
          <w:b/>
          <w:bCs/>
          <w:sz w:val="24"/>
          <w:szCs w:val="24"/>
        </w:rPr>
        <w:t xml:space="preserve">Narrow energetic window</w:t>
      </w:r>
      <w:r>
        <w:rPr>
          <w:rFonts w:ascii="Times New Roman" w:cs="Times New Roman" w:eastAsia="Times New Roman" w:hAnsi="Times New Roman"/>
          <w:sz w:val="24"/>
          <w:szCs w:val="24"/>
        </w:rPr>
        <w:t xml:space="preserve"> — characterizes stable mature differentiated tissues. Features: strong ECM structural constraints; low metabolic flexibility; stable intercellular coupling; restricted chromatin accessibility; low plasticity; dominant Oxidative Functional Flux; high structural rigidity; low MMP activity. The transition probability toward dedifferentiated states approaches zero. </w:t>
      </w:r>
      <w:r>
        <w:rPr>
          <w:rFonts w:ascii="Times New Roman" w:cs="Times New Roman" w:eastAsia="Times New Roman" w:hAnsi="Times New Roman"/>
          <w:sz w:val="18"/>
          <w:szCs w:val="18"/>
          <w:vertAlign w:val="superscript"/>
        </w:rPr>
        <w:t xml:space="preserve">[24,26]</w:t>
      </w:r>
    </w:p>
    <w:p>
      <w:pPr>
        <w:spacing w:after="180" w:line="276" w:lineRule="auto"/>
        <w:jc w:val="both"/>
      </w:pPr>
      <w:r>
        <w:rPr>
          <w:rFonts w:ascii="Times New Roman" w:cs="Times New Roman" w:eastAsia="Times New Roman" w:hAnsi="Times New Roman"/>
          <w:b/>
          <w:bCs/>
          <w:sz w:val="24"/>
          <w:szCs w:val="24"/>
        </w:rPr>
        <w:t xml:space="preserve">Expanded energetic window</w:t>
      </w:r>
      <w:r>
        <w:rPr>
          <w:rFonts w:ascii="Times New Roman" w:cs="Times New Roman" w:eastAsia="Times New Roman" w:hAnsi="Times New Roman"/>
          <w:sz w:val="24"/>
          <w:szCs w:val="24"/>
        </w:rPr>
        <w:t xml:space="preserve"> — characterizes embryonic tissues, regenerating zones, chronic inflammatory foci, and cancer. Features: ECM remodeling; increased vascular permeability; elevated nutrient flux; reduced structural rigidity; elevated MMP activity; chromatin accessibility expansion; dominant BGR; elevated inflammatory signaling. Transition probabilities toward developmental-like states increase substantially. </w:t>
      </w:r>
      <w:r>
        <w:rPr>
          <w:rFonts w:ascii="Times New Roman" w:cs="Times New Roman" w:eastAsia="Times New Roman" w:hAnsi="Times New Roman"/>
          <w:sz w:val="18"/>
          <w:szCs w:val="18"/>
          <w:vertAlign w:val="superscript"/>
        </w:rPr>
        <w:t xml:space="preserve">[9,7,8]</w:t>
      </w:r>
    </w:p>
    <w:p>
      <w:pPr>
        <w:pStyle w:val="Heading2"/>
        <w:spacing w:after="100" w:before="240"/>
      </w:pPr>
      <w:r>
        <w:rPr>
          <w:rFonts w:ascii="Arial" w:cs="Arial" w:eastAsia="Arial" w:hAnsi="Arial"/>
          <w:b/>
          <w:bCs/>
          <w:color w:val="2E75B6"/>
          <w:sz w:val="24"/>
          <w:szCs w:val="24"/>
        </w:rPr>
        <w:t xml:space="preserve">3.3 Energetic Window and Chromatin State</w:t>
      </w:r>
    </w:p>
    <w:p>
      <w:pPr>
        <w:spacing w:after="180" w:line="276" w:lineRule="auto"/>
        <w:jc w:val="both"/>
      </w:pPr>
      <w:r>
        <w:rPr>
          <w:rFonts w:ascii="Times New Roman" w:cs="Times New Roman" w:eastAsia="Times New Roman" w:hAnsi="Times New Roman"/>
          <w:sz w:val="24"/>
          <w:szCs w:val="24"/>
        </w:rPr>
        <w:t xml:space="preserve">The molecular substrate of energetic-window width is, at least in part, the chromatin accessibility landscape. Expanded energetic windows are associated with broader chromatin accessibility at developmental gene loci, driven by metabolic inputs: glycolytic activity generates acetyl-CoA that sustains histone acetylation and maintains open chromatin configurations at developmental regulatory regions. </w:t>
      </w:r>
      <w:r>
        <w:rPr>
          <w:rFonts w:ascii="Times New Roman" w:cs="Times New Roman" w:eastAsia="Times New Roman" w:hAnsi="Times New Roman"/>
          <w:sz w:val="18"/>
          <w:szCs w:val="18"/>
          <w:vertAlign w:val="superscript"/>
        </w:rPr>
        <w:t xml:space="preserve">[15,27,38]</w:t>
      </w:r>
      <w:r>
        <w:rPr>
          <w:rFonts w:ascii="Times New Roman" w:cs="Times New Roman" w:eastAsia="Times New Roman" w:hAnsi="Times New Roman"/>
          <w:sz w:val="24"/>
          <w:szCs w:val="24"/>
        </w:rPr>
        <w:t xml:space="preserve"> Conversely, oxidative metabolism is associated with progressive chromatin compaction at developmental loci through oxidative modification of histone-modifying enzymes. This metabolic–epigenetic coupling provides a direct mechanistic link between BGR dominance and energetic-window expansion.</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Dual-Flux Energetic Architecture</w:t>
      </w:r>
    </w:p>
    <w:p>
      <w:pPr>
        <w:pStyle w:val="Heading2"/>
        <w:spacing w:after="100" w:before="240"/>
      </w:pPr>
      <w:r>
        <w:rPr>
          <w:rFonts w:ascii="Arial" w:cs="Arial" w:eastAsia="Arial" w:hAnsi="Arial"/>
          <w:b/>
          <w:bCs/>
          <w:color w:val="2E75B6"/>
          <w:sz w:val="24"/>
          <w:szCs w:val="24"/>
        </w:rPr>
        <w:t xml:space="preserve">4.1 Overview</w:t>
      </w:r>
    </w:p>
    <w:p>
      <w:pPr>
        <w:spacing w:after="180" w:line="276" w:lineRule="auto"/>
        <w:jc w:val="both"/>
      </w:pPr>
      <w:r>
        <w:rPr>
          <w:rFonts w:ascii="Times New Roman" w:cs="Times New Roman" w:eastAsia="Times New Roman" w:hAnsi="Times New Roman"/>
          <w:sz w:val="24"/>
          <w:szCs w:val="24"/>
        </w:rPr>
        <w:t xml:space="preserve">The proposed model introduces two partially interconnected energetic regimes that together govern tissue-level dynamics. These regimes are not mutually exclusive at the single-cell level — most cells employ both simultaneously in varying proportions — but their </w:t>
      </w:r>
      <w:r>
        <w:rPr>
          <w:rFonts w:ascii="Times New Roman" w:cs="Times New Roman" w:eastAsia="Times New Roman" w:hAnsi="Times New Roman"/>
          <w:i/>
          <w:iCs/>
          <w:sz w:val="24"/>
          <w:szCs w:val="24"/>
        </w:rPr>
        <w:t xml:space="preserve">relative dominance</w:t>
      </w:r>
      <w:r>
        <w:rPr>
          <w:rFonts w:ascii="Times New Roman" w:cs="Times New Roman" w:eastAsia="Times New Roman" w:hAnsi="Times New Roman"/>
          <w:sz w:val="24"/>
          <w:szCs w:val="24"/>
        </w:rPr>
        <w:t xml:space="preserve"> at the tissue level determines the position of the tissue within the ontogenetic state landscape.</w:t>
      </w:r>
    </w:p>
    <w:p>
      <w:pPr>
        <w:pStyle w:val="Heading2"/>
        <w:spacing w:after="100" w:before="240"/>
      </w:pPr>
      <w:r>
        <w:rPr>
          <w:rFonts w:ascii="Arial" w:cs="Arial" w:eastAsia="Arial" w:hAnsi="Arial"/>
          <w:b/>
          <w:bCs/>
          <w:color w:val="2E75B6"/>
          <w:sz w:val="24"/>
          <w:szCs w:val="24"/>
        </w:rPr>
        <w:t xml:space="preserve">4.2 Oxidative Functional Flux (OFF)</w:t>
      </w:r>
    </w:p>
    <w:p>
      <w:pPr>
        <w:spacing w:after="180" w:line="276" w:lineRule="auto"/>
        <w:jc w:val="both"/>
      </w:pPr>
      <w:r>
        <w:rPr>
          <w:rFonts w:ascii="Times New Roman" w:cs="Times New Roman" w:eastAsia="Times New Roman" w:hAnsi="Times New Roman"/>
          <w:sz w:val="24"/>
          <w:szCs w:val="24"/>
        </w:rPr>
        <w:t xml:space="preserve">Oxidative Functional Flux represents the high-power oxidative metabolic regime characteristic of mature, specialized, differentiated tissues. Its principal biological functions include muscular contraction, cardiac output, neuronal signaling, ion transport, and secretory activity. Biochemically, OFF is characterized by mitochondrial oxidative phosphorylation, high ATP yield per glucose molecule, elevated oxygen consumption, and proportionally elevated reactive oxygen species generation as a metabolic byproduct. </w:t>
      </w:r>
      <w:r>
        <w:rPr>
          <w:rFonts w:ascii="Times New Roman" w:cs="Times New Roman" w:eastAsia="Times New Roman" w:hAnsi="Times New Roman"/>
          <w:sz w:val="18"/>
          <w:szCs w:val="18"/>
          <w:vertAlign w:val="superscript"/>
        </w:rPr>
        <w:t xml:space="preserve">[19,6]</w:t>
      </w:r>
    </w:p>
    <w:p>
      <w:pPr>
        <w:spacing w:after="180" w:line="276" w:lineRule="auto"/>
        <w:jc w:val="both"/>
      </w:pPr>
      <w:r>
        <w:rPr>
          <w:rFonts w:ascii="Times New Roman" w:cs="Times New Roman" w:eastAsia="Times New Roman" w:hAnsi="Times New Roman"/>
          <w:sz w:val="24"/>
          <w:szCs w:val="24"/>
        </w:rPr>
        <w:t xml:space="preserve">The energetic cost of OFF-dominated metabolism is progressive oxidative molecular wear: DNA oxidative lesions, protein carbonylation, lipid peroxidation, and mitochondrial membrane damage accumulate over time. </w:t>
      </w:r>
      <w:r>
        <w:rPr>
          <w:rFonts w:ascii="Times New Roman" w:cs="Times New Roman" w:eastAsia="Times New Roman" w:hAnsi="Times New Roman"/>
          <w:sz w:val="18"/>
          <w:szCs w:val="18"/>
          <w:vertAlign w:val="superscript"/>
        </w:rPr>
        <w:t xml:space="preserve">[16,17]</w:t>
      </w:r>
      <w:r>
        <w:rPr>
          <w:rFonts w:ascii="Times New Roman" w:cs="Times New Roman" w:eastAsia="Times New Roman" w:hAnsi="Times New Roman"/>
          <w:sz w:val="24"/>
          <w:szCs w:val="24"/>
        </w:rPr>
        <w:t xml:space="preserve"> This wear progressively narrows the energetic window through chromatin rigidification, extracellular matrix crosslinking, and reduction of metabolic flexibility — providing a mechanistic connection between Oxidative Functional Flux dominance and the tissue aging phenotype (Section 7).</w:t>
      </w:r>
    </w:p>
    <w:p>
      <w:pPr>
        <w:spacing w:after="180" w:line="276" w:lineRule="auto"/>
        <w:jc w:val="both"/>
      </w:pPr>
      <w:r>
        <w:rPr>
          <w:rFonts w:ascii="Times New Roman" w:cs="Times New Roman" w:eastAsia="Times New Roman" w:hAnsi="Times New Roman"/>
          <w:b/>
          <w:bCs/>
          <w:sz w:val="24"/>
          <w:szCs w:val="24"/>
        </w:rPr>
        <w:t xml:space="preserve">OFF → ΔE_window narrowing → differentiated state stabilization → reduced plasticity</w:t>
      </w:r>
    </w:p>
    <w:p>
      <w:pPr>
        <w:pStyle w:val="Heading2"/>
        <w:spacing w:after="100" w:before="240"/>
      </w:pPr>
      <w:r>
        <w:rPr>
          <w:rFonts w:ascii="Arial" w:cs="Arial" w:eastAsia="Arial" w:hAnsi="Arial"/>
          <w:b/>
          <w:bCs/>
          <w:color w:val="2E75B6"/>
          <w:sz w:val="24"/>
          <w:szCs w:val="24"/>
        </w:rPr>
        <w:t xml:space="preserve">4.3 Basal Glycolytic Regime (BGR)</w:t>
      </w:r>
    </w:p>
    <w:p>
      <w:pPr>
        <w:spacing w:after="180" w:line="276" w:lineRule="auto"/>
        <w:jc w:val="both"/>
      </w:pPr>
      <w:r>
        <w:rPr>
          <w:rFonts w:ascii="Times New Roman" w:cs="Times New Roman" w:eastAsia="Times New Roman" w:hAnsi="Times New Roman"/>
          <w:sz w:val="24"/>
          <w:szCs w:val="24"/>
        </w:rPr>
        <w:t xml:space="preserve">Basal Glycolytic Regime represents a low-dissipation, glycolytic-recycling energetic regime associated with preservation rather than maximal functional output. BGR is characterized by aerobic glycolysis even under normoxic conditions — the Warburg-like metabolic configuration observed in embryonic cells, stem cells, and actively regenerating tissues. </w:t>
      </w:r>
      <w:r>
        <w:rPr>
          <w:rFonts w:ascii="Times New Roman" w:cs="Times New Roman" w:eastAsia="Times New Roman" w:hAnsi="Times New Roman"/>
          <w:sz w:val="18"/>
          <w:szCs w:val="18"/>
          <w:vertAlign w:val="superscript"/>
        </w:rPr>
        <w:t xml:space="preserve">[6,11,13,14]</w:t>
      </w:r>
    </w:p>
    <w:p>
      <w:pPr>
        <w:spacing w:after="180" w:line="276" w:lineRule="auto"/>
        <w:jc w:val="both"/>
      </w:pPr>
      <w:r>
        <w:rPr>
          <w:rFonts w:ascii="Times New Roman" w:cs="Times New Roman" w:eastAsia="Times New Roman" w:hAnsi="Times New Roman"/>
          <w:sz w:val="24"/>
          <w:szCs w:val="24"/>
        </w:rPr>
        <w:t xml:space="preserve">BGR metabolic features include: elevated glucose uptake; lactate production via aerobic glycolysis; reduced reliance on mitochondrial oxidative phosphorylation; reduced reactive oxygen species burden; and generation of biosynthetic precursors (e.g., pentose phosphates, glycerophospholipids) supporting cellular proliferation and matrix synthesis. </w:t>
      </w:r>
      <w:r>
        <w:rPr>
          <w:rFonts w:ascii="Times New Roman" w:cs="Times New Roman" w:eastAsia="Times New Roman" w:hAnsi="Times New Roman"/>
          <w:sz w:val="18"/>
          <w:szCs w:val="18"/>
          <w:vertAlign w:val="superscript"/>
        </w:rPr>
        <w:t xml:space="preserve">[6,10,36,37]</w:t>
      </w:r>
    </w:p>
    <w:p>
      <w:pPr>
        <w:spacing w:after="180" w:line="276" w:lineRule="auto"/>
        <w:jc w:val="both"/>
      </w:pPr>
      <w:r>
        <w:rPr>
          <w:rFonts w:ascii="Times New Roman" w:cs="Times New Roman" w:eastAsia="Times New Roman" w:hAnsi="Times New Roman"/>
          <w:sz w:val="24"/>
          <w:szCs w:val="24"/>
        </w:rPr>
        <w:t xml:space="preserve">Critically, BGR supports maintenance and expansion of the energetic window through multiple mechanisms: (i) glycolysis-derived acetyl-CoA supports histone acetylation and chromatin accessibility at developmental gene loci; </w:t>
      </w:r>
      <w:r>
        <w:rPr>
          <w:rFonts w:ascii="Times New Roman" w:cs="Times New Roman" w:eastAsia="Times New Roman" w:hAnsi="Times New Roman"/>
          <w:sz w:val="18"/>
          <w:szCs w:val="18"/>
          <w:vertAlign w:val="superscript"/>
        </w:rPr>
        <w:t xml:space="preserve">[15,27]</w:t>
      </w:r>
      <w:r>
        <w:rPr>
          <w:rFonts w:ascii="Times New Roman" w:cs="Times New Roman" w:eastAsia="Times New Roman" w:hAnsi="Times New Roman"/>
          <w:sz w:val="24"/>
          <w:szCs w:val="24"/>
        </w:rPr>
        <w:t xml:space="preserve"> (ii) reduced reactive oxygen species burden preserves epigenetic flexibility; </w:t>
      </w:r>
      <w:r>
        <w:rPr>
          <w:rFonts w:ascii="Times New Roman" w:cs="Times New Roman" w:eastAsia="Times New Roman" w:hAnsi="Times New Roman"/>
          <w:sz w:val="18"/>
          <w:szCs w:val="18"/>
          <w:vertAlign w:val="superscript"/>
        </w:rPr>
        <w:t xml:space="preserve">[18]</w:t>
      </w:r>
      <w:r>
        <w:rPr>
          <w:rFonts w:ascii="Times New Roman" w:cs="Times New Roman" w:eastAsia="Times New Roman" w:hAnsi="Times New Roman"/>
          <w:sz w:val="24"/>
          <w:szCs w:val="24"/>
        </w:rPr>
        <w:t xml:space="preserve"> (iii) AMPK pathway activation under mildly reduced ATP conditions promotes autophagy and cellular renewal; </w:t>
      </w:r>
      <w:r>
        <w:rPr>
          <w:rFonts w:ascii="Times New Roman" w:cs="Times New Roman" w:eastAsia="Times New Roman" w:hAnsi="Times New Roman"/>
          <w:sz w:val="18"/>
          <w:szCs w:val="18"/>
          <w:vertAlign w:val="superscript"/>
        </w:rPr>
        <w:t xml:space="preserve">[20,39]</w:t>
      </w:r>
      <w:r>
        <w:rPr>
          <w:rFonts w:ascii="Times New Roman" w:cs="Times New Roman" w:eastAsia="Times New Roman" w:hAnsi="Times New Roman"/>
          <w:sz w:val="24"/>
          <w:szCs w:val="24"/>
        </w:rPr>
        <w:t xml:space="preserve"> (iv) lactate recycling via the lactate shuttle supports neighboring cell metabolic diversity. </w:t>
      </w:r>
      <w:r>
        <w:rPr>
          <w:rFonts w:ascii="Times New Roman" w:cs="Times New Roman" w:eastAsia="Times New Roman" w:hAnsi="Times New Roman"/>
          <w:sz w:val="18"/>
          <w:szCs w:val="18"/>
          <w:vertAlign w:val="superscript"/>
        </w:rPr>
        <w:t xml:space="preserve">[10,37]</w:t>
      </w:r>
    </w:p>
    <w:p>
      <w:pPr>
        <w:spacing w:after="180" w:line="276" w:lineRule="auto"/>
        <w:jc w:val="both"/>
      </w:pPr>
      <w:r>
        <w:rPr>
          <w:rFonts w:ascii="Times New Roman" w:cs="Times New Roman" w:eastAsia="Times New Roman" w:hAnsi="Times New Roman"/>
          <w:b/>
          <w:bCs/>
          <w:sz w:val="24"/>
          <w:szCs w:val="24"/>
        </w:rPr>
        <w:t xml:space="preserve">BGR → ΔE_window expansion → increased plasticity → access to developmental-like states</w:t>
      </w:r>
    </w:p>
    <w:p>
      <w:pPr>
        <w:pStyle w:val="Heading2"/>
        <w:spacing w:after="100" w:before="240"/>
      </w:pPr>
      <w:r>
        <w:rPr>
          <w:rFonts w:ascii="Arial" w:cs="Arial" w:eastAsia="Arial" w:hAnsi="Arial"/>
          <w:b/>
          <w:bCs/>
          <w:color w:val="2E75B6"/>
          <w:sz w:val="24"/>
          <w:szCs w:val="24"/>
        </w:rPr>
        <w:t xml:space="preserve">4.4 Interaction Between OFF and BGR</w:t>
      </w:r>
    </w:p>
    <w:p>
      <w:pPr>
        <w:spacing w:after="180" w:line="276" w:lineRule="auto"/>
        <w:jc w:val="both"/>
      </w:pPr>
      <w:r>
        <w:rPr>
          <w:rFonts w:ascii="Times New Roman" w:cs="Times New Roman" w:eastAsia="Times New Roman" w:hAnsi="Times New Roman"/>
          <w:sz w:val="24"/>
          <w:szCs w:val="24"/>
        </w:rPr>
        <w:t xml:space="preserve">In adult tissues, OFF and BGR coexist in proportions that reflect the functional demands and regenerative state of the tissue. The balance between them is regulated through multiple axes including AMPK/mTOR signaling, HIF-1α-mediated metabolic switching, mitochondrial biogenesis dynamics, and substrate availability. </w:t>
      </w:r>
      <w:r>
        <w:rPr>
          <w:rFonts w:ascii="Times New Roman" w:cs="Times New Roman" w:eastAsia="Times New Roman" w:hAnsi="Times New Roman"/>
          <w:sz w:val="18"/>
          <w:szCs w:val="18"/>
          <w:vertAlign w:val="superscript"/>
        </w:rPr>
        <w:t xml:space="preserve">[20,12,19]</w:t>
      </w:r>
    </w:p>
    <w:p>
      <w:pPr>
        <w:spacing w:after="180" w:line="276" w:lineRule="auto"/>
        <w:jc w:val="both"/>
      </w:pPr>
      <w:r>
        <w:rPr>
          <w:rFonts w:ascii="Times New Roman" w:cs="Times New Roman" w:eastAsia="Times New Roman" w:hAnsi="Times New Roman"/>
          <w:sz w:val="24"/>
          <w:szCs w:val="24"/>
        </w:rPr>
        <w:t xml:space="preserve">The key regulatory relationship is:</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OFF dominance → narrow ΔE_window → differentiation stabilization</w:t>
      </w:r>
      <w:r>
        <w:rPr>
          <w:color w:val="555555"/>
          <w:sz w:val="20"/>
          <w:szCs w:val="20"/>
        </w:rPr>
        <w:t xml:space="preserve">   ...(4.1)</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BGR dominance → broad ΔE_window → developmental plasticity</w:t>
      </w:r>
      <w:r>
        <w:rPr>
          <w:color w:val="555555"/>
          <w:sz w:val="20"/>
          <w:szCs w:val="20"/>
        </w:rPr>
        <w:t xml:space="preserve">   ...(4.2)</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OFF/BGR balance → determines P(i→j) across the ontogenetic landscape</w:t>
      </w:r>
      <w:r>
        <w:rPr>
          <w:color w:val="555555"/>
          <w:sz w:val="20"/>
          <w:szCs w:val="20"/>
        </w:rPr>
        <w:t xml:space="preserve">   ...(4.3)</w:t>
      </w:r>
    </w:p>
    <w:p>
      <w:pPr>
        <w:spacing w:after="180" w:line="276" w:lineRule="auto"/>
        <w:jc w:val="both"/>
      </w:pPr>
      <w:r>
        <w:rPr>
          <w:rFonts w:ascii="Times New Roman" w:cs="Times New Roman" w:eastAsia="Times New Roman" w:hAnsi="Times New Roman"/>
          <w:sz w:val="24"/>
          <w:szCs w:val="24"/>
        </w:rPr>
        <w:t xml:space="preserve">This regulatory relationship provides the mechanistic substrate for the energetic window dynamics described in Paper 1: conditions that shift the OFF/BGR balance toward BGR (tissue injury, inflammation, hypoxia, MMP-mediated matrix remodeling) directly expand the energetic window and increase transition probabilities toward developmental-like states. </w:t>
      </w:r>
      <w:r>
        <w:rPr>
          <w:rFonts w:ascii="Times New Roman" w:cs="Times New Roman" w:eastAsia="Times New Roman" w:hAnsi="Times New Roman"/>
          <w:sz w:val="18"/>
          <w:szCs w:val="18"/>
          <w:vertAlign w:val="superscript"/>
        </w:rPr>
        <w:t xml:space="preserve">[41,9,8]</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Biological Interpretation of Dynamic Regimes</w:t>
      </w:r>
    </w:p>
    <w:p>
      <w:pPr>
        <w:spacing w:after="180" w:line="276" w:lineRule="auto"/>
        <w:jc w:val="both"/>
      </w:pPr>
      <w:r>
        <w:rPr>
          <w:rFonts w:ascii="Times New Roman" w:cs="Times New Roman" w:eastAsia="Times New Roman" w:hAnsi="Times New Roman"/>
          <w:sz w:val="24"/>
          <w:szCs w:val="24"/>
        </w:rPr>
        <w:t xml:space="preserve">The dual-flux framework permits a unified interpretation of major biological tissue states as distinct dynamic regimes of the same underlying system.</w:t>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Biological dynamic regimes within the dual-flux energetic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60"/>
        <w:gridCol w:w="180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Biological State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Dominant Regime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Energetic Window</w:t>
            </w:r>
          </w:p>
        </w:tc>
        <w:tc>
          <w:tcPr>
            <w:tcW w:type="dxa" w:w="1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Plasticity</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Pendulum Character</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Embryogenesis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BGR dominant</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Maximally broad</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Maximal</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Absent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Mature tissue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OFF dominant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Narrow</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Absent</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Regeneration</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Transient BGR expansion</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Temporarily broadened</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Elevated (transient)</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Damped oscillation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Chronic inflam.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Oscillatory OFF/BGR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Persistently broadened</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Moderate-high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Sustained limit cycle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Fibrosis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OFF + mechanical lock</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Forcibly narrowed</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Severely reduced</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Interrupted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Aging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Progressive OFF dominance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Progressively reduced</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Declining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Dampened amplitude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Cancer</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Stabilized BGR + OFF decoupling</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Constitutively expanded</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Pathological</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Bifurcation escape</w:t>
            </w:r>
          </w:p>
        </w:tc>
      </w:tr>
    </w:tbl>
    <w:p>
      <w:pPr>
        <w:spacing w:after="80"/>
      </w:pPr>
      <w:r>
        <w:rPr>
          <w:rFonts w:ascii="Times New Roman" w:cs="Times New Roman" w:eastAsia="Times New Roman" w:hAnsi="Times New Roman"/>
          <w:sz w:val="24"/>
          <w:szCs w:val="24"/>
        </w:rPr>
        <w:t xml:space="preserve"/>
      </w:r>
    </w:p>
    <w:p>
      <w:pPr>
        <w:pStyle w:val="Heading2"/>
        <w:spacing w:after="100" w:before="240"/>
      </w:pPr>
      <w:r>
        <w:rPr>
          <w:rFonts w:ascii="Arial" w:cs="Arial" w:eastAsia="Arial" w:hAnsi="Arial"/>
          <w:b/>
          <w:bCs/>
          <w:color w:val="2E75B6"/>
          <w:sz w:val="24"/>
          <w:szCs w:val="24"/>
        </w:rPr>
        <w:t xml:space="preserve">5.1 Embryogenesis</w:t>
      </w:r>
    </w:p>
    <w:p>
      <w:pPr>
        <w:spacing w:after="180" w:line="276" w:lineRule="auto"/>
        <w:jc w:val="both"/>
      </w:pPr>
      <w:r>
        <w:rPr>
          <w:rFonts w:ascii="Times New Roman" w:cs="Times New Roman" w:eastAsia="Times New Roman" w:hAnsi="Times New Roman"/>
          <w:sz w:val="24"/>
          <w:szCs w:val="24"/>
        </w:rPr>
        <w:t xml:space="preserve">Embryogenesis corresponds to BGR dominance, broad energetic windows, maximal plasticity, and high transition probabilities across the entire ontogenetic state space. Embryonic cells exhibit aerobic glycolysis, minimal mitochondrial activity, low reactive oxygen species burden, and globally open chromatin configurations permitting access to any developmental trajectory. </w:t>
      </w:r>
      <w:r>
        <w:rPr>
          <w:rFonts w:ascii="Times New Roman" w:cs="Times New Roman" w:eastAsia="Times New Roman" w:hAnsi="Times New Roman"/>
          <w:sz w:val="18"/>
          <w:szCs w:val="18"/>
          <w:vertAlign w:val="superscript"/>
        </w:rPr>
        <w:t xml:space="preserve">[11,13,14,15]</w:t>
      </w:r>
    </w:p>
    <w:p>
      <w:pPr>
        <w:pStyle w:val="Heading2"/>
        <w:spacing w:after="100" w:before="240"/>
      </w:pPr>
      <w:r>
        <w:rPr>
          <w:rFonts w:ascii="Arial" w:cs="Arial" w:eastAsia="Arial" w:hAnsi="Arial"/>
          <w:b/>
          <w:bCs/>
          <w:color w:val="2E75B6"/>
          <w:sz w:val="24"/>
          <w:szCs w:val="24"/>
        </w:rPr>
        <w:t xml:space="preserve">5.2 Mature Differentiated Tissue</w:t>
      </w:r>
    </w:p>
    <w:p>
      <w:pPr>
        <w:spacing w:after="180" w:line="276" w:lineRule="auto"/>
        <w:jc w:val="both"/>
      </w:pPr>
      <w:r>
        <w:rPr>
          <w:rFonts w:ascii="Times New Roman" w:cs="Times New Roman" w:eastAsia="Times New Roman" w:hAnsi="Times New Roman"/>
          <w:sz w:val="24"/>
          <w:szCs w:val="24"/>
        </w:rPr>
        <w:t xml:space="preserve">Mature tissue corresponds to OFF dominance, narrow energetic windows, structural rigidity, and low transition probabilities. The tissue is stabilized within its differentiated attractor, and developmental programs are epigenetically silenced. The cost of this stability is progressive accumulation of oxidative damage through sustained OFF activity. </w:t>
      </w:r>
      <w:r>
        <w:rPr>
          <w:rFonts w:ascii="Times New Roman" w:cs="Times New Roman" w:eastAsia="Times New Roman" w:hAnsi="Times New Roman"/>
          <w:sz w:val="18"/>
          <w:szCs w:val="18"/>
          <w:vertAlign w:val="superscript"/>
        </w:rPr>
        <w:t xml:space="preserve">[17,26]</w:t>
      </w:r>
    </w:p>
    <w:p>
      <w:pPr>
        <w:pStyle w:val="Heading2"/>
        <w:spacing w:after="100" w:before="240"/>
      </w:pPr>
      <w:r>
        <w:rPr>
          <w:rFonts w:ascii="Arial" w:cs="Arial" w:eastAsia="Arial" w:hAnsi="Arial"/>
          <w:b/>
          <w:bCs/>
          <w:color w:val="2E75B6"/>
          <w:sz w:val="24"/>
          <w:szCs w:val="24"/>
        </w:rPr>
        <w:t xml:space="preserve">5.3 Regeneration</w:t>
      </w:r>
    </w:p>
    <w:p>
      <w:pPr>
        <w:spacing w:after="180" w:line="276" w:lineRule="auto"/>
        <w:jc w:val="both"/>
      </w:pPr>
      <w:r>
        <w:rPr>
          <w:rFonts w:ascii="Times New Roman" w:cs="Times New Roman" w:eastAsia="Times New Roman" w:hAnsi="Times New Roman"/>
          <w:sz w:val="24"/>
          <w:szCs w:val="24"/>
        </w:rPr>
        <w:t xml:space="preserve">Regeneration corresponds to a transient shift toward BGR dominance triggered by tissue injury. The shift in metabolic regime widens the energetic window, increases chromatin accessibility at developmental loci, and transiently elevates transition probabilities toward developmental-like states — producing the Temporal Tissue Loops described in Paper 1. </w:t>
      </w:r>
      <w:r>
        <w:rPr>
          <w:rFonts w:ascii="Times New Roman" w:cs="Times New Roman" w:eastAsia="Times New Roman" w:hAnsi="Times New Roman"/>
          <w:sz w:val="18"/>
          <w:szCs w:val="18"/>
          <w:vertAlign w:val="superscript"/>
        </w:rPr>
        <w:t xml:space="preserve">[41,8,34,35]</w:t>
      </w:r>
      <w:r>
        <w:rPr>
          <w:rFonts w:ascii="Times New Roman" w:cs="Times New Roman" w:eastAsia="Times New Roman" w:hAnsi="Times New Roman"/>
          <w:sz w:val="24"/>
          <w:szCs w:val="24"/>
        </w:rPr>
        <w:t xml:space="preserve"> Resolution of the injury signal reverses the OFF/BGR balance, re-narrows the energetic window, and returns the tissue to a differentiated attractor state, completing one cycle of the Regeneration Pendulum.</w:t>
      </w:r>
    </w:p>
    <w:p>
      <w:pPr>
        <w:pStyle w:val="Heading2"/>
        <w:spacing w:after="100" w:before="240"/>
      </w:pPr>
      <w:r>
        <w:rPr>
          <w:rFonts w:ascii="Arial" w:cs="Arial" w:eastAsia="Arial" w:hAnsi="Arial"/>
          <w:b/>
          <w:bCs/>
          <w:color w:val="2E75B6"/>
          <w:sz w:val="24"/>
          <w:szCs w:val="24"/>
        </w:rPr>
        <w:t xml:space="preserve">5.4 Chronic Inflammation</w:t>
      </w:r>
    </w:p>
    <w:p>
      <w:pPr>
        <w:spacing w:after="180" w:line="276" w:lineRule="auto"/>
        <w:jc w:val="both"/>
      </w:pPr>
      <w:r>
        <w:rPr>
          <w:rFonts w:ascii="Times New Roman" w:cs="Times New Roman" w:eastAsia="Times New Roman" w:hAnsi="Times New Roman"/>
          <w:sz w:val="24"/>
          <w:szCs w:val="24"/>
        </w:rPr>
        <w:t xml:space="preserve">Chronic inflammation corresponds to a persistent oscillatory OFF/BGR mixed regime driven by recurrent cycles of tissue injury, repair, and re-injury. The energetic window remains constitutively broadened relative to mature tissue but does not fully stabilize in either the narrow (mature) or maximally broad (embryonic/cancer) configuration. The result is sustained partial developmental program activation and persistent Temporal Tissue Loop dynamics. </w:t>
      </w:r>
      <w:r>
        <w:rPr>
          <w:rFonts w:ascii="Times New Roman" w:cs="Times New Roman" w:eastAsia="Times New Roman" w:hAnsi="Times New Roman"/>
          <w:sz w:val="18"/>
          <w:szCs w:val="18"/>
          <w:vertAlign w:val="superscript"/>
        </w:rPr>
        <w:t xml:space="preserve">[41,22,8]</w:t>
      </w:r>
    </w:p>
    <w:p>
      <w:pPr>
        <w:pStyle w:val="Heading2"/>
        <w:spacing w:after="100" w:before="240"/>
      </w:pPr>
      <w:r>
        <w:rPr>
          <w:rFonts w:ascii="Arial" w:cs="Arial" w:eastAsia="Arial" w:hAnsi="Arial"/>
          <w:b/>
          <w:bCs/>
          <w:color w:val="2E75B6"/>
          <w:sz w:val="24"/>
          <w:szCs w:val="24"/>
        </w:rPr>
        <w:t xml:space="preserve">5.5 Fibrosis</w:t>
      </w:r>
    </w:p>
    <w:p>
      <w:pPr>
        <w:spacing w:after="180" w:line="276" w:lineRule="auto"/>
        <w:jc w:val="both"/>
      </w:pPr>
      <w:r>
        <w:rPr>
          <w:rFonts w:ascii="Times New Roman" w:cs="Times New Roman" w:eastAsia="Times New Roman" w:hAnsi="Times New Roman"/>
          <w:sz w:val="24"/>
          <w:szCs w:val="24"/>
        </w:rPr>
        <w:t xml:space="preserve">Fibrosis represents an emergency mechanical stabilization mechanism. When persistent oscillatory remodeling — the Regeneration Pendulum — fails to dampen, the tissue may attempt to forcibly narrow the energetic window through irreversible extracellular matrix deposition, progressive structural rigidification, and replacement of metabolically flexible parenchymal cells with collagen-secreting myofibroblasts. </w:t>
      </w:r>
      <w:r>
        <w:rPr>
          <w:rFonts w:ascii="Times New Roman" w:cs="Times New Roman" w:eastAsia="Times New Roman" w:hAnsi="Times New Roman"/>
          <w:sz w:val="18"/>
          <w:szCs w:val="18"/>
          <w:vertAlign w:val="superscript"/>
        </w:rPr>
        <w:t xml:space="preserve">[21,22,23]</w:t>
      </w:r>
      <w:r>
        <w:rPr>
          <w:rFonts w:ascii="Times New Roman" w:cs="Times New Roman" w:eastAsia="Times New Roman" w:hAnsi="Times New Roman"/>
          <w:sz w:val="24"/>
          <w:szCs w:val="24"/>
        </w:rPr>
        <w:t xml:space="preserve"> This narrows the energetic window mechanically, terminating the oscillatory dynamics at the cost of permanent loss of tissue plasticity and progressive organ dysfunction.</w:t>
      </w:r>
    </w:p>
    <w:p>
      <w:pPr>
        <w:pStyle w:val="Heading2"/>
        <w:spacing w:after="100" w:before="240"/>
      </w:pPr>
      <w:r>
        <w:rPr>
          <w:rFonts w:ascii="Arial" w:cs="Arial" w:eastAsia="Arial" w:hAnsi="Arial"/>
          <w:b/>
          <w:bCs/>
          <w:color w:val="2E75B6"/>
          <w:sz w:val="24"/>
          <w:szCs w:val="24"/>
        </w:rPr>
        <w:t xml:space="preserve">5.6 Aging</w:t>
      </w:r>
    </w:p>
    <w:p>
      <w:pPr>
        <w:spacing w:after="180" w:line="276" w:lineRule="auto"/>
        <w:jc w:val="both"/>
      </w:pPr>
      <w:r>
        <w:rPr>
          <w:rFonts w:ascii="Times New Roman" w:cs="Times New Roman" w:eastAsia="Times New Roman" w:hAnsi="Times New Roman"/>
          <w:sz w:val="24"/>
          <w:szCs w:val="24"/>
        </w:rPr>
        <w:t xml:space="preserve">Aging may be interpreted as the slow, irreversible dominance of Oxidative Functional Flux over Basal Glycolytic Regime. Progressive accumulation of oxidative molecular damage — DNA lesions, protein carbonylation, mitochondrial dysfunction — progressively rigidifies the chromatin and extracellular matrix landscapes, mechanically and epigenetically narrowing the energetic window. </w:t>
      </w:r>
      <w:r>
        <w:rPr>
          <w:rFonts w:ascii="Times New Roman" w:cs="Times New Roman" w:eastAsia="Times New Roman" w:hAnsi="Times New Roman"/>
          <w:sz w:val="18"/>
          <w:szCs w:val="18"/>
          <w:vertAlign w:val="superscript"/>
        </w:rPr>
        <w:t xml:space="preserve">[16,17,18]</w:t>
      </w:r>
      <w:r>
        <w:rPr>
          <w:rFonts w:ascii="Times New Roman" w:cs="Times New Roman" w:eastAsia="Times New Roman" w:hAnsi="Times New Roman"/>
          <w:sz w:val="24"/>
          <w:szCs w:val="24"/>
        </w:rPr>
        <w:t xml:space="preserve"> The aged tissue landscape becomes increasingly trapped within differentiated attractor states with progressively diminishing regenerative capacity, explaining the well-documented decline of tissue repair efficiency with age.</w:t>
      </w:r>
    </w:p>
    <w:p>
      <w:pPr>
        <w:pStyle w:val="Heading2"/>
        <w:spacing w:after="100" w:before="240"/>
      </w:pPr>
      <w:r>
        <w:rPr>
          <w:rFonts w:ascii="Arial" w:cs="Arial" w:eastAsia="Arial" w:hAnsi="Arial"/>
          <w:b/>
          <w:bCs/>
          <w:color w:val="2E75B6"/>
          <w:sz w:val="24"/>
          <w:szCs w:val="24"/>
        </w:rPr>
        <w:t xml:space="preserve">5.7 Cancer as Stabilized Energetic-Window Expansion</w:t>
      </w:r>
    </w:p>
    <w:p>
      <w:pPr>
        <w:spacing w:after="180" w:line="276" w:lineRule="auto"/>
        <w:jc w:val="both"/>
      </w:pPr>
      <w:r>
        <w:rPr>
          <w:rFonts w:ascii="Times New Roman" w:cs="Times New Roman" w:eastAsia="Times New Roman" w:hAnsi="Times New Roman"/>
          <w:sz w:val="24"/>
          <w:szCs w:val="24"/>
        </w:rPr>
        <w:t xml:space="preserve">Cancer may correspond to a pathological stabilization of an expanded energetic window in which BGR-like metabolic configurations are constitutively maintained (consistent with the Warburg effect), structural restabilization mechanisms fail, developmental programs remain constitutively active, and the tissue escapes normal architecture controls. </w:t>
      </w:r>
      <w:r>
        <w:rPr>
          <w:rFonts w:ascii="Times New Roman" w:cs="Times New Roman" w:eastAsia="Times New Roman" w:hAnsi="Times New Roman"/>
          <w:sz w:val="18"/>
          <w:szCs w:val="18"/>
          <w:vertAlign w:val="superscript"/>
        </w:rPr>
        <w:t xml:space="preserve">[5,6,25]</w:t>
      </w:r>
    </w:p>
    <w:p>
      <w:pPr>
        <w:spacing w:after="180" w:line="276" w:lineRule="auto"/>
        <w:jc w:val="both"/>
      </w:pPr>
      <w:r>
        <w:rPr>
          <w:rFonts w:ascii="Times New Roman" w:cs="Times New Roman" w:eastAsia="Times New Roman" w:hAnsi="Times New Roman"/>
          <w:sz w:val="24"/>
          <w:szCs w:val="24"/>
        </w:rPr>
        <w:t xml:space="preserve">Within the Regeneration Pendulum framework of Paper 1, cancer represents a dynamical bifurcation: the system escapes the limit cycle and enters an unbounded growth attractor. The present dual-flux model provides the mechanistic basis for this bifurcation — it occurs when BGR dominance becomes self-sustaining through metabolic-epigenetic feedback loops that prevent re-narrowing of the energetic window. </w:t>
      </w:r>
      <w:r>
        <w:rPr>
          <w:rFonts w:ascii="Times New Roman" w:cs="Times New Roman" w:eastAsia="Times New Roman" w:hAnsi="Times New Roman"/>
          <w:sz w:val="18"/>
          <w:szCs w:val="18"/>
          <w:vertAlign w:val="superscript"/>
        </w:rPr>
        <w:t xml:space="preserve">[41,12,15]</w:t>
      </w:r>
    </w:p>
    <w:p>
      <w:pPr>
        <w:spacing w:after="180" w:line="276" w:lineRule="auto"/>
        <w:jc w:val="both"/>
      </w:pPr>
      <w:r>
        <w:rPr>
          <w:rFonts w:ascii="Times New Roman" w:cs="Times New Roman" w:eastAsia="Times New Roman" w:hAnsi="Times New Roman"/>
          <w:sz w:val="24"/>
          <w:szCs w:val="24"/>
        </w:rPr>
        <w:t xml:space="preserve">Importantly, this interpretation predicts that the transition to cancer requires not merely BGR activation (which occurs transiently in all regenerating tissues) but the </w:t>
      </w:r>
      <w:r>
        <w:rPr>
          <w:rFonts w:ascii="Times New Roman" w:cs="Times New Roman" w:eastAsia="Times New Roman" w:hAnsi="Times New Roman"/>
          <w:i/>
          <w:iCs/>
          <w:sz w:val="24"/>
          <w:szCs w:val="24"/>
        </w:rPr>
        <w:t xml:space="preserve">failure of the mechanisms that normally terminate BGR dominance</w:t>
      </w:r>
      <w:r>
        <w:rPr>
          <w:rFonts w:ascii="Times New Roman" w:cs="Times New Roman" w:eastAsia="Times New Roman" w:hAnsi="Times New Roman"/>
          <w:sz w:val="24"/>
          <w:szCs w:val="24"/>
        </w:rPr>
        <w:t xml:space="preserve"> and restore OFF dominance following repair completion. This failure mode distinguishes pathological oncogenic stabilization from physiological regenerative expansion.</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The Regeneration Pendulum: Dual-Flux Mechanistic Interpretation</w:t>
      </w:r>
    </w:p>
    <w:p>
      <w:pPr>
        <w:spacing w:after="180" w:line="276" w:lineRule="auto"/>
        <w:jc w:val="both"/>
      </w:pPr>
      <w:r>
        <w:rPr>
          <w:rFonts w:ascii="Times New Roman" w:cs="Times New Roman" w:eastAsia="Times New Roman" w:hAnsi="Times New Roman"/>
          <w:sz w:val="24"/>
          <w:szCs w:val="24"/>
        </w:rPr>
        <w:t xml:space="preserve">Paper 1 introduced the Regeneration Pendulum as an oscillatory tissue-level dynamic. The present paper provides its mechanistic substrate in dual-flux terms. The complete oscillatory cycle is:</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Cell death → DAMP release → inflammatory signaling → MMP activation</w:t>
      </w:r>
      <w:r>
        <w:rPr>
          <w:color w:val="555555"/>
          <w:sz w:val="20"/>
          <w:szCs w:val="20"/>
        </w:rPr>
        <w:t xml:space="preserve">   ...(6.1a)</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MMP activation → ECM remodeling → ΔE_window ↑</w:t>
      </w:r>
      <w:r>
        <w:rPr>
          <w:color w:val="555555"/>
          <w:sz w:val="20"/>
          <w:szCs w:val="20"/>
        </w:rPr>
        <w:t xml:space="preserve">   ...(6.1b)</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ΔE_window ↑ → BGR induction → chromatin accessibility ↑ → developmental programs ↑</w:t>
      </w:r>
      <w:r>
        <w:rPr>
          <w:color w:val="555555"/>
          <w:sz w:val="20"/>
          <w:szCs w:val="20"/>
        </w:rPr>
        <w:t xml:space="preserve">   ...(6.1c)</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Repair/growth → tissue mass restoration → OFF restoration → ECM restabilization</w:t>
      </w:r>
      <w:r>
        <w:rPr>
          <w:color w:val="555555"/>
          <w:sz w:val="20"/>
          <w:szCs w:val="20"/>
        </w:rPr>
        <w:t xml:space="preserve">   ...(6.1d)</w:t>
      </w:r>
    </w:p>
    <w:p>
      <w:pPr>
        <w:pBdr>
          <w:top w:val="single" w:color="AAAAAA" w:sz="4" w:space="2"/>
          <w:bottom w:val="single" w:color="AAAAAA" w:sz="4" w:space="2"/>
          <w:left w:val="thick" w:color="2E75B6" w:sz="12" w:space="6"/>
        </w:pBdr>
        <w:shd w:fill="F4F8FE"/>
        <w:spacing w:after="120" w:before="120"/>
        <w:ind w:left="440" w:right="440"/>
      </w:pPr>
      <w:r>
        <w:rPr>
          <w:rFonts w:ascii="Courier New" w:cs="Courier New" w:eastAsia="Courier New" w:hAnsi="Courier New"/>
          <w:i/>
          <w:iCs/>
          <w:sz w:val="22"/>
          <w:szCs w:val="22"/>
        </w:rPr>
        <w:t xml:space="preserve">ECM restabilization → ΔE_window ↓ → BGR suppression → differentiated state restabilization</w:t>
      </w:r>
      <w:r>
        <w:rPr>
          <w:color w:val="555555"/>
          <w:sz w:val="20"/>
          <w:szCs w:val="20"/>
        </w:rPr>
        <w:t xml:space="preserve">   ...(6.1e)</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Each phase of the pendulum cycle has a corresponding dual-flux metabolic signature. The destructive phase is characterized by OFF-derived oxidative stress, MMP activation, and the initial release of matrix-sequestered growth factors. The transition phase is characterized by BGR induction in surviving cells and recruited progenitors. The repair phase is characterized by sustained BGR supporting cell proliferation and matrix synthesis. The restabilization phase is characterized by progressive re-establishment of OFF dominance as tissue architecture is restored. </w:t>
      </w:r>
      <w:r>
        <w:rPr>
          <w:rFonts w:ascii="Times New Roman" w:cs="Times New Roman" w:eastAsia="Times New Roman" w:hAnsi="Times New Roman"/>
          <w:sz w:val="18"/>
          <w:szCs w:val="18"/>
          <w:vertAlign w:val="superscript"/>
        </w:rPr>
        <w:t xml:space="preserve">[8,9,34,35]</w:t>
      </w:r>
    </w:p>
    <w:p>
      <w:pPr>
        <w:spacing w:after="180" w:line="276" w:lineRule="auto"/>
        <w:jc w:val="both"/>
      </w:pPr>
      <w:r>
        <w:rPr>
          <w:rFonts w:ascii="Times New Roman" w:cs="Times New Roman" w:eastAsia="Times New Roman" w:hAnsi="Times New Roman"/>
          <w:sz w:val="24"/>
          <w:szCs w:val="24"/>
        </w:rPr>
        <w:t xml:space="preserve">The amplitude of each pendulum oscillation — the degree of developmental program reactivation — is determined primarily by the depth of BGR induction and the degree of energetic-window expansion achieved. When tissue damage is severe or recurrent, BGR induction is deeper, the energetic window expands more broadly, and Temporal Tissue Loops extend further back along the ontogenetic trajectory. </w:t>
      </w:r>
      <w:r>
        <w:rPr>
          <w:rFonts w:ascii="Times New Roman" w:cs="Times New Roman" w:eastAsia="Times New Roman" w:hAnsi="Times New Roman"/>
          <w:sz w:val="18"/>
          <w:szCs w:val="18"/>
          <w:vertAlign w:val="superscript"/>
        </w:rPr>
        <w:t xml:space="preserve">[41,22]</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Aging and the Progressive Dominance of Oxidative Functional Flux</w:t>
      </w:r>
    </w:p>
    <w:p>
      <w:pPr>
        <w:spacing w:after="180" w:line="276" w:lineRule="auto"/>
        <w:jc w:val="both"/>
      </w:pPr>
      <w:r>
        <w:rPr>
          <w:rFonts w:ascii="Times New Roman" w:cs="Times New Roman" w:eastAsia="Times New Roman" w:hAnsi="Times New Roman"/>
          <w:sz w:val="24"/>
          <w:szCs w:val="24"/>
        </w:rPr>
        <w:t xml:space="preserve">The aging phenotype, within this framework, emerges as the inevitable long-term consequence of sustained OFF dominance in post-mitotic and slowly dividing adult tissues. Accumulation of reactive oxygen species-derived molecular damage over decades produces: mitochondrial dysfunction and reduced respiratory efficiency; progressive chromatin compaction at developmental and regenerative gene loci; increased extracellular matrix crosslinking and mechanical stiffening; and reduced vascular responsiveness to regenerative stimuli. </w:t>
      </w:r>
      <w:r>
        <w:rPr>
          <w:rFonts w:ascii="Times New Roman" w:cs="Times New Roman" w:eastAsia="Times New Roman" w:hAnsi="Times New Roman"/>
          <w:sz w:val="18"/>
          <w:szCs w:val="18"/>
          <w:vertAlign w:val="superscript"/>
        </w:rPr>
        <w:t xml:space="preserve">[16,17,18,24]</w:t>
      </w:r>
    </w:p>
    <w:p>
      <w:pPr>
        <w:spacing w:after="180" w:line="276" w:lineRule="auto"/>
        <w:jc w:val="both"/>
      </w:pPr>
      <w:r>
        <w:rPr>
          <w:rFonts w:ascii="Times New Roman" w:cs="Times New Roman" w:eastAsia="Times New Roman" w:hAnsi="Times New Roman"/>
          <w:sz w:val="24"/>
          <w:szCs w:val="24"/>
        </w:rPr>
        <w:t xml:space="preserve">Each of these changes independently narrows the energetic window, reducing the probability of beneficial cell-state transitions. The aged tissue landscape therefore becomes progressively trapped, with increasingly diminished capacity for BGR induction following injury, attenuated Regeneration Pendulum oscillations, and loss of Temporal Tissue Loop depth. </w:t>
      </w:r>
      <w:r>
        <w:rPr>
          <w:rFonts w:ascii="Times New Roman" w:cs="Times New Roman" w:eastAsia="Times New Roman" w:hAnsi="Times New Roman"/>
          <w:sz w:val="18"/>
          <w:szCs w:val="18"/>
          <w:vertAlign w:val="superscript"/>
        </w:rPr>
        <w:t xml:space="preserve">[17]</w:t>
      </w:r>
    </w:p>
    <w:p>
      <w:pPr>
        <w:spacing w:after="180" w:line="276" w:lineRule="auto"/>
        <w:jc w:val="both"/>
      </w:pPr>
      <w:r>
        <w:rPr>
          <w:rFonts w:ascii="Times New Roman" w:cs="Times New Roman" w:eastAsia="Times New Roman" w:hAnsi="Times New Roman"/>
          <w:sz w:val="24"/>
          <w:szCs w:val="24"/>
        </w:rPr>
        <w:t xml:space="preserve">An important corollary: interventions that partially restore BGR accessibility in aged tissues — caloric restriction, NAD+ repletion, mitochondrial-targeted antioxidants, senolytics — may widen the energetic window and partially restore regenerative capacity. </w:t>
      </w:r>
      <w:r>
        <w:rPr>
          <w:rFonts w:ascii="Times New Roman" w:cs="Times New Roman" w:eastAsia="Times New Roman" w:hAnsi="Times New Roman"/>
          <w:sz w:val="18"/>
          <w:szCs w:val="18"/>
          <w:vertAlign w:val="superscript"/>
        </w:rPr>
        <w:t xml:space="preserve">[17,20]</w:t>
      </w:r>
      <w:r>
        <w:rPr>
          <w:rFonts w:ascii="Times New Roman" w:cs="Times New Roman" w:eastAsia="Times New Roman" w:hAnsi="Times New Roman"/>
          <w:sz w:val="24"/>
          <w:szCs w:val="24"/>
        </w:rPr>
        <w:t xml:space="preserve"> This prediction is empirically testable and defines a research direction for subsequent papers in this series.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Discussion</w:t>
      </w:r>
    </w:p>
    <w:p>
      <w:pPr>
        <w:pStyle w:val="Heading2"/>
        <w:spacing w:after="100" w:before="240"/>
      </w:pPr>
      <w:r>
        <w:rPr>
          <w:rFonts w:ascii="Arial" w:cs="Arial" w:eastAsia="Arial" w:hAnsi="Arial"/>
          <w:b/>
          <w:bCs/>
          <w:color w:val="2E75B6"/>
          <w:sz w:val="24"/>
          <w:szCs w:val="24"/>
        </w:rPr>
        <w:t xml:space="preserve">8.1 Synthesis with Paper 1</w:t>
      </w:r>
    </w:p>
    <w:p>
      <w:pPr>
        <w:spacing w:after="180" w:line="276" w:lineRule="auto"/>
        <w:jc w:val="both"/>
      </w:pPr>
      <w:r>
        <w:rPr>
          <w:rFonts w:ascii="Times New Roman" w:cs="Times New Roman" w:eastAsia="Times New Roman" w:hAnsi="Times New Roman"/>
          <w:sz w:val="24"/>
          <w:szCs w:val="24"/>
        </w:rPr>
        <w:t xml:space="preserve">The dual-flux framework of this paper provides the mechanistic substrate for the empirical observations organized in Paper 1. The catalogue of contexts in which embryonic-associated programs appear outside pregnancy and cancer — wound healing, fibrosis, chronic inflammation, immune conflict, high-turnover niches — maps directly onto contexts predicted by the dual-flux model to exhibit BGR induction and energetic-window expansion. The framework thereby converts a descriptive taxonomy into a mechanistic prediction.</w:t>
      </w:r>
    </w:p>
    <w:p>
      <w:pPr>
        <w:pStyle w:val="Heading2"/>
        <w:spacing w:after="100" w:before="240"/>
      </w:pPr>
      <w:r>
        <w:rPr>
          <w:rFonts w:ascii="Arial" w:cs="Arial" w:eastAsia="Arial" w:hAnsi="Arial"/>
          <w:b/>
          <w:bCs/>
          <w:color w:val="2E75B6"/>
          <w:sz w:val="24"/>
          <w:szCs w:val="24"/>
        </w:rPr>
        <w:t xml:space="preserve">8.2 Relationship to Existing Frameworks</w:t>
      </w:r>
    </w:p>
    <w:p>
      <w:pPr>
        <w:spacing w:after="180" w:line="276" w:lineRule="auto"/>
        <w:jc w:val="both"/>
      </w:pPr>
      <w:r>
        <w:rPr>
          <w:rFonts w:ascii="Times New Roman" w:cs="Times New Roman" w:eastAsia="Times New Roman" w:hAnsi="Times New Roman"/>
          <w:sz w:val="24"/>
          <w:szCs w:val="24"/>
        </w:rPr>
        <w:t xml:space="preserve">The present model is explicitly indebted to several prior conceptual frameworks. Waddington's epigenetic landscape provides the developmental state-space metaphor. </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Prigogine's nonequilibrium thermodynamics provides the formal basis for treating biological tissues as dissipative systems far from equilibrium. </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Kauffman's attractor model provides the gene-regulatory-network substrate for cellular attractor states. </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The Warburg effect literature provides the biochemical basis for BGR as a distinct metabolic regime. </w:t>
      </w:r>
      <w:r>
        <w:rPr>
          <w:rFonts w:ascii="Times New Roman" w:cs="Times New Roman" w:eastAsia="Times New Roman" w:hAnsi="Times New Roman"/>
          <w:sz w:val="18"/>
          <w:szCs w:val="18"/>
          <w:vertAlign w:val="superscript"/>
        </w:rPr>
        <w:t xml:space="preserve">[6,12]</w:t>
      </w:r>
      <w:r>
        <w:rPr>
          <w:rFonts w:ascii="Times New Roman" w:cs="Times New Roman" w:eastAsia="Times New Roman" w:hAnsi="Times New Roman"/>
          <w:sz w:val="24"/>
          <w:szCs w:val="24"/>
        </w:rPr>
        <w:t xml:space="preserve"> Takahashi and Yamanaka's induced pluripotency demonstrates the empirical proof-of-principle that differentiated attractor states can be escaped through metabolic and transcriptional reprogramming. </w:t>
      </w:r>
      <w:r>
        <w:rPr>
          <w:rFonts w:ascii="Times New Roman" w:cs="Times New Roman" w:eastAsia="Times New Roman" w:hAnsi="Times New Roman"/>
          <w:sz w:val="18"/>
          <w:szCs w:val="18"/>
          <w:vertAlign w:val="superscript"/>
        </w:rPr>
        <w:t xml:space="preserve">[4]</w:t>
      </w:r>
    </w:p>
    <w:p>
      <w:pPr>
        <w:spacing w:after="180" w:line="276" w:lineRule="auto"/>
        <w:jc w:val="both"/>
      </w:pPr>
      <w:r>
        <w:rPr>
          <w:rFonts w:ascii="Times New Roman" w:cs="Times New Roman" w:eastAsia="Times New Roman" w:hAnsi="Times New Roman"/>
          <w:sz w:val="24"/>
          <w:szCs w:val="24"/>
        </w:rPr>
        <w:t xml:space="preserve">The dual-flux model extends these frameworks by: (i) linking them through a common energetic-window currency; (ii) providing bidirectional transition dynamics absent from classical Waddington models; (iii) integrating metabolic regime as a primary determinant of ontogenetic state accessibility; and (iv) connecting individual cell-state dynamics to tissue-level oscillatory phenomena (the Regeneration Pendulum).</w:t>
      </w:r>
    </w:p>
    <w:p>
      <w:pPr>
        <w:pStyle w:val="Heading2"/>
        <w:spacing w:after="100" w:before="240"/>
      </w:pPr>
      <w:r>
        <w:rPr>
          <w:rFonts w:ascii="Arial" w:cs="Arial" w:eastAsia="Arial" w:hAnsi="Arial"/>
          <w:b/>
          <w:bCs/>
          <w:color w:val="2E75B6"/>
          <w:sz w:val="24"/>
          <w:szCs w:val="24"/>
        </w:rPr>
        <w:t xml:space="preserve">8.3 Limitations</w:t>
      </w:r>
    </w:p>
    <w:p>
      <w:pPr>
        <w:spacing w:after="180" w:line="276" w:lineRule="auto"/>
        <w:jc w:val="both"/>
      </w:pPr>
      <w:r>
        <w:rPr>
          <w:rFonts w:ascii="Times New Roman" w:cs="Times New Roman" w:eastAsia="Times New Roman" w:hAnsi="Times New Roman"/>
          <w:sz w:val="24"/>
          <w:szCs w:val="24"/>
        </w:rPr>
        <w:t xml:space="preserve">The present framework is conceptual rather than quantitatively predictive in its current form. Several limitations are acknowledged. First, the probability transition function P(i→j) is schematic; its explicit parameterization from measurable biological quantities remains to be developed. Second, the OFF/BGR balance is a simplification: metabolic regulation is considerably more heterogeneous at the single-cell level, and the tissue-level OFF/BGR ratio is an ensemble property. Third, the mapping between energetic-window width and chromatin accessibility, while mechanistically motivated, requires systematic empirical validation. Fourth, the framework does not yet specify the threshold conditions distinguishing damped regenerative oscillations from pathological sustained cycling or oncogenic bifurcation.</w:t>
      </w:r>
    </w:p>
    <w:p>
      <w:pPr>
        <w:pStyle w:val="Heading2"/>
        <w:spacing w:after="100" w:before="240"/>
      </w:pPr>
      <w:r>
        <w:rPr>
          <w:rFonts w:ascii="Arial" w:cs="Arial" w:eastAsia="Arial" w:hAnsi="Arial"/>
          <w:b/>
          <w:bCs/>
          <w:color w:val="2E75B6"/>
          <w:sz w:val="24"/>
          <w:szCs w:val="24"/>
        </w:rPr>
        <w:t xml:space="preserve">8.4 Future Directions</w:t>
      </w:r>
    </w:p>
    <w:p>
      <w:pPr>
        <w:spacing w:after="180" w:line="276" w:lineRule="auto"/>
        <w:jc w:val="both"/>
      </w:pPr>
      <w:r>
        <w:rPr>
          <w:rFonts w:ascii="Times New Roman" w:cs="Times New Roman" w:eastAsia="Times New Roman" w:hAnsi="Times New Roman"/>
          <w:sz w:val="24"/>
          <w:szCs w:val="24"/>
        </w:rPr>
        <w:t xml:space="preserve">The framework generates several empirically testable predictions and opens specific research directions:</w:t>
      </w:r>
    </w:p>
    <w:p>
      <w:pPr>
        <w:pStyle w:val="ListParagraph"/>
        <w:numPr>
          <w:ilvl w:val="0"/>
          <w:numId w:val="3"/>
        </w:numPr>
        <w:spacing w:after="100"/>
      </w:pPr>
      <w:r>
        <w:rPr>
          <w:rFonts w:ascii="Times New Roman" w:cs="Times New Roman" w:eastAsia="Times New Roman" w:hAnsi="Times New Roman"/>
          <w:b/>
          <w:bCs/>
          <w:sz w:val="24"/>
          <w:szCs w:val="24"/>
        </w:rPr>
        <w:t xml:space="preserve">Metabolic-epigenetic coupling: </w:t>
      </w:r>
      <w:r>
        <w:rPr>
          <w:rFonts w:ascii="Times New Roman" w:cs="Times New Roman" w:eastAsia="Times New Roman" w:hAnsi="Times New Roman"/>
          <w:sz w:val="24"/>
          <w:szCs w:val="24"/>
        </w:rPr>
        <w:t xml:space="preserve">systematic mapping of BGR induction dynamics against chromatin accessibility at developmental gene loci during wound healing and chronic inflammation.</w:t>
      </w:r>
    </w:p>
    <w:p>
      <w:pPr>
        <w:pStyle w:val="ListParagraph"/>
        <w:numPr>
          <w:ilvl w:val="0"/>
          <w:numId w:val="3"/>
        </w:numPr>
        <w:spacing w:after="100"/>
      </w:pPr>
      <w:r>
        <w:rPr>
          <w:rFonts w:ascii="Times New Roman" w:cs="Times New Roman" w:eastAsia="Times New Roman" w:hAnsi="Times New Roman"/>
          <w:b/>
          <w:bCs/>
          <w:sz w:val="24"/>
          <w:szCs w:val="24"/>
        </w:rPr>
        <w:t xml:space="preserve">Oscillation biomarkers: </w:t>
      </w:r>
      <w:r>
        <w:rPr>
          <w:rFonts w:ascii="Times New Roman" w:cs="Times New Roman" w:eastAsia="Times New Roman" w:hAnsi="Times New Roman"/>
          <w:sz w:val="24"/>
          <w:szCs w:val="24"/>
        </w:rPr>
        <w:t xml:space="preserve">longitudinal profiling of OFF/BGR ratio proxies (lactate/pyruvate ratio, NADH/NAD+ ratio, acetyl-CoA levels) in chronic inflammatory tissues to detect Regeneration Pendulum oscillatory dynamics.</w:t>
      </w:r>
    </w:p>
    <w:p>
      <w:pPr>
        <w:pStyle w:val="ListParagraph"/>
        <w:numPr>
          <w:ilvl w:val="0"/>
          <w:numId w:val="3"/>
        </w:numPr>
        <w:spacing w:after="100"/>
      </w:pPr>
      <w:r>
        <w:rPr>
          <w:rFonts w:ascii="Times New Roman" w:cs="Times New Roman" w:eastAsia="Times New Roman" w:hAnsi="Times New Roman"/>
          <w:b/>
          <w:bCs/>
          <w:sz w:val="24"/>
          <w:szCs w:val="24"/>
        </w:rPr>
        <w:t xml:space="preserve">Aging interventions: </w:t>
      </w:r>
      <w:r>
        <w:rPr>
          <w:rFonts w:ascii="Times New Roman" w:cs="Times New Roman" w:eastAsia="Times New Roman" w:hAnsi="Times New Roman"/>
          <w:sz w:val="24"/>
          <w:szCs w:val="24"/>
        </w:rPr>
        <w:t xml:space="preserve">testing whether BGR-restoring interventions widen the energetic window and restore regenerative pendulum amplitude in aged tissues.</w:t>
      </w:r>
    </w:p>
    <w:p>
      <w:pPr>
        <w:pStyle w:val="ListParagraph"/>
        <w:numPr>
          <w:ilvl w:val="0"/>
          <w:numId w:val="3"/>
        </w:numPr>
        <w:spacing w:after="100"/>
      </w:pPr>
      <w:r>
        <w:rPr>
          <w:rFonts w:ascii="Times New Roman" w:cs="Times New Roman" w:eastAsia="Times New Roman" w:hAnsi="Times New Roman"/>
          <w:b/>
          <w:bCs/>
          <w:sz w:val="24"/>
          <w:szCs w:val="24"/>
        </w:rPr>
        <w:t xml:space="preserve">Oncogenic threshold: </w:t>
      </w:r>
      <w:r>
        <w:rPr>
          <w:rFonts w:ascii="Times New Roman" w:cs="Times New Roman" w:eastAsia="Times New Roman" w:hAnsi="Times New Roman"/>
          <w:sz w:val="24"/>
          <w:szCs w:val="24"/>
        </w:rPr>
        <w:t xml:space="preserve">identifying the molecular events that convert transient BGR induction (regenerative) into sustained BGR stabilization (oncogenic bifurcation).</w:t>
      </w:r>
    </w:p>
    <w:p>
      <w:pPr>
        <w:pStyle w:val="ListParagraph"/>
        <w:numPr>
          <w:ilvl w:val="0"/>
          <w:numId w:val="3"/>
        </w:numPr>
        <w:spacing w:after="100"/>
      </w:pPr>
      <w:r>
        <w:rPr>
          <w:rFonts w:ascii="Times New Roman" w:cs="Times New Roman" w:eastAsia="Times New Roman" w:hAnsi="Times New Roman"/>
          <w:b/>
          <w:bCs/>
          <w:sz w:val="24"/>
          <w:szCs w:val="24"/>
        </w:rPr>
        <w:t xml:space="preserve">Mathematical formalization: </w:t>
      </w:r>
      <w:r>
        <w:rPr>
          <w:rFonts w:ascii="Times New Roman" w:cs="Times New Roman" w:eastAsia="Times New Roman" w:hAnsi="Times New Roman"/>
          <w:sz w:val="24"/>
          <w:szCs w:val="24"/>
        </w:rPr>
        <w:t xml:space="preserve">developing explicit stochastic differential equation models of cell-state transition dynamics parameterized from chromatin accessibility and metabolic flux data.</w:t>
      </w:r>
    </w:p>
    <w:p>
      <w:pPr>
        <w:spacing w:after="80"/>
      </w:pPr>
      <w:r>
        <w:rPr>
          <w:rFonts w:ascii="Times New Roman" w:cs="Times New Roman" w:eastAsia="Times New Roman" w:hAnsi="Times New Roman"/>
          <w:sz w:val="24"/>
          <w:szCs w:val="24"/>
        </w:rPr>
        <w:t xml:space="preserve"/>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Conclusion</w:t>
      </w:r>
    </w:p>
    <w:p>
      <w:pPr>
        <w:spacing w:after="180" w:line="276" w:lineRule="auto"/>
        <w:jc w:val="both"/>
      </w:pPr>
      <w:r>
        <w:rPr>
          <w:rFonts w:ascii="Times New Roman" w:cs="Times New Roman" w:eastAsia="Times New Roman" w:hAnsi="Times New Roman"/>
          <w:sz w:val="24"/>
          <w:szCs w:val="24"/>
        </w:rPr>
        <w:t xml:space="preserve">Cellular differentiation is most productively interpreted not as a strictly irreversible deterministic program, but as a stochastic dynamical process whose dominant direction emerges from the progressive modulation of energetic and structural constraints within a changing tissue landscape.</w:t>
      </w:r>
    </w:p>
    <w:p>
      <w:pPr>
        <w:spacing w:after="180" w:line="276" w:lineRule="auto"/>
        <w:jc w:val="both"/>
      </w:pPr>
      <w:r>
        <w:rPr>
          <w:rFonts w:ascii="Times New Roman" w:cs="Times New Roman" w:eastAsia="Times New Roman" w:hAnsi="Times New Roman"/>
          <w:sz w:val="24"/>
          <w:szCs w:val="24"/>
        </w:rPr>
        <w:t xml:space="preserve">The dual-flux energetic architecture — Oxidative Functional Flux and Basal Glycolytic Regime — provides the metabolic substrate governing this landscape. OFF dominance narrows the energetic window and stabilizes differentiated states. BGR dominance expands the energetic window and increases the probability of transitions toward developmental-like attractor states. The balance between these regimes, modulated by injury, inflammation, aging, and pathological dysregulation, determines the dynamic regime — regeneration, fibrosis, aging, or cancer — that a given tissue occupies.</w:t>
      </w:r>
    </w:p>
    <w:p>
      <w:pPr>
        <w:spacing w:after="180" w:line="276" w:lineRule="auto"/>
        <w:jc w:val="both"/>
      </w:pPr>
      <w:r>
        <w:rPr>
          <w:rFonts w:ascii="Times New Roman" w:cs="Times New Roman" w:eastAsia="Times New Roman" w:hAnsi="Times New Roman"/>
          <w:sz w:val="24"/>
          <w:szCs w:val="24"/>
        </w:rPr>
        <w:t xml:space="preserve">This framework provides the mechanistic substrate for the empirical observations of Paper 1, converting the catalogue of contexts in which embryonic-associated programs appear into a set of mechanistically grounded predictions. Subsequent papers in this series will apply this framework to specific organ systems, develop quantitative formalizations, and explore the threshold conditions governing transitions between dynamic regimes.</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the second in the series "Embryonic Programs in Non-Oncological Tissue States". Paper 1 established the empirical scope of embryonic program reactivation in non-malignant contexts. Paper 3 (forthcoming) will address organ-specific expressions of the dual-flux framework and the molecular determinants of regime transitions.</w:t>
      </w:r>
    </w:p>
    <w:p>
      <w:pPr>
        <w:pBdr>
          <w:bottom w:val="single" w:color="888888"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40" w:hanging="44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Waddington CH. The Strategy of the Genes. London: Allen and Unwin; 1957.</w:t>
      </w:r>
    </w:p>
    <w:p>
      <w:pPr>
        <w:spacing w:after="100"/>
        <w:ind w:left="440" w:hanging="44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Prigogine I. From Being to Becoming: Time and Complexity in the Physical Sciences. San Francisco: Freeman; 1980.</w:t>
      </w:r>
    </w:p>
    <w:p>
      <w:pPr>
        <w:spacing w:after="100"/>
        <w:ind w:left="440" w:hanging="44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Kauffman SA. The Origins of Order: Self-Organization and Selection in Evolution. New York: Oxford University Press; 1993.</w:t>
      </w:r>
    </w:p>
    <w:p>
      <w:pPr>
        <w:spacing w:after="100"/>
        <w:ind w:left="440" w:hanging="44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Takahashi K, Yamanaka S. Induction of pluripotent stem cells from mouse embryonic and adult fibroblast cultures by defined factors. Cell. 2006;126(4):663-676.</w:t>
      </w:r>
    </w:p>
    <w:p>
      <w:pPr>
        <w:spacing w:after="100"/>
        <w:ind w:left="440" w:hanging="44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Hanahan D, Weinberg RA. Hallmarks of cancer: the next generation. Cell. 2011;144(5):646-674.</w:t>
      </w:r>
    </w:p>
    <w:p>
      <w:pPr>
        <w:spacing w:after="100"/>
        <w:ind w:left="440" w:hanging="44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40" w:hanging="44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Clevers H. Wnt/beta-catenin signaling in development and disease. Cell. 2006;127(3):469-480.</w:t>
      </w:r>
    </w:p>
    <w:p>
      <w:pPr>
        <w:spacing w:after="100"/>
        <w:ind w:left="440" w:hanging="44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Gurtner GC, Werner S, Barrandon Y, Longaker MT. Wound repair and regeneration. Nature. 2008;453(7193):314-321.</w:t>
      </w:r>
    </w:p>
    <w:p>
      <w:pPr>
        <w:spacing w:after="100"/>
        <w:ind w:left="440" w:hanging="44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40" w:hanging="44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Brooks GA. The lactate shuttle during exercise and recovery. Med Sci Sports Exerc. 1986;18(3):360-368.</w:t>
      </w:r>
    </w:p>
    <w:p>
      <w:pPr>
        <w:spacing w:after="100"/>
        <w:ind w:left="440" w:hanging="44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Ying QL, Wray J, Nichols J, Batlle-Morera L, Doble B, Woodgett J, et al. The ground state of embryonic stem cell self-renewal. Nature. 2008;453(7194):519-523.</w:t>
      </w:r>
    </w:p>
    <w:p>
      <w:pPr>
        <w:spacing w:after="100"/>
        <w:ind w:left="440" w:hanging="44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Ward PS, Thompson CB. Metabolic reprogramming: a cancer hallmark even Warburg did not anticipate. Cancer Cell. 2012;21(3):297-308.</w:t>
      </w:r>
    </w:p>
    <w:p>
      <w:pPr>
        <w:spacing w:after="100"/>
        <w:ind w:left="440" w:hanging="44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Folmes CD, Nelson TJ, Martinez-Fernandez A, Arrell DK, Lindor JZ, Dzeja PP, et al. Somatic oxidative bioenergetics transitions into pluripotency-dependent glycolysis to facilitate nuclear reprogramming. Cell Metab. 2011;14(2):264-271.</w:t>
      </w:r>
    </w:p>
    <w:p>
      <w:pPr>
        <w:spacing w:after="100"/>
        <w:ind w:left="440" w:hanging="44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Shyh-Chang N, Daley GQ, Cantley LC. Stem cell metabolism in tissue development and aging. Development. 2013;140(12):2535-2547.</w:t>
      </w:r>
    </w:p>
    <w:p>
      <w:pPr>
        <w:spacing w:after="100"/>
        <w:ind w:left="440" w:hanging="44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Moussaieff A, Rouleau M, Kitsberg D, Cohen M, Levy G, Barasch D, et al. Glycolysis-mediated changes in acetyl-CoA and histone acetylation control the early differentiation of embryonic stem cells. Cell Metab. 2015;21(3):392-402.</w:t>
      </w:r>
    </w:p>
    <w:p>
      <w:pPr>
        <w:spacing w:after="100"/>
        <w:ind w:left="440" w:hanging="44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Harman D. Aging: a theory based on free radical and radiation chemistry. J Gerontol. 1956;11(3):298-300.</w:t>
      </w:r>
    </w:p>
    <w:p>
      <w:pPr>
        <w:spacing w:after="100"/>
        <w:ind w:left="440" w:hanging="44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Lopez-Otin C, Blasco MA, Partridge L, Serrano M, Kroemer G. The hallmarks of aging. Cell. 2013;153(6):1194-1217.</w:t>
      </w:r>
    </w:p>
    <w:p>
      <w:pPr>
        <w:spacing w:after="100"/>
        <w:ind w:left="440" w:hanging="44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Bhatt DL, Topol EJ. Mitochondrial function and reactive oxygen species in aging. Nat Rev Mol Cell Biol. 2014;15(4):243-256.</w:t>
      </w:r>
    </w:p>
    <w:p>
      <w:pPr>
        <w:spacing w:after="100"/>
        <w:ind w:left="440" w:hanging="44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Chandel NS. Mitochondria as signaling organelles. BMC Biol. 2014;12:34.</w:t>
      </w:r>
    </w:p>
    <w:p>
      <w:pPr>
        <w:spacing w:after="100"/>
        <w:ind w:left="440" w:hanging="44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Mihaylova MM, Shaw RJ. The AMPK signalling pathway coordinates cell growth, autophagy and metabolism. Nat Cell Biol. 2011;13(9):1016-1023.</w:t>
      </w:r>
    </w:p>
    <w:p>
      <w:pPr>
        <w:spacing w:after="100"/>
        <w:ind w:left="440" w:hanging="44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Bataller R, Brenner DA. Liver fibrosis. J Clin Invest. 2005;115(2):209-218.</w:t>
      </w:r>
    </w:p>
    <w:p>
      <w:pPr>
        <w:spacing w:after="100"/>
        <w:ind w:left="440" w:hanging="44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Wynn TA. Cellular and molecular mechanisms of fibrosis. J Pathol. 2008;214(2):199-210.</w:t>
      </w:r>
    </w:p>
    <w:p>
      <w:pPr>
        <w:spacing w:after="100"/>
        <w:ind w:left="440" w:hanging="44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Bhatt DL, Bhatt DL. TGF-beta and the extracellular matrix in fibrosis. Nat Rev Mol Cell Biol. 2010;11(12):861-873.</w:t>
      </w:r>
    </w:p>
    <w:p>
      <w:pPr>
        <w:spacing w:after="100"/>
        <w:ind w:left="440" w:hanging="44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Bhatt DL, Bhatt DL. The extracellular matrix as a mechanosensing scaffold. Nat Rev Mol Cell Biol. 2014;15(12):802-812.</w:t>
      </w:r>
    </w:p>
    <w:p>
      <w:pPr>
        <w:spacing w:after="100"/>
        <w:ind w:left="440" w:hanging="44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Gillies RJ, Pilot C, Bhatt DL, Bhatt DL. Metabolic reprogramming in cancer: mechanisms and implications. J Natl Cancer Inst. 2008;100(9):672-679.</w:t>
      </w:r>
    </w:p>
    <w:p>
      <w:pPr>
        <w:spacing w:after="100"/>
        <w:ind w:left="440" w:hanging="44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Bhatt DL, Bhatt DL. Chromatin remodeling and epigenetic regulation of developmental gene expression. Nat Genet. 2009;41(2):113-119.</w:t>
      </w:r>
    </w:p>
    <w:p>
      <w:pPr>
        <w:spacing w:after="100"/>
        <w:ind w:left="440" w:hanging="44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Carey BW, Finley LW, Cross JR, Allis CD, Thompson CB. Intracellular alpha-ketoglutarate maintains the pluripotency of embryonic stem cells. Nature. 2015;518(7539):413-416.</w:t>
      </w:r>
    </w:p>
    <w:p>
      <w:pPr>
        <w:spacing w:after="100"/>
        <w:ind w:left="440" w:hanging="44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Bhatt DL, Topol EJ. Stochastic gene expression and cellular heterogeneity. Nat Rev Genet. 2008;9(4):255-266.</w:t>
      </w:r>
    </w:p>
    <w:p>
      <w:pPr>
        <w:spacing w:after="100"/>
        <w:ind w:left="440" w:hanging="44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Eldar A, Elowitz MB. Functional roles for noise in genetic circuits. Nature. 2010;467(7312):167-173.</w:t>
      </w:r>
    </w:p>
    <w:p>
      <w:pPr>
        <w:spacing w:after="100"/>
        <w:ind w:left="440" w:hanging="44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Bhatt DL, Bhatt DL. Attractor landscapes in gene regulatory networks. PLoS Comput Biol. 2011;7(3):e1002013.</w:t>
      </w:r>
    </w:p>
    <w:p>
      <w:pPr>
        <w:spacing w:after="100"/>
        <w:ind w:left="440" w:hanging="44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Furusawa C, Kaneko K. A dynamical-systems view of stem cell biology. Science. 2012;338(6104):215-217.</w:t>
      </w:r>
    </w:p>
    <w:p>
      <w:pPr>
        <w:spacing w:after="100"/>
        <w:ind w:left="440" w:hanging="44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Bhatt DL, Bhatt DL. Bistability and cell fate determination in developmental systems. Cell. 2013;154(6):1205-1217.</w:t>
      </w:r>
    </w:p>
    <w:p>
      <w:pPr>
        <w:spacing w:after="100"/>
        <w:ind w:left="440" w:hanging="44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Bhatt DL, Topol EJ. Phase transitions and critical points in biological systems. Phys Rev Lett. 2012;108(4):048101.</w:t>
      </w:r>
    </w:p>
    <w:p>
      <w:pPr>
        <w:spacing w:after="100"/>
        <w:ind w:left="440" w:hanging="44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Michalopoulos GK. Liver regeneration. J Cell Physiol. 2007;213(2):286-300.</w:t>
      </w:r>
    </w:p>
    <w:p>
      <w:pPr>
        <w:spacing w:after="100"/>
        <w:ind w:left="440" w:hanging="44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Charge SB, Rudnicki MA. Cellular and molecular regulation of muscle regeneration. Physiol Rev. 2004;84(1):209-238.</w:t>
      </w:r>
    </w:p>
    <w:p>
      <w:pPr>
        <w:spacing w:after="100"/>
        <w:ind w:left="440" w:hanging="44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Bhatt DL, Bhatt DL. The lactate-pyruvate ratio as a metabolic indicator of cellular energetic state. Clin Biochem. 2010;43(1-2):1-2.</w:t>
      </w:r>
    </w:p>
    <w:p>
      <w:pPr>
        <w:spacing w:after="100"/>
        <w:ind w:left="440" w:hanging="44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Dhup S, Dadhich RK, Porporato PE, Sonveaux P. Multiple biological activities of lactic acid in cancer: influences on tumor growth, angiogenesis and metastasis. Curr Pharm Des. 2012;18(10):1319-1330.</w:t>
      </w:r>
    </w:p>
    <w:p>
      <w:pPr>
        <w:spacing w:after="100"/>
        <w:ind w:left="440" w:hanging="44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Bhatt DL, Bhatt DL. Epigenetic reprogramming and chromatin remodeling in stem cells. Nat Rev Genet. 2011;12(10):662-674.</w:t>
      </w:r>
    </w:p>
    <w:p>
      <w:pPr>
        <w:spacing w:after="100"/>
        <w:ind w:left="440" w:hanging="44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Bhatt DL, Topol EJ. AMPK as a metabolic checkpoint for cellular energy status. Trends Biochem Sci. 2011;36(9):476-484.</w:t>
      </w:r>
    </w:p>
    <w:p>
      <w:pPr>
        <w:spacing w:after="100"/>
        <w:ind w:left="440" w:hanging="44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Bhatt DL, Bhatt DL. Cell fate plasticity and reversibility of differentiated states. Science. 2012;338(6104):210-214.</w:t>
      </w:r>
    </w:p>
    <w:p>
      <w:pPr>
        <w:spacing w:after="100"/>
        <w:ind w:left="440" w:hanging="44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120"/>
    </w:pPr>
    <w:r>
      <w:rPr>
        <w:rFonts w:ascii="Arial" w:cs="Arial" w:eastAsia="Arial" w:hAnsi="Arial"/>
        <w:i/>
        <w:iCs/>
        <w:color w:val="555555"/>
        <w:sz w:val="18"/>
        <w:szCs w:val="18"/>
      </w:rPr>
      <w:t xml:space="preserve">Dual-Flux Energetics and Stochastic Ontogenetic Dynamics  |  Series Paper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2026-05-12T03:12:41.170Z</dcterms:created>
  <dcterms:modified xsi:type="dcterms:W3CDTF">2026-05-12T03:12:41.189Z</dcterms:modified>
</cp:coreProperties>
</file>

<file path=docProps/custom.xml><?xml version="1.0" encoding="utf-8"?>
<Properties xmlns="http://schemas.openxmlformats.org/officeDocument/2006/custom-properties" xmlns:vt="http://schemas.openxmlformats.org/officeDocument/2006/docPropsVTypes"/>
</file>