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Arial" w:cs="Arial" w:eastAsia="Arial" w:hAnsi="Arial"/>
          <w:i/>
          <w:iCs/>
          <w:color w:val="555555"/>
          <w:sz w:val="20"/>
          <w:szCs w:val="20"/>
        </w:rPr>
        <w:t xml:space="preserve">Series: Embryonic Programs in Non-Oncological Tissue States  |  Paper 3 of N</w:t>
      </w:r>
    </w:p>
    <w:p>
      <w:pPr>
        <w:spacing w:after="80"/>
      </w:pPr>
      <w:r>
        <w:rPr>
          <w:rFonts w:ascii="Arial" w:cs="Arial" w:eastAsia="Arial" w:hAnsi="Arial"/>
          <w:i/>
          <w:iCs/>
          <w:color w:val="888888"/>
          <w:sz w:val="18"/>
          <w:szCs w:val="18"/>
        </w:rPr>
        <w:t xml:space="preserve">Preceding papers: Paper 1 — Energetic Window Expansion, Regeneration Pendulum, and Temporal Tissue Loops; Paper 2 — Dual-Flux Energetics and Stochastic Ontogenetic Dynamics</w:t>
      </w:r>
    </w:p>
    <w:p>
      <w:pPr>
        <w:pBdr>
          <w:bottom w:val="single" w:color="999999" w:sz="4" w:space="1"/>
        </w:pBdr>
        <w:spacing w:after="160" w:before="120"/>
      </w:pPr>
      <w:r>
        <w:rPr>
          <w:rFonts w:ascii="Times New Roman" w:cs="Times New Roman" w:eastAsia="Times New Roman" w:hAnsi="Times New Roman"/>
          <w:sz w:val="24"/>
          <w:szCs w:val="24"/>
        </w:rPr>
        <w:t xml:space="preserve"/>
      </w:r>
    </w:p>
    <w:p>
      <w:pPr>
        <w:spacing w:after="80"/>
        <w:jc w:val="center"/>
      </w:pPr>
      <w:r>
        <w:rPr>
          <w:rFonts w:ascii="Arial" w:cs="Arial" w:eastAsia="Arial" w:hAnsi="Arial"/>
          <w:b/>
          <w:bCs/>
          <w:color w:val="1F3864"/>
          <w:sz w:val="38"/>
          <w:szCs w:val="38"/>
        </w:rPr>
        <w:t xml:space="preserve">Loss of Tissue Integration and the Transition from</w:t>
      </w:r>
    </w:p>
    <w:p>
      <w:pPr>
        <w:spacing w:after="80"/>
        <w:jc w:val="center"/>
      </w:pPr>
      <w:r>
        <w:rPr>
          <w:rFonts w:ascii="Arial" w:cs="Arial" w:eastAsia="Arial" w:hAnsi="Arial"/>
          <w:b/>
          <w:bCs/>
          <w:color w:val="1F3864"/>
          <w:sz w:val="38"/>
          <w:szCs w:val="38"/>
        </w:rPr>
        <w:t xml:space="preserve">3D to 2D Organization in Malignancy:</w:t>
      </w:r>
    </w:p>
    <w:p>
      <w:pPr>
        <w:spacing w:after="80"/>
        <w:jc w:val="center"/>
      </w:pPr>
      <w:r>
        <w:rPr>
          <w:rFonts w:ascii="Arial" w:cs="Arial" w:eastAsia="Arial" w:hAnsi="Arial"/>
          <w:b/>
          <w:bCs/>
          <w:color w:val="2E75B6"/>
          <w:sz w:val="28"/>
          <w:szCs w:val="28"/>
        </w:rPr>
        <w:t xml:space="preserve">A Conceptual Morphodynamic Model Based on</w:t>
      </w:r>
    </w:p>
    <w:p>
      <w:pPr>
        <w:spacing w:after="200"/>
        <w:jc w:val="center"/>
      </w:pPr>
      <w:r>
        <w:rPr>
          <w:rFonts w:ascii="Arial" w:cs="Arial" w:eastAsia="Arial" w:hAnsi="Arial"/>
          <w:b/>
          <w:bCs/>
          <w:color w:val="2E75B6"/>
          <w:sz w:val="28"/>
          <w:szCs w:val="28"/>
        </w:rPr>
        <w:t xml:space="preserve">Hydatidiform Mole, Glandular Carcinoma, and Energetic Window Dynamics</w:t>
      </w:r>
    </w:p>
    <w:p>
      <w:pPr>
        <w:spacing w:after="320"/>
        <w:jc w:val="center"/>
      </w:pPr>
      <w:r>
        <w:rPr>
          <w:rFonts w:ascii="Arial" w:cs="Arial" w:eastAsia="Arial" w:hAnsi="Arial"/>
          <w:b/>
          <w:bCs/>
          <w:sz w:val="24"/>
          <w:szCs w:val="24"/>
        </w:rPr>
        <w:t xml:space="preserve">Yuri Dmitrochenko</w:t>
      </w:r>
    </w:p>
    <w:p>
      <w:pPr>
        <w:pBdr>
          <w:top w:val="single" w:color="2E75B6" w:sz="6" w:space="4"/>
          <w:bottom w:val="single" w:color="2E75B6" w:sz="6" w:space="4"/>
          <w:left w:val="single" w:color="2E75B6" w:sz="6" w:space="8"/>
          <w:right w:val="single" w:color="2E75B6" w:sz="6" w:space="8"/>
        </w:pBdr>
        <w:shd w:fill="EBF3FB"/>
        <w:spacing w:after="200" w:before="80"/>
        <w:ind w:left="200" w:right="200"/>
      </w:pPr>
      <w:r>
        <w:rPr>
          <w:rFonts w:ascii="Arial" w:cs="Arial" w:eastAsia="Arial" w:hAnsi="Arial"/>
          <w:b/>
          <w:bCs/>
          <w:sz w:val="20"/>
          <w:szCs w:val="20"/>
        </w:rPr>
        <w:t xml:space="preserve">Series Context. </w:t>
      </w:r>
      <w:r>
        <w:rPr>
          <w:rFonts w:ascii="Times New Roman" w:cs="Times New Roman" w:eastAsia="Times New Roman" w:hAnsi="Times New Roman"/>
          <w:sz w:val="20"/>
          <w:szCs w:val="20"/>
        </w:rPr>
        <w:t xml:space="preserve">Paper 1 of this series established the empirical foundation: embryonic-associated programs are reactivated across wound healing, fibrosis, chronic inflammation, and high-turnover niches — unified by the concept of the </w:t>
      </w:r>
      <w:r>
        <w:rPr>
          <w:rFonts w:ascii="Times New Roman" w:cs="Times New Roman" w:eastAsia="Times New Roman" w:hAnsi="Times New Roman"/>
          <w:b/>
          <w:bCs/>
          <w:sz w:val="20"/>
          <w:szCs w:val="20"/>
        </w:rPr>
        <w:t xml:space="preserve">energetic window</w:t>
      </w:r>
      <w:r>
        <w:rPr>
          <w:rFonts w:ascii="Times New Roman" w:cs="Times New Roman" w:eastAsia="Times New Roman" w:hAnsi="Times New Roman"/>
          <w:sz w:val="20"/>
          <w:szCs w:val="20"/>
        </w:rPr>
        <w:t xml:space="preserve">, the Regeneration Pendulum, and Temporal Tissue Loops. </w:t>
      </w:r>
      <w:r>
        <w:rPr>
          <w:rFonts w:ascii="Times New Roman" w:cs="Times New Roman" w:eastAsia="Times New Roman" w:hAnsi="Times New Roman"/>
          <w:b/>
          <w:bCs/>
          <w:sz w:val="20"/>
          <w:szCs w:val="20"/>
        </w:rPr>
        <w:t xml:space="preserve">Paper 2</w:t>
      </w:r>
      <w:r>
        <w:rPr>
          <w:rFonts w:ascii="Times New Roman" w:cs="Times New Roman" w:eastAsia="Times New Roman" w:hAnsi="Times New Roman"/>
          <w:sz w:val="20"/>
          <w:szCs w:val="20"/>
        </w:rPr>
        <w:t xml:space="preserve"> provided the mechanistic substrate: the dual-flux energetic architecture (Oxidative Functional Flux [OFF] and Basal Glycolytic Regime [BGR]), showing how BGR dominance expands the energetic window and increases the probability of transitions toward developmental-like attractor states. </w:t>
      </w:r>
      <w:r>
        <w:rPr>
          <w:rFonts w:ascii="Times New Roman" w:cs="Times New Roman" w:eastAsia="Times New Roman" w:hAnsi="Times New Roman"/>
          <w:b/>
          <w:bCs/>
          <w:sz w:val="20"/>
          <w:szCs w:val="20"/>
        </w:rPr>
        <w:t xml:space="preserve">The present paper (Paper 3)</w:t>
      </w:r>
      <w:r>
        <w:rPr>
          <w:rFonts w:ascii="Times New Roman" w:cs="Times New Roman" w:eastAsia="Times New Roman" w:hAnsi="Times New Roman"/>
          <w:sz w:val="20"/>
          <w:szCs w:val="20"/>
        </w:rPr>
        <w:t xml:space="preserve"> applies this framework to the </w:t>
      </w:r>
      <w:r>
        <w:rPr>
          <w:rFonts w:ascii="Times New Roman" w:cs="Times New Roman" w:eastAsia="Times New Roman" w:hAnsi="Times New Roman"/>
          <w:i/>
          <w:iCs/>
          <w:sz w:val="20"/>
          <w:szCs w:val="20"/>
        </w:rPr>
        <w:t xml:space="preserve">morphodynamic consequences</w:t>
      </w:r>
      <w:r>
        <w:rPr>
          <w:rFonts w:ascii="Times New Roman" w:cs="Times New Roman" w:eastAsia="Times New Roman" w:hAnsi="Times New Roman"/>
          <w:sz w:val="20"/>
          <w:szCs w:val="20"/>
        </w:rPr>
        <w:t xml:space="preserve"> of pathological energetic-window stabilization. It proposes that the transition from organized three-dimensional tissue architecture to infiltrative two-dimensional growth is a </w:t>
      </w:r>
      <w:r>
        <w:rPr>
          <w:rFonts w:ascii="Times New Roman" w:cs="Times New Roman" w:eastAsia="Times New Roman" w:hAnsi="Times New Roman"/>
          <w:b/>
          <w:bCs/>
          <w:sz w:val="20"/>
          <w:szCs w:val="20"/>
        </w:rPr>
        <w:t xml:space="preserve">structural corollary of oncogenic energetic-window expansion</w:t>
      </w:r>
      <w:r>
        <w:rPr>
          <w:rFonts w:ascii="Times New Roman" w:cs="Times New Roman" w:eastAsia="Times New Roman" w:hAnsi="Times New Roman"/>
          <w:sz w:val="20"/>
          <w:szCs w:val="20"/>
        </w:rPr>
        <w:t xml:space="preserve">, examined through the paradigmatic models of hydatidiform mole/trophoblastic neoplasia and glandular epithelial malignancy. Subsequent papers will address quantitative formalization and therapeutic implications.</w:t>
      </w:r>
    </w:p>
    <w:p>
      <w:pPr>
        <w:pBdr>
          <w:bottom w:val="single" w:color="999999" w:sz="4" w:space="1"/>
        </w:pBdr>
        <w:spacing w:after="160" w:before="120"/>
      </w:pPr>
      <w:r>
        <w:rPr>
          <w:rFonts w:ascii="Times New Roman" w:cs="Times New Roman" w:eastAsia="Times New Roman" w:hAnsi="Times New Roman"/>
          <w:sz w:val="24"/>
          <w:szCs w:val="24"/>
        </w:rPr>
        <w:t xml:space="preserve"/>
      </w:r>
    </w:p>
    <w:p>
      <w:pPr>
        <w:pStyle w:val="Heading1"/>
        <w:pBdr>
          <w:bottom w:val="single" w:color="2E75B6" w:sz="4" w:space="2"/>
        </w:pBdr>
        <w:spacing w:after="160" w:before="360"/>
      </w:pPr>
      <w:r>
        <w:rPr>
          <w:rFonts w:ascii="Arial" w:cs="Arial" w:eastAsia="Arial" w:hAnsi="Arial"/>
          <w:b/>
          <w:bCs/>
          <w:color w:val="1F3864"/>
          <w:sz w:val="28"/>
          <w:szCs w:val="28"/>
        </w:rPr>
        <w:t xml:space="preserve">Abstract</w:t>
      </w:r>
    </w:p>
    <w:p>
      <w:pPr>
        <w:spacing w:after="180" w:line="276" w:lineRule="auto"/>
        <w:jc w:val="both"/>
      </w:pPr>
      <w:r>
        <w:rPr>
          <w:rFonts w:ascii="Times New Roman" w:cs="Times New Roman" w:eastAsia="Times New Roman" w:hAnsi="Times New Roman"/>
          <w:sz w:val="24"/>
          <w:szCs w:val="24"/>
        </w:rPr>
        <w:t xml:space="preserve">The preceding papers of this series established that embryonic-associated programs are reactivated across diverse non-malignant tissue contexts through energetic-window expansion and the oscillatory dynamics of the Regeneration Pendulum, and that the dual-flux energetic architecture — Oxidative Functional Flux (OFF) and Basal Glycolytic Regime (BGR) — governs cell-state transition probabilities within this landscape. </w:t>
      </w:r>
      <w:r>
        <w:rPr>
          <w:rFonts w:ascii="Times New Roman" w:cs="Times New Roman" w:eastAsia="Times New Roman" w:hAnsi="Times New Roman"/>
          <w:sz w:val="18"/>
          <w:szCs w:val="18"/>
          <w:vertAlign w:val="superscript"/>
        </w:rPr>
        <w:t xml:space="preserve">[41,42]</w:t>
      </w:r>
      <w:r>
        <w:rPr>
          <w:rFonts w:ascii="Times New Roman" w:cs="Times New Roman" w:eastAsia="Times New Roman" w:hAnsi="Times New Roman"/>
          <w:sz w:val="24"/>
          <w:szCs w:val="24"/>
        </w:rPr>
        <w:t xml:space="preserve"> The present paper addresses the morphodynamic consequences of pathological stabilization of an expanded energetic window: the progressive dissolution of organized three-dimensional tissue architecture and its replacement by infiltrative, planar, two-dimensional-like growth configurations.</w:t>
      </w:r>
    </w:p>
    <w:p>
      <w:pPr>
        <w:spacing w:after="180" w:line="276" w:lineRule="auto"/>
        <w:jc w:val="both"/>
      </w:pPr>
      <w:r>
        <w:rPr>
          <w:rFonts w:ascii="Times New Roman" w:cs="Times New Roman" w:eastAsia="Times New Roman" w:hAnsi="Times New Roman"/>
          <w:sz w:val="24"/>
          <w:szCs w:val="24"/>
        </w:rPr>
        <w:t xml:space="preserve">A conceptual morphodynamic model is proposed in which malignant transformation is interpreted as a progressive </w:t>
      </w:r>
      <w:r>
        <w:rPr>
          <w:rFonts w:ascii="Times New Roman" w:cs="Times New Roman" w:eastAsia="Times New Roman" w:hAnsi="Times New Roman"/>
          <w:b/>
          <w:bCs/>
          <w:sz w:val="24"/>
          <w:szCs w:val="24"/>
        </w:rPr>
        <w:t xml:space="preserve">loss of integration</w:t>
      </w:r>
      <w:r>
        <w:rPr>
          <w:rFonts w:ascii="Times New Roman" w:cs="Times New Roman" w:eastAsia="Times New Roman" w:hAnsi="Times New Roman"/>
          <w:sz w:val="24"/>
          <w:szCs w:val="24"/>
        </w:rPr>
        <w:t xml:space="preserve"> between a cellular clone and the multicellular organism. The structural signature of this process is the transition from closed, polarized, geometrically constrained 3D tissue organization toward open, infiltrative, functionally autonomous 2D-like growth — a transition driven mechanistically by constitutive BGR dominance, sustained energetic-window expansion, loss of ECM structural feedback, and failure of structural restabilization.</w:t>
      </w:r>
    </w:p>
    <w:p>
      <w:pPr>
        <w:spacing w:after="180" w:line="276" w:lineRule="auto"/>
        <w:jc w:val="both"/>
      </w:pPr>
      <w:r>
        <w:rPr>
          <w:rFonts w:ascii="Times New Roman" w:cs="Times New Roman" w:eastAsia="Times New Roman" w:hAnsi="Times New Roman"/>
          <w:sz w:val="24"/>
          <w:szCs w:val="24"/>
        </w:rPr>
        <w:t xml:space="preserve">Two biological systems are examined as paradigmatic models: </w:t>
      </w:r>
      <w:r>
        <w:rPr>
          <w:rFonts w:ascii="Times New Roman" w:cs="Times New Roman" w:eastAsia="Times New Roman" w:hAnsi="Times New Roman"/>
          <w:b/>
          <w:bCs/>
          <w:sz w:val="24"/>
          <w:szCs w:val="24"/>
        </w:rPr>
        <w:t xml:space="preserve">hydatidiform mole and trophoblastic neoplasia</w:t>
      </w:r>
      <w:r>
        <w:rPr>
          <w:rFonts w:ascii="Times New Roman" w:cs="Times New Roman" w:eastAsia="Times New Roman" w:hAnsi="Times New Roman"/>
          <w:sz w:val="24"/>
          <w:szCs w:val="24"/>
        </w:rPr>
        <w:t xml:space="preserve">, in which embryonic structural integration is absent while trophoblastic invasive capacity is preserved; and </w:t>
      </w:r>
      <w:r>
        <w:rPr>
          <w:rFonts w:ascii="Times New Roman" w:cs="Times New Roman" w:eastAsia="Times New Roman" w:hAnsi="Times New Roman"/>
          <w:b/>
          <w:bCs/>
          <w:sz w:val="24"/>
          <w:szCs w:val="24"/>
        </w:rPr>
        <w:t xml:space="preserve">glandular epithelial malignancy</w:t>
      </w:r>
      <w:r>
        <w:rPr>
          <w:rFonts w:ascii="Times New Roman" w:cs="Times New Roman" w:eastAsia="Times New Roman" w:hAnsi="Times New Roman"/>
          <w:sz w:val="24"/>
          <w:szCs w:val="24"/>
        </w:rPr>
        <w:t xml:space="preserve">, in which progressive loss of luminal geometry, apical-basal polarity, and architectural closure accompanies malignant transformation. Both systems demonstrate the same underlying morphodynamic trajectory: organized 3D structures collapse into infiltrative 2D-like configurations as the energetic window stabilizes in a constitutively expanded state.</w:t>
      </w:r>
    </w:p>
    <w:p>
      <w:pPr>
        <w:spacing w:after="180" w:line="276" w:lineRule="auto"/>
        <w:jc w:val="both"/>
      </w:pPr>
      <w:r>
        <w:rPr>
          <w:rFonts w:ascii="Times New Roman" w:cs="Times New Roman" w:eastAsia="Times New Roman" w:hAnsi="Times New Roman"/>
          <w:sz w:val="24"/>
          <w:szCs w:val="24"/>
        </w:rPr>
        <w:t xml:space="preserve">The framework provides a unified structural interpretation in which invasion, angiogenesis, metabolic reprogramming, architectural flattening, and loss of tissue communication are not independent hallmarks but coherent structural manifestations of a single underlying energetic-morphodynamic transition. </w:t>
      </w:r>
      <w:r>
        <w:rPr>
          <w:rFonts w:ascii="Times New Roman" w:cs="Times New Roman" w:eastAsia="Times New Roman" w:hAnsi="Times New Roman"/>
          <w:sz w:val="18"/>
          <w:szCs w:val="18"/>
          <w:vertAlign w:val="superscript"/>
        </w:rPr>
        <w:t xml:space="preserve">[1,2,6]</w:t>
      </w:r>
    </w:p>
    <w:p>
      <w:pPr>
        <w:spacing w:after="60"/>
      </w:pPr>
      <w:r>
        <w:rPr>
          <w:rFonts w:ascii="Times New Roman" w:cs="Times New Roman" w:eastAsia="Times New Roman" w:hAnsi="Times New Roman"/>
          <w:sz w:val="24"/>
          <w:szCs w:val="24"/>
        </w:rPr>
        <w:t xml:space="preserve"/>
      </w:r>
    </w:p>
    <w:p>
      <w:pPr>
        <w:spacing w:after="180" w:line="276" w:lineRule="auto"/>
        <w:jc w:val="both"/>
      </w:pPr>
      <w:r>
        <w:rPr>
          <w:rFonts w:ascii="Times New Roman" w:cs="Times New Roman" w:eastAsia="Times New Roman" w:hAnsi="Times New Roman"/>
          <w:b/>
          <w:bCs/>
          <w:sz w:val="24"/>
          <w:szCs w:val="24"/>
        </w:rPr>
        <w:t xml:space="preserve">Keywords: </w:t>
      </w:r>
      <w:r>
        <w:rPr>
          <w:rFonts w:ascii="Times New Roman" w:cs="Times New Roman" w:eastAsia="Times New Roman" w:hAnsi="Times New Roman"/>
          <w:i/>
          <w:iCs/>
          <w:sz w:val="24"/>
          <w:szCs w:val="24"/>
        </w:rPr>
        <w:t xml:space="preserve">morphodynamics; 3D-to-2D transition; tissue integration; hydatidiform mole; trophoblastic neoplasia; glandular carcinoma; energetic window; Basal Glycolytic Regime; epithelial-mesenchymal transition; collective invasion; malignant transformation</w:t>
      </w:r>
    </w:p>
    <w:p>
      <w:pPr>
        <w:pBdr>
          <w:bottom w:val="single" w:color="999999" w:sz="4" w:space="1"/>
        </w:pBdr>
        <w:spacing w:after="160" w:before="120"/>
      </w:pPr>
      <w:r>
        <w:rPr>
          <w:rFonts w:ascii="Times New Roman" w:cs="Times New Roman" w:eastAsia="Times New Roman" w:hAnsi="Times New Roman"/>
          <w:sz w:val="24"/>
          <w:szCs w:val="24"/>
        </w:rPr>
        <w:t xml:space="preserve"/>
      </w:r>
    </w:p>
    <w:p>
      <w:pPr>
        <w:pStyle w:val="Heading1"/>
        <w:pBdr>
          <w:bottom w:val="single" w:color="2E75B6" w:sz="4" w:space="2"/>
        </w:pBdr>
        <w:spacing w:after="160" w:before="360"/>
      </w:pPr>
      <w:r>
        <w:rPr>
          <w:rFonts w:ascii="Arial" w:cs="Arial" w:eastAsia="Arial" w:hAnsi="Arial"/>
          <w:b/>
          <w:bCs/>
          <w:color w:val="1F3864"/>
          <w:sz w:val="28"/>
          <w:szCs w:val="28"/>
        </w:rPr>
        <w:t xml:space="preserve">1. Introduction</w:t>
      </w:r>
    </w:p>
    <w:p>
      <w:pPr>
        <w:spacing w:after="180" w:line="276" w:lineRule="auto"/>
        <w:jc w:val="both"/>
      </w:pPr>
      <w:r>
        <w:rPr>
          <w:rFonts w:ascii="Times New Roman" w:cs="Times New Roman" w:eastAsia="Times New Roman" w:hAnsi="Times New Roman"/>
          <w:sz w:val="24"/>
          <w:szCs w:val="24"/>
        </w:rPr>
        <w:t xml:space="preserve">The classical framework for understanding cancer describes it in terms of molecular events: oncogene activation, tumor suppressor loss, genomic instability, and the stepwise accumulation of driver mutations. </w:t>
      </w:r>
      <w:r>
        <w:rPr>
          <w:rFonts w:ascii="Times New Roman" w:cs="Times New Roman" w:eastAsia="Times New Roman" w:hAnsi="Times New Roman"/>
          <w:sz w:val="18"/>
          <w:szCs w:val="18"/>
          <w:vertAlign w:val="superscript"/>
        </w:rPr>
        <w:t xml:space="preserve">[8,19]</w:t>
      </w:r>
      <w:r>
        <w:rPr>
          <w:rFonts w:ascii="Times New Roman" w:cs="Times New Roman" w:eastAsia="Times New Roman" w:hAnsi="Times New Roman"/>
          <w:sz w:val="24"/>
          <w:szCs w:val="24"/>
        </w:rPr>
        <w:t xml:space="preserve"> An alternative and complementary tradition interprets malignancy as a failure of tissue organization and multicellular integration — a perspective in which the key event is not the mutation itself but the loss of tissue-level regulatory constraints that normally suppress aberrant cellular behavior. </w:t>
      </w:r>
      <w:r>
        <w:rPr>
          <w:rFonts w:ascii="Times New Roman" w:cs="Times New Roman" w:eastAsia="Times New Roman" w:hAnsi="Times New Roman"/>
          <w:sz w:val="18"/>
          <w:szCs w:val="18"/>
          <w:vertAlign w:val="superscript"/>
        </w:rPr>
        <w:t xml:space="preserve">[2,22,6]</w:t>
      </w:r>
    </w:p>
    <w:p>
      <w:pPr>
        <w:spacing w:after="180" w:line="276" w:lineRule="auto"/>
        <w:jc w:val="both"/>
      </w:pPr>
      <w:r>
        <w:rPr>
          <w:rFonts w:ascii="Times New Roman" w:cs="Times New Roman" w:eastAsia="Times New Roman" w:hAnsi="Times New Roman"/>
          <w:sz w:val="24"/>
          <w:szCs w:val="24"/>
        </w:rPr>
        <w:t xml:space="preserve">This tissue-organizational perspective has gained substantial experimental support. Three-dimensional culture systems demonstrate that the same cells which grow invasively on flat surfaces reorganize into morphologically normal glandular structures when provided with appropriate extracellular matrix contexts — and revert to malignant behavior when these contexts are disrupted. </w:t>
      </w:r>
      <w:r>
        <w:rPr>
          <w:rFonts w:ascii="Times New Roman" w:cs="Times New Roman" w:eastAsia="Times New Roman" w:hAnsi="Times New Roman"/>
          <w:sz w:val="18"/>
          <w:szCs w:val="18"/>
          <w:vertAlign w:val="superscript"/>
        </w:rPr>
        <w:t xml:space="preserve">[15,3]</w:t>
      </w:r>
      <w:r>
        <w:rPr>
          <w:rFonts w:ascii="Times New Roman" w:cs="Times New Roman" w:eastAsia="Times New Roman" w:hAnsi="Times New Roman"/>
          <w:sz w:val="24"/>
          <w:szCs w:val="24"/>
        </w:rPr>
        <w:t xml:space="preserve"> The geometry of tissue architecture is therefore not merely a reflection of cellular behavior but an </w:t>
      </w:r>
      <w:r>
        <w:rPr>
          <w:rFonts w:ascii="Times New Roman" w:cs="Times New Roman" w:eastAsia="Times New Roman" w:hAnsi="Times New Roman"/>
          <w:i/>
          <w:iCs/>
          <w:sz w:val="24"/>
          <w:szCs w:val="24"/>
        </w:rPr>
        <w:t xml:space="preserve">active regulator</w:t>
      </w:r>
      <w:r>
        <w:rPr>
          <w:rFonts w:ascii="Times New Roman" w:cs="Times New Roman" w:eastAsia="Times New Roman" w:hAnsi="Times New Roman"/>
          <w:sz w:val="24"/>
          <w:szCs w:val="24"/>
        </w:rPr>
        <w:t xml:space="preserve"> of it: three-dimensional structural constraints participate in the maintenance of normal cellular identity.</w:t>
      </w:r>
    </w:p>
    <w:p>
      <w:pPr>
        <w:spacing w:after="180" w:line="276" w:lineRule="auto"/>
        <w:jc w:val="both"/>
      </w:pPr>
      <w:r>
        <w:rPr>
          <w:rFonts w:ascii="Times New Roman" w:cs="Times New Roman" w:eastAsia="Times New Roman" w:hAnsi="Times New Roman"/>
          <w:sz w:val="24"/>
          <w:szCs w:val="24"/>
        </w:rPr>
        <w:t xml:space="preserve">The preceding papers of this series developed a complementary energetic framework. Paper 1 documented the reactivation of embryonic-associated programs across diverse non-malignant tissue contexts and proposed that this reactivation is governed by expansion of the </w:t>
      </w:r>
      <w:r>
        <w:rPr>
          <w:rFonts w:ascii="Times New Roman" w:cs="Times New Roman" w:eastAsia="Times New Roman" w:hAnsi="Times New Roman"/>
          <w:b/>
          <w:bCs/>
          <w:sz w:val="24"/>
          <w:szCs w:val="24"/>
        </w:rPr>
        <w:t xml:space="preserve">energetic window</w:t>
      </w:r>
      <w:r>
        <w:rPr>
          <w:rFonts w:ascii="Times New Roman" w:cs="Times New Roman" w:eastAsia="Times New Roman" w:hAnsi="Times New Roman"/>
          <w:sz w:val="24"/>
          <w:szCs w:val="24"/>
        </w:rPr>
        <w:t xml:space="preserve"> — the range of metabolic and structural conditions permitting access to alternative cellular attractor states. </w:t>
      </w:r>
      <w:r>
        <w:rPr>
          <w:rFonts w:ascii="Times New Roman" w:cs="Times New Roman" w:eastAsia="Times New Roman" w:hAnsi="Times New Roman"/>
          <w:sz w:val="18"/>
          <w:szCs w:val="18"/>
          <w:vertAlign w:val="superscript"/>
        </w:rPr>
        <w:t xml:space="preserve">[41]</w:t>
      </w:r>
      <w:r>
        <w:rPr>
          <w:rFonts w:ascii="Times New Roman" w:cs="Times New Roman" w:eastAsia="Times New Roman" w:hAnsi="Times New Roman"/>
          <w:sz w:val="24"/>
          <w:szCs w:val="24"/>
        </w:rPr>
        <w:t xml:space="preserve"> Paper 2 provided the mechanistic substrate: BGR dominance expands the energetic window by supporting chromatin accessibility at developmental gene loci and reducing structural constraints, while OFF dominance narrows it by imposing progressive oxidative wear and ECM rigidification. Cancer was identified as the dynamic regime in which BGR dominance becomes constitutively self-sustaining and structural restabilization fails — the </w:t>
      </w:r>
      <w:r>
        <w:rPr>
          <w:rFonts w:ascii="Times New Roman" w:cs="Times New Roman" w:eastAsia="Times New Roman" w:hAnsi="Times New Roman"/>
          <w:b/>
          <w:bCs/>
          <w:sz w:val="24"/>
          <w:szCs w:val="24"/>
        </w:rPr>
        <w:t xml:space="preserve">oncogenic bifurcation</w:t>
      </w:r>
      <w:r>
        <w:rPr>
          <w:rFonts w:ascii="Times New Roman" w:cs="Times New Roman" w:eastAsia="Times New Roman" w:hAnsi="Times New Roman"/>
          <w:sz w:val="24"/>
          <w:szCs w:val="24"/>
        </w:rPr>
        <w:t xml:space="preserve"> of the Regeneration Pendulum. </w:t>
      </w:r>
      <w:r>
        <w:rPr>
          <w:rFonts w:ascii="Times New Roman" w:cs="Times New Roman" w:eastAsia="Times New Roman" w:hAnsi="Times New Roman"/>
          <w:sz w:val="18"/>
          <w:szCs w:val="18"/>
          <w:vertAlign w:val="superscript"/>
        </w:rPr>
        <w:t xml:space="preserve">[42]</w:t>
      </w:r>
    </w:p>
    <w:p>
      <w:pPr>
        <w:spacing w:after="180" w:line="276" w:lineRule="auto"/>
        <w:jc w:val="both"/>
      </w:pPr>
      <w:r>
        <w:rPr>
          <w:rFonts w:ascii="Times New Roman" w:cs="Times New Roman" w:eastAsia="Times New Roman" w:hAnsi="Times New Roman"/>
          <w:sz w:val="24"/>
          <w:szCs w:val="24"/>
        </w:rPr>
        <w:t xml:space="preserve">The present paper asks: what are the </w:t>
      </w:r>
      <w:r>
        <w:rPr>
          <w:rFonts w:ascii="Times New Roman" w:cs="Times New Roman" w:eastAsia="Times New Roman" w:hAnsi="Times New Roman"/>
          <w:i/>
          <w:iCs/>
          <w:sz w:val="24"/>
          <w:szCs w:val="24"/>
        </w:rPr>
        <w:t xml:space="preserve">morphodynamic consequences</w:t>
      </w:r>
      <w:r>
        <w:rPr>
          <w:rFonts w:ascii="Times New Roman" w:cs="Times New Roman" w:eastAsia="Times New Roman" w:hAnsi="Times New Roman"/>
          <w:sz w:val="24"/>
          <w:szCs w:val="24"/>
        </w:rPr>
        <w:t xml:space="preserve"> of this oncogenic bifurcation at the tissue level? We propose that the structural corollary of constitutive energetic-window expansion is a progressive </w:t>
      </w:r>
      <w:r>
        <w:rPr>
          <w:rFonts w:ascii="Times New Roman" w:cs="Times New Roman" w:eastAsia="Times New Roman" w:hAnsi="Times New Roman"/>
          <w:b/>
          <w:bCs/>
          <w:sz w:val="24"/>
          <w:szCs w:val="24"/>
        </w:rPr>
        <w:t xml:space="preserve">3D-to-2D morphodynamic transition</w:t>
      </w:r>
      <w:r>
        <w:rPr>
          <w:rFonts w:ascii="Times New Roman" w:cs="Times New Roman" w:eastAsia="Times New Roman" w:hAnsi="Times New Roman"/>
          <w:sz w:val="24"/>
          <w:szCs w:val="24"/>
        </w:rPr>
        <w:t xml:space="preserve">: the dissolution of organized, geometrically constrained, polarized three-dimensional tissue architecture and its replacement by infiltrative, planar, autonomously expanding two-dimensional-like growth. Two biological systems — trophoblastic neoplasia and glandular carcinoma — are examined as paradigmatic examples of this transition.</w:t>
      </w:r>
    </w:p>
    <w:p>
      <w:pPr>
        <w:pBdr>
          <w:bottom w:val="single" w:color="999999" w:sz="4" w:space="1"/>
        </w:pBdr>
        <w:spacing w:after="160" w:before="120"/>
      </w:pPr>
      <w:r>
        <w:rPr>
          <w:rFonts w:ascii="Times New Roman" w:cs="Times New Roman" w:eastAsia="Times New Roman" w:hAnsi="Times New Roman"/>
          <w:sz w:val="24"/>
          <w:szCs w:val="24"/>
        </w:rPr>
        <w:t xml:space="preserve"/>
      </w:r>
    </w:p>
    <w:p>
      <w:pPr>
        <w:pStyle w:val="Heading1"/>
        <w:pBdr>
          <w:bottom w:val="single" w:color="2E75B6" w:sz="4" w:space="2"/>
        </w:pBdr>
        <w:spacing w:after="160" w:before="360"/>
      </w:pPr>
      <w:r>
        <w:rPr>
          <w:rFonts w:ascii="Arial" w:cs="Arial" w:eastAsia="Arial" w:hAnsi="Arial"/>
          <w:b/>
          <w:bCs/>
          <w:color w:val="1F3864"/>
          <w:sz w:val="28"/>
          <w:szCs w:val="28"/>
        </w:rPr>
        <w:t xml:space="preserve">2. Tissue as a Spatially Constrained Communication and Mechanical System</w:t>
      </w:r>
    </w:p>
    <w:p>
      <w:pPr>
        <w:pStyle w:val="Heading2"/>
        <w:spacing w:after="100" w:before="240"/>
      </w:pPr>
      <w:r>
        <w:rPr>
          <w:rFonts w:ascii="Arial" w:cs="Arial" w:eastAsia="Arial" w:hAnsi="Arial"/>
          <w:b/>
          <w:bCs/>
          <w:color w:val="2E75B6"/>
          <w:sz w:val="24"/>
          <w:szCs w:val="24"/>
        </w:rPr>
        <w:t xml:space="preserve">2.1 The Regulatory Role of Three-Dimensional Architecture</w:t>
      </w:r>
    </w:p>
    <w:p>
      <w:pPr>
        <w:spacing w:after="180" w:line="276" w:lineRule="auto"/>
        <w:jc w:val="both"/>
      </w:pPr>
      <w:r>
        <w:rPr>
          <w:rFonts w:ascii="Times New Roman" w:cs="Times New Roman" w:eastAsia="Times New Roman" w:hAnsi="Times New Roman"/>
          <w:sz w:val="24"/>
          <w:szCs w:val="24"/>
        </w:rPr>
        <w:t xml:space="preserve">Normal multicellular tissue architecture represents far more than a spatial arrangement of cells. It constitutes a </w:t>
      </w:r>
      <w:r>
        <w:rPr>
          <w:rFonts w:ascii="Times New Roman" w:cs="Times New Roman" w:eastAsia="Times New Roman" w:hAnsi="Times New Roman"/>
          <w:b/>
          <w:bCs/>
          <w:sz w:val="24"/>
          <w:szCs w:val="24"/>
        </w:rPr>
        <w:t xml:space="preserve">regulatory system embedded in three-dimensional space</w:t>
      </w:r>
      <w:r>
        <w:rPr>
          <w:rFonts w:ascii="Times New Roman" w:cs="Times New Roman" w:eastAsia="Times New Roman" w:hAnsi="Times New Roman"/>
          <w:sz w:val="24"/>
          <w:szCs w:val="24"/>
        </w:rPr>
        <w:t xml:space="preserve">: an integrated network of mechanical forces, chemical gradients, cell-cell contacts, and matrix-cell communication that continuously constrains and coordinates cellular behavior. </w:t>
      </w:r>
      <w:r>
        <w:rPr>
          <w:rFonts w:ascii="Times New Roman" w:cs="Times New Roman" w:eastAsia="Times New Roman" w:hAnsi="Times New Roman"/>
          <w:sz w:val="18"/>
          <w:szCs w:val="18"/>
          <w:vertAlign w:val="superscript"/>
        </w:rPr>
        <w:t xml:space="preserve">[6,7,38]</w:t>
      </w:r>
    </w:p>
    <w:p>
      <w:pPr>
        <w:spacing w:after="180" w:line="276" w:lineRule="auto"/>
        <w:jc w:val="both"/>
      </w:pPr>
      <w:r>
        <w:rPr>
          <w:rFonts w:ascii="Times New Roman" w:cs="Times New Roman" w:eastAsia="Times New Roman" w:hAnsi="Times New Roman"/>
          <w:sz w:val="24"/>
          <w:szCs w:val="24"/>
        </w:rPr>
        <w:t xml:space="preserve">The components of this system include: apical-basal polarity maintaining directional cellular organization; basement membrane providing structural anchorage and epithelial-stromal boundary; tight and adherens junctions mediating contact inhibition and mechanical coupling; vascular organization ensuring spatially controlled metabolite distribution; and tensional homeostasis — the mechanical force balance between cells and matrix that is sensed through integrin-mediated mechanotransduction and is itself a determinant of normal versus malignant cellular behavior. </w:t>
      </w:r>
      <w:r>
        <w:rPr>
          <w:rFonts w:ascii="Times New Roman" w:cs="Times New Roman" w:eastAsia="Times New Roman" w:hAnsi="Times New Roman"/>
          <w:sz w:val="18"/>
          <w:szCs w:val="18"/>
          <w:vertAlign w:val="superscript"/>
        </w:rPr>
        <w:t xml:space="preserve">[14,6,39]</w:t>
      </w:r>
    </w:p>
    <w:p>
      <w:pPr>
        <w:spacing w:after="180" w:line="276" w:lineRule="auto"/>
        <w:jc w:val="both"/>
      </w:pPr>
      <w:r>
        <w:rPr>
          <w:rFonts w:ascii="Times New Roman" w:cs="Times New Roman" w:eastAsia="Times New Roman" w:hAnsi="Times New Roman"/>
          <w:sz w:val="24"/>
          <w:szCs w:val="24"/>
        </w:rPr>
        <w:t xml:space="preserve">Within this framework, tissue architecture is not merely a consequence of cellular differentiation but a </w:t>
      </w:r>
      <w:r>
        <w:rPr>
          <w:rFonts w:ascii="Times New Roman" w:cs="Times New Roman" w:eastAsia="Times New Roman" w:hAnsi="Times New Roman"/>
          <w:i/>
          <w:iCs/>
          <w:sz w:val="24"/>
          <w:szCs w:val="24"/>
        </w:rPr>
        <w:t xml:space="preserve">cause</w:t>
      </w:r>
      <w:r>
        <w:rPr>
          <w:rFonts w:ascii="Times New Roman" w:cs="Times New Roman" w:eastAsia="Times New Roman" w:hAnsi="Times New Roman"/>
          <w:sz w:val="24"/>
          <w:szCs w:val="24"/>
        </w:rPr>
        <w:t xml:space="preserve"> of its maintenance. Loss of three-dimensional structural context can initiate malignant behavior in otherwise non-mutated cells, and restoration of three-dimensional context can suppress malignant behavior in tumor cells carrying driver mutations. </w:t>
      </w:r>
      <w:r>
        <w:rPr>
          <w:rFonts w:ascii="Times New Roman" w:cs="Times New Roman" w:eastAsia="Times New Roman" w:hAnsi="Times New Roman"/>
          <w:sz w:val="18"/>
          <w:szCs w:val="18"/>
          <w:vertAlign w:val="superscript"/>
        </w:rPr>
        <w:t xml:space="preserve">[15,2]</w:t>
      </w:r>
    </w:p>
    <w:p>
      <w:pPr>
        <w:pStyle w:val="Heading2"/>
        <w:spacing w:after="100" w:before="240"/>
      </w:pPr>
      <w:r>
        <w:rPr>
          <w:rFonts w:ascii="Arial" w:cs="Arial" w:eastAsia="Arial" w:hAnsi="Arial"/>
          <w:b/>
          <w:bCs/>
          <w:color w:val="2E75B6"/>
          <w:sz w:val="24"/>
          <w:szCs w:val="24"/>
        </w:rPr>
        <w:t xml:space="preserve">2.2 Three-Dimensional Architecture as Energetic-Window Narrowing</w:t>
      </w:r>
    </w:p>
    <w:p>
      <w:pPr>
        <w:spacing w:after="180" w:line="276" w:lineRule="auto"/>
        <w:jc w:val="both"/>
      </w:pPr>
      <w:r>
        <w:rPr>
          <w:rFonts w:ascii="Times New Roman" w:cs="Times New Roman" w:eastAsia="Times New Roman" w:hAnsi="Times New Roman"/>
          <w:sz w:val="24"/>
          <w:szCs w:val="24"/>
        </w:rPr>
        <w:t xml:space="preserve">Within the dual-flux framework of Paper 2, normal three-dimensional tissue architecture functions as a mechanism for maintaining a </w:t>
      </w:r>
      <w:r>
        <w:rPr>
          <w:rFonts w:ascii="Times New Roman" w:cs="Times New Roman" w:eastAsia="Times New Roman" w:hAnsi="Times New Roman"/>
          <w:b/>
          <w:bCs/>
          <w:sz w:val="24"/>
          <w:szCs w:val="24"/>
        </w:rPr>
        <w:t xml:space="preserve">narrow energetic window</w:t>
      </w:r>
      <w:r>
        <w:rPr>
          <w:rFonts w:ascii="Times New Roman" w:cs="Times New Roman" w:eastAsia="Times New Roman" w:hAnsi="Times New Roman"/>
          <w:sz w:val="24"/>
          <w:szCs w:val="24"/>
        </w:rPr>
        <w:t xml:space="preserve">. The structural constraints of organized tissue — basement membrane integrity, ECM mechanical stiffness, tight intercellular coupling, restricted vascular permeability — directly suppress the variables that expand the energetic window: MMP activity, vascular permeability, metabolic flexibility, and chromatin accessibility at developmental loci. </w:t>
      </w:r>
      <w:r>
        <w:rPr>
          <w:rFonts w:ascii="Times New Roman" w:cs="Times New Roman" w:eastAsia="Times New Roman" w:hAnsi="Times New Roman"/>
          <w:sz w:val="18"/>
          <w:szCs w:val="18"/>
          <w:vertAlign w:val="superscript"/>
        </w:rPr>
        <w:t xml:space="preserve">[42,16,24]</w:t>
      </w:r>
    </w:p>
    <w:p>
      <w:pPr>
        <w:spacing w:after="180" w:line="276" w:lineRule="auto"/>
        <w:jc w:val="both"/>
      </w:pPr>
      <w:r>
        <w:rPr>
          <w:rFonts w:ascii="Times New Roman" w:cs="Times New Roman" w:eastAsia="Times New Roman" w:hAnsi="Times New Roman"/>
          <w:sz w:val="24"/>
          <w:szCs w:val="24"/>
        </w:rPr>
        <w:t xml:space="preserve">This creates a bidirectional coupling between morphology and metabolism: organized 3D architecture narrows the energetic window by imposing structural OFF-favoring constraints, while a narrow energetic window in turn stabilizes organized 3D architecture by suppressing the plasticity required for architectural dissolution. Conversely, </w:t>
      </w:r>
      <w:r>
        <w:rPr>
          <w:rFonts w:ascii="Times New Roman" w:cs="Times New Roman" w:eastAsia="Times New Roman" w:hAnsi="Times New Roman"/>
          <w:b/>
          <w:bCs/>
          <w:sz w:val="24"/>
          <w:szCs w:val="24"/>
        </w:rPr>
        <w:t xml:space="preserve">disruption of 3D architecture expands the energetic window</w:t>
      </w:r>
      <w:r>
        <w:rPr>
          <w:rFonts w:ascii="Times New Roman" w:cs="Times New Roman" w:eastAsia="Times New Roman" w:hAnsi="Times New Roman"/>
          <w:sz w:val="24"/>
          <w:szCs w:val="24"/>
        </w:rPr>
        <w:t xml:space="preserve">, and constitutive energetic-window expansion progressively dissolves 3D architecture — a positive feedback loop that is central to the 3D-to-2D morphodynamic transition in malignancy. </w:t>
      </w:r>
      <w:r>
        <w:rPr>
          <w:rFonts w:ascii="Times New Roman" w:cs="Times New Roman" w:eastAsia="Times New Roman" w:hAnsi="Times New Roman"/>
          <w:sz w:val="18"/>
          <w:szCs w:val="18"/>
          <w:vertAlign w:val="superscript"/>
        </w:rPr>
        <w:t xml:space="preserve">[14,16,42]</w:t>
      </w:r>
    </w:p>
    <w:p>
      <w:pPr>
        <w:pStyle w:val="Heading2"/>
        <w:spacing w:after="100" w:before="240"/>
      </w:pPr>
      <w:r>
        <w:rPr>
          <w:rFonts w:ascii="Arial" w:cs="Arial" w:eastAsia="Arial" w:hAnsi="Arial"/>
          <w:b/>
          <w:bCs/>
          <w:color w:val="2E75B6"/>
          <w:sz w:val="24"/>
          <w:szCs w:val="24"/>
        </w:rPr>
        <w:t xml:space="preserve">2.3 Communication Redistribution in Malignancy</w:t>
      </w:r>
    </w:p>
    <w:p>
      <w:pPr>
        <w:spacing w:after="180" w:line="276" w:lineRule="auto"/>
        <w:jc w:val="both"/>
      </w:pPr>
      <w:r>
        <w:rPr>
          <w:rFonts w:ascii="Times New Roman" w:cs="Times New Roman" w:eastAsia="Times New Roman" w:hAnsi="Times New Roman"/>
          <w:sz w:val="24"/>
          <w:szCs w:val="24"/>
        </w:rPr>
        <w:t xml:space="preserve">A critical feature of malignant transformation is that it does not represent a simple loss of cellular communication but a </w:t>
      </w:r>
      <w:r>
        <w:rPr>
          <w:rFonts w:ascii="Times New Roman" w:cs="Times New Roman" w:eastAsia="Times New Roman" w:hAnsi="Times New Roman"/>
          <w:b/>
          <w:bCs/>
          <w:sz w:val="24"/>
          <w:szCs w:val="24"/>
        </w:rPr>
        <w:t xml:space="preserve">redistribution</w:t>
      </w:r>
      <w:r>
        <w:rPr>
          <w:rFonts w:ascii="Times New Roman" w:cs="Times New Roman" w:eastAsia="Times New Roman" w:hAnsi="Times New Roman"/>
          <w:sz w:val="24"/>
          <w:szCs w:val="24"/>
        </w:rPr>
        <w:t xml:space="preserve"> of communicative coupling. Cells within a malignant clone maintain — and often strengthen — internal coordination: collective invasion, tumor angiogenesis, stromal remodeling, and metabolic cooperation within the tumor all require sophisticated intercellular communication. </w:t>
      </w:r>
      <w:r>
        <w:rPr>
          <w:rFonts w:ascii="Times New Roman" w:cs="Times New Roman" w:eastAsia="Times New Roman" w:hAnsi="Times New Roman"/>
          <w:sz w:val="18"/>
          <w:szCs w:val="18"/>
          <w:vertAlign w:val="superscript"/>
        </w:rPr>
        <w:t xml:space="preserve">[4,34,36]</w:t>
      </w:r>
      <w:r>
        <w:rPr>
          <w:rFonts w:ascii="Times New Roman" w:cs="Times New Roman" w:eastAsia="Times New Roman" w:hAnsi="Times New Roman"/>
          <w:sz w:val="24"/>
          <w:szCs w:val="24"/>
        </w:rPr>
        <w:t xml:space="preserve"> What is lost is not communication per se but </w:t>
      </w:r>
      <w:r>
        <w:rPr>
          <w:rFonts w:ascii="Times New Roman" w:cs="Times New Roman" w:eastAsia="Times New Roman" w:hAnsi="Times New Roman"/>
          <w:i/>
          <w:iCs/>
          <w:sz w:val="24"/>
          <w:szCs w:val="24"/>
        </w:rPr>
        <w:t xml:space="preserve">compatibility with the shared regulatory language of the host tissue</w:t>
      </w:r>
      <w:r>
        <w:rPr>
          <w:rFonts w:ascii="Times New Roman" w:cs="Times New Roman" w:eastAsia="Times New Roman" w:hAnsi="Times New Roman"/>
          <w:sz w:val="24"/>
          <w:szCs w:val="24"/>
        </w:rPr>
        <w:t xml:space="preserve"> — responsiveness to polarity signals, contact inhibition, basement membrane anchoring, and systemic architectural cues. </w:t>
      </w:r>
      <w:r>
        <w:rPr>
          <w:rFonts w:ascii="Times New Roman" w:cs="Times New Roman" w:eastAsia="Times New Roman" w:hAnsi="Times New Roman"/>
          <w:sz w:val="18"/>
          <w:szCs w:val="18"/>
          <w:vertAlign w:val="superscript"/>
        </w:rPr>
        <w:t xml:space="preserve">[33,26]</w:t>
      </w:r>
    </w:p>
    <w:p>
      <w:pPr>
        <w:spacing w:after="180" w:line="276" w:lineRule="auto"/>
        <w:jc w:val="both"/>
      </w:pPr>
      <w:r>
        <w:rPr>
          <w:rFonts w:ascii="Times New Roman" w:cs="Times New Roman" w:eastAsia="Times New Roman" w:hAnsi="Times New Roman"/>
          <w:sz w:val="24"/>
          <w:szCs w:val="24"/>
        </w:rPr>
        <w:t xml:space="preserve">This redistribution of communication — from organism-level integration toward clone-centered coordination — is a consequence, within the present framework, of constitutive BGR dominance widening the energetic window beyond the range in which normal tissue communication signals can narrow it back. The clone develops internal metabolic-epigenetic self-sufficiency that renders it progressively less responsive to architectural restabilization signals from the surrounding tissue. </w:t>
      </w:r>
      <w:r>
        <w:rPr>
          <w:rFonts w:ascii="Times New Roman" w:cs="Times New Roman" w:eastAsia="Times New Roman" w:hAnsi="Times New Roman"/>
          <w:sz w:val="18"/>
          <w:szCs w:val="18"/>
          <w:vertAlign w:val="superscript"/>
        </w:rPr>
        <w:t xml:space="preserve">[42,22,40]</w:t>
      </w:r>
    </w:p>
    <w:p>
      <w:pPr>
        <w:pBdr>
          <w:bottom w:val="single" w:color="999999" w:sz="4" w:space="1"/>
        </w:pBdr>
        <w:spacing w:after="160" w:before="120"/>
      </w:pPr>
      <w:r>
        <w:rPr>
          <w:rFonts w:ascii="Times New Roman" w:cs="Times New Roman" w:eastAsia="Times New Roman" w:hAnsi="Times New Roman"/>
          <w:sz w:val="24"/>
          <w:szCs w:val="24"/>
        </w:rPr>
        <w:t xml:space="preserve"/>
      </w:r>
    </w:p>
    <w:p>
      <w:pPr>
        <w:pStyle w:val="Heading1"/>
        <w:pBdr>
          <w:bottom w:val="single" w:color="2E75B6" w:sz="4" w:space="2"/>
        </w:pBdr>
        <w:spacing w:after="160" w:before="360"/>
      </w:pPr>
      <w:r>
        <w:rPr>
          <w:rFonts w:ascii="Arial" w:cs="Arial" w:eastAsia="Arial" w:hAnsi="Arial"/>
          <w:b/>
          <w:bCs/>
          <w:color w:val="1F3864"/>
          <w:sz w:val="28"/>
          <w:szCs w:val="28"/>
        </w:rPr>
        <w:t xml:space="preserve">3. The 3D-to-2D Morphodynamic Transition: Structural Mechanics</w:t>
      </w:r>
    </w:p>
    <w:p>
      <w:pPr>
        <w:pStyle w:val="Heading2"/>
        <w:spacing w:after="100" w:before="240"/>
      </w:pPr>
      <w:r>
        <w:rPr>
          <w:rFonts w:ascii="Arial" w:cs="Arial" w:eastAsia="Arial" w:hAnsi="Arial"/>
          <w:b/>
          <w:bCs/>
          <w:color w:val="2E75B6"/>
          <w:sz w:val="24"/>
          <w:szCs w:val="24"/>
        </w:rPr>
        <w:t xml:space="preserve">3.1 Normal Three-Dimensional Glandular Organization</w:t>
      </w:r>
    </w:p>
    <w:p>
      <w:pPr>
        <w:spacing w:after="180" w:line="276" w:lineRule="auto"/>
        <w:jc w:val="both"/>
      </w:pPr>
      <w:r>
        <w:rPr>
          <w:rFonts w:ascii="Times New Roman" w:cs="Times New Roman" w:eastAsia="Times New Roman" w:hAnsi="Times New Roman"/>
          <w:sz w:val="24"/>
          <w:szCs w:val="24"/>
        </w:rPr>
        <w:t xml:space="preserve">Normal glandular epithelial tissues represent highly organized three-dimensional systems. Acini, ducts, and glandular crypts are characterized by: luminal organization with apical-surface facing the lumen; apical-basal polarity maintained through Par, Crumbs, and Scribble polarity complexes; geometric closure of epithelial sheets around a central lumen; basement membrane enclosure providing structural and signaling boundaries; and coordinated cell cycle regulation coupled to architectural integrity. </w:t>
      </w:r>
      <w:r>
        <w:rPr>
          <w:rFonts w:ascii="Times New Roman" w:cs="Times New Roman" w:eastAsia="Times New Roman" w:hAnsi="Times New Roman"/>
          <w:sz w:val="18"/>
          <w:szCs w:val="18"/>
          <w:vertAlign w:val="superscript"/>
        </w:rPr>
        <w:t xml:space="preserve">[26,27,6]</w:t>
      </w:r>
    </w:p>
    <w:p>
      <w:pPr>
        <w:spacing w:after="180" w:line="276" w:lineRule="auto"/>
        <w:jc w:val="both"/>
      </w:pPr>
      <w:r>
        <w:rPr>
          <w:rFonts w:ascii="Times New Roman" w:cs="Times New Roman" w:eastAsia="Times New Roman" w:hAnsi="Times New Roman"/>
          <w:sz w:val="24"/>
          <w:szCs w:val="24"/>
        </w:rPr>
        <w:t xml:space="preserve">The three-dimensional architecture of these structures is not incidental. It is a consequence and a perpetuator of polarized epithelial identity: cells maintain their differentiated state </w:t>
      </w:r>
      <w:r>
        <w:rPr>
          <w:rFonts w:ascii="Times New Roman" w:cs="Times New Roman" w:eastAsia="Times New Roman" w:hAnsi="Times New Roman"/>
          <w:i/>
          <w:iCs/>
          <w:sz w:val="24"/>
          <w:szCs w:val="24"/>
        </w:rPr>
        <w:t xml:space="preserve">because</w:t>
      </w:r>
      <w:r>
        <w:rPr>
          <w:rFonts w:ascii="Times New Roman" w:cs="Times New Roman" w:eastAsia="Times New Roman" w:hAnsi="Times New Roman"/>
          <w:sz w:val="24"/>
          <w:szCs w:val="24"/>
        </w:rPr>
        <w:t xml:space="preserve"> they are within the three-dimensional architecture, and the architecture is maintained </w:t>
      </w:r>
      <w:r>
        <w:rPr>
          <w:rFonts w:ascii="Times New Roman" w:cs="Times New Roman" w:eastAsia="Times New Roman" w:hAnsi="Times New Roman"/>
          <w:i/>
          <w:iCs/>
          <w:sz w:val="24"/>
          <w:szCs w:val="24"/>
        </w:rPr>
        <w:t xml:space="preserve">because</w:t>
      </w:r>
      <w:r>
        <w:rPr>
          <w:rFonts w:ascii="Times New Roman" w:cs="Times New Roman" w:eastAsia="Times New Roman" w:hAnsi="Times New Roman"/>
          <w:sz w:val="24"/>
          <w:szCs w:val="24"/>
        </w:rPr>
        <w:t xml:space="preserve"> cells are in their differentiated state. This circularity constitutes the structural stability of normal tissue. </w:t>
      </w:r>
      <w:r>
        <w:rPr>
          <w:rFonts w:ascii="Times New Roman" w:cs="Times New Roman" w:eastAsia="Times New Roman" w:hAnsi="Times New Roman"/>
          <w:sz w:val="18"/>
          <w:szCs w:val="18"/>
          <w:vertAlign w:val="superscript"/>
        </w:rPr>
        <w:t xml:space="preserve">[6,2,27]</w:t>
      </w:r>
    </w:p>
    <w:p>
      <w:pPr>
        <w:pStyle w:val="Heading2"/>
        <w:spacing w:after="100" w:before="240"/>
      </w:pPr>
      <w:r>
        <w:rPr>
          <w:rFonts w:ascii="Arial" w:cs="Arial" w:eastAsia="Arial" w:hAnsi="Arial"/>
          <w:b/>
          <w:bCs/>
          <w:color w:val="2E75B6"/>
          <w:sz w:val="24"/>
          <w:szCs w:val="24"/>
        </w:rPr>
        <w:t xml:space="preserve">3.2 Progression: Dysplasia to Invasive Carcinoma</w:t>
      </w:r>
    </w:p>
    <w:p>
      <w:pPr>
        <w:spacing w:after="180" w:line="276" w:lineRule="auto"/>
        <w:jc w:val="both"/>
      </w:pPr>
      <w:r>
        <w:rPr>
          <w:rFonts w:ascii="Times New Roman" w:cs="Times New Roman" w:eastAsia="Times New Roman" w:hAnsi="Times New Roman"/>
          <w:sz w:val="24"/>
          <w:szCs w:val="24"/>
        </w:rPr>
        <w:t xml:space="preserve">Malignant progression in glandular epithelia follows a reproducible morphodynamic trajectory that represents, at each stage, a further step in energetic-window expansion and structural constraint reduction.</w:t>
      </w:r>
    </w:p>
    <w:p>
      <w:pPr>
        <w:spacing w:after="60"/>
      </w:pPr>
      <w:r>
        <w:rPr>
          <w:rFonts w:ascii="Times New Roman" w:cs="Times New Roman" w:eastAsia="Times New Roman" w:hAnsi="Times New Roman"/>
          <w:sz w:val="24"/>
          <w:szCs w:val="24"/>
        </w:rPr>
        <w:t xml:space="preserve"/>
      </w:r>
    </w:p>
    <w:p>
      <w:pPr>
        <w:spacing w:after="180" w:line="276" w:lineRule="auto"/>
        <w:jc w:val="both"/>
      </w:pPr>
      <w:r>
        <w:rPr>
          <w:rFonts w:ascii="Times New Roman" w:cs="Times New Roman" w:eastAsia="Times New Roman" w:hAnsi="Times New Roman"/>
          <w:b/>
          <w:bCs/>
          <w:sz w:val="24"/>
          <w:szCs w:val="24"/>
        </w:rPr>
        <w:t xml:space="preserve">Stage 1 — Dysplasia: </w:t>
      </w:r>
      <w:r>
        <w:rPr>
          <w:rFonts w:ascii="Times New Roman" w:cs="Times New Roman" w:eastAsia="Times New Roman" w:hAnsi="Times New Roman"/>
          <w:sz w:val="24"/>
          <w:szCs w:val="24"/>
        </w:rPr>
        <w:t xml:space="preserve">Loss of polarity and luminal disorganization. Apical-basal polarity complexes are disrupted; pseudostratification appears; nuclear polarity is lost; luminal organization becomes irregular. In dual-flux terms: BGR induction is initially focal and partial, the energetic window is widened locally, and developmental-like chromatin configurations begin to appear at architectural regulatory loci. </w:t>
      </w:r>
      <w:r>
        <w:rPr>
          <w:rFonts w:ascii="Times New Roman" w:cs="Times New Roman" w:eastAsia="Times New Roman" w:hAnsi="Times New Roman"/>
          <w:sz w:val="18"/>
          <w:szCs w:val="18"/>
          <w:vertAlign w:val="superscript"/>
        </w:rPr>
        <w:t xml:space="preserve">[27,5,26]</w:t>
      </w:r>
    </w:p>
    <w:p>
      <w:pPr>
        <w:spacing w:after="180" w:line="276" w:lineRule="auto"/>
        <w:jc w:val="both"/>
      </w:pPr>
      <w:r>
        <w:rPr>
          <w:rFonts w:ascii="Times New Roman" w:cs="Times New Roman" w:eastAsia="Times New Roman" w:hAnsi="Times New Roman"/>
          <w:b/>
          <w:bCs/>
          <w:sz w:val="24"/>
          <w:szCs w:val="24"/>
        </w:rPr>
        <w:t xml:space="preserve">Stage 2 — Carcinoma in situ: </w:t>
      </w:r>
      <w:r>
        <w:rPr>
          <w:rFonts w:ascii="Times New Roman" w:cs="Times New Roman" w:eastAsia="Times New Roman" w:hAnsi="Times New Roman"/>
          <w:sz w:val="24"/>
          <w:szCs w:val="24"/>
        </w:rPr>
        <w:t xml:space="preserve">Full loss of normal polarity while basement membrane integrity is initially preserved. Cells proliferate within the epithelial compartment without basement membrane breach. The energetic window is constitutively expanded within the intraepithelial compartment, but the basement membrane continues to impose a structural constraint limiting further expansion. </w:t>
      </w:r>
      <w:r>
        <w:rPr>
          <w:rFonts w:ascii="Times New Roman" w:cs="Times New Roman" w:eastAsia="Times New Roman" w:hAnsi="Times New Roman"/>
          <w:sz w:val="18"/>
          <w:szCs w:val="18"/>
          <w:vertAlign w:val="superscript"/>
        </w:rPr>
        <w:t xml:space="preserve">[9,28]</w:t>
      </w:r>
    </w:p>
    <w:p>
      <w:pPr>
        <w:spacing w:after="180" w:line="276" w:lineRule="auto"/>
        <w:jc w:val="both"/>
      </w:pPr>
      <w:r>
        <w:rPr>
          <w:rFonts w:ascii="Times New Roman" w:cs="Times New Roman" w:eastAsia="Times New Roman" w:hAnsi="Times New Roman"/>
          <w:b/>
          <w:bCs/>
          <w:sz w:val="24"/>
          <w:szCs w:val="24"/>
        </w:rPr>
        <w:t xml:space="preserve">Stage 3 — Invasive carcinoma: </w:t>
      </w:r>
      <w:r>
        <w:rPr>
          <w:rFonts w:ascii="Times New Roman" w:cs="Times New Roman" w:eastAsia="Times New Roman" w:hAnsi="Times New Roman"/>
          <w:sz w:val="24"/>
          <w:szCs w:val="24"/>
        </w:rPr>
        <w:t xml:space="preserve">Basement membrane breach and stromal invasion. MMP-mediated basement membrane degradation eliminates the primary architectural constraint, massively expanding the energetic window. Cells transition from constrained three-dimensional organization to infiltrative single-cell, cord, sheet, and nest configurations — the morphological correlates of 2D-like growth. </w:t>
      </w:r>
      <w:r>
        <w:rPr>
          <w:rFonts w:ascii="Times New Roman" w:cs="Times New Roman" w:eastAsia="Times New Roman" w:hAnsi="Times New Roman"/>
          <w:sz w:val="18"/>
          <w:szCs w:val="18"/>
          <w:vertAlign w:val="superscript"/>
        </w:rPr>
        <w:t xml:space="preserve">[5,24,16]</w:t>
      </w:r>
    </w:p>
    <w:p>
      <w:pPr>
        <w:spacing w:after="180" w:line="276" w:lineRule="auto"/>
        <w:jc w:val="both"/>
      </w:pPr>
      <w:r>
        <w:rPr>
          <w:rFonts w:ascii="Times New Roman" w:cs="Times New Roman" w:eastAsia="Times New Roman" w:hAnsi="Times New Roman"/>
          <w:b/>
          <w:bCs/>
          <w:sz w:val="24"/>
          <w:szCs w:val="24"/>
        </w:rPr>
        <w:t xml:space="preserve">Stage 4 — Advanced infiltrative growth: </w:t>
      </w:r>
      <w:r>
        <w:rPr>
          <w:rFonts w:ascii="Times New Roman" w:cs="Times New Roman" w:eastAsia="Times New Roman" w:hAnsi="Times New Roman"/>
          <w:sz w:val="24"/>
          <w:szCs w:val="24"/>
        </w:rPr>
        <w:t xml:space="preserve">Replacement of all three-dimensional organizational features by autonomous infiltrative expansion. Glandular structures, where present, are poorly formed, irregular, and spatially disorganized. The dominant growth pattern is sheets, cords, and single-cell infiltration — maximally planar configurations with minimal architectural constraint. Vascular architecture within the tumor becomes autonomous and disorganized. </w:t>
      </w:r>
      <w:r>
        <w:rPr>
          <w:rFonts w:ascii="Times New Roman" w:cs="Times New Roman" w:eastAsia="Times New Roman" w:hAnsi="Times New Roman"/>
          <w:sz w:val="18"/>
          <w:szCs w:val="18"/>
          <w:vertAlign w:val="superscript"/>
        </w:rPr>
        <w:t xml:space="preserve">[17,18,13]</w:t>
      </w:r>
    </w:p>
    <w:p>
      <w:pPr>
        <w:pStyle w:val="Heading2"/>
        <w:spacing w:after="100" w:before="240"/>
      </w:pPr>
      <w:r>
        <w:rPr>
          <w:rFonts w:ascii="Arial" w:cs="Arial" w:eastAsia="Arial" w:hAnsi="Arial"/>
          <w:b/>
          <w:bCs/>
          <w:color w:val="2E75B6"/>
          <w:sz w:val="24"/>
          <w:szCs w:val="24"/>
        </w:rPr>
        <w:t xml:space="preserve">3.3 Energetic-Window Mechanics of the Transition</w:t>
      </w:r>
    </w:p>
    <w:p>
      <w:pPr>
        <w:spacing w:after="180" w:line="276" w:lineRule="auto"/>
        <w:jc w:val="both"/>
      </w:pPr>
      <w:r>
        <w:rPr>
          <w:rFonts w:ascii="Times New Roman" w:cs="Times New Roman" w:eastAsia="Times New Roman" w:hAnsi="Times New Roman"/>
          <w:sz w:val="24"/>
          <w:szCs w:val="24"/>
        </w:rPr>
        <w:t xml:space="preserve">The 3D-to-2D morphodynamic transition can be formally described within the dual-flux framework as a sequence of coupled events:</w:t>
      </w:r>
    </w:p>
    <w:p>
      <w:pPr>
        <w:pBdr>
          <w:top w:val="single" w:color="CCCCCC" w:sz="4" w:space="2"/>
          <w:bottom w:val="single" w:color="CCCCCC" w:sz="4" w:space="2"/>
          <w:left w:val="thick" w:color="2E75B6" w:sz="14" w:space="6"/>
        </w:pBdr>
        <w:shd w:fill="F4F8FE"/>
        <w:spacing w:after="120" w:before="120"/>
        <w:ind w:left="480" w:right="480"/>
      </w:pPr>
      <w:r>
        <w:rPr>
          <w:rFonts w:ascii="Courier New" w:cs="Courier New" w:eastAsia="Courier New" w:hAnsi="Courier New"/>
          <w:i/>
          <w:iCs/>
          <w:sz w:val="22"/>
          <w:szCs w:val="22"/>
        </w:rPr>
        <w:t xml:space="preserve">Oncogenic BGR stabilization → ΔE_window constitutively expanded</w:t>
      </w:r>
      <w:r>
        <w:rPr>
          <w:rFonts w:ascii="Arial" w:cs="Arial" w:eastAsia="Arial" w:hAnsi="Arial"/>
          <w:color w:val="666666"/>
          <w:sz w:val="20"/>
          <w:szCs w:val="20"/>
        </w:rPr>
        <w:t xml:space="preserve">   ...(3.1)</w:t>
      </w:r>
    </w:p>
    <w:p>
      <w:pPr>
        <w:pBdr>
          <w:top w:val="single" w:color="CCCCCC" w:sz="4" w:space="2"/>
          <w:bottom w:val="single" w:color="CCCCCC" w:sz="4" w:space="2"/>
          <w:left w:val="thick" w:color="2E75B6" w:sz="14" w:space="6"/>
        </w:pBdr>
        <w:shd w:fill="F4F8FE"/>
        <w:spacing w:after="120" w:before="120"/>
        <w:ind w:left="480" w:right="480"/>
      </w:pPr>
      <w:r>
        <w:rPr>
          <w:rFonts w:ascii="Courier New" w:cs="Courier New" w:eastAsia="Courier New" w:hAnsi="Courier New"/>
          <w:i/>
          <w:iCs/>
          <w:sz w:val="22"/>
          <w:szCs w:val="22"/>
        </w:rPr>
        <w:t xml:space="preserve">ΔE_window expansion → MMP upregulation → ECM degradation → structural constraint ↓</w:t>
      </w:r>
      <w:r>
        <w:rPr>
          <w:rFonts w:ascii="Arial" w:cs="Arial" w:eastAsia="Arial" w:hAnsi="Arial"/>
          <w:color w:val="666666"/>
          <w:sz w:val="20"/>
          <w:szCs w:val="20"/>
        </w:rPr>
        <w:t xml:space="preserve">   ...(3.2)</w:t>
      </w:r>
    </w:p>
    <w:p>
      <w:pPr>
        <w:pBdr>
          <w:top w:val="single" w:color="CCCCCC" w:sz="4" w:space="2"/>
          <w:bottom w:val="single" w:color="CCCCCC" w:sz="4" w:space="2"/>
          <w:left w:val="thick" w:color="2E75B6" w:sz="14" w:space="6"/>
        </w:pBdr>
        <w:shd w:fill="F4F8FE"/>
        <w:spacing w:after="120" w:before="120"/>
        <w:ind w:left="480" w:right="480"/>
      </w:pPr>
      <w:r>
        <w:rPr>
          <w:rFonts w:ascii="Courier New" w:cs="Courier New" w:eastAsia="Courier New" w:hAnsi="Courier New"/>
          <w:i/>
          <w:iCs/>
          <w:sz w:val="22"/>
          <w:szCs w:val="22"/>
        </w:rPr>
        <w:t xml:space="preserve">Structural constraint ↓ → further ΔE_window expansion (positive feedback)</w:t>
      </w:r>
      <w:r>
        <w:rPr>
          <w:rFonts w:ascii="Arial" w:cs="Arial" w:eastAsia="Arial" w:hAnsi="Arial"/>
          <w:color w:val="666666"/>
          <w:sz w:val="20"/>
          <w:szCs w:val="20"/>
        </w:rPr>
        <w:t xml:space="preserve">   ...(3.3)</w:t>
      </w:r>
    </w:p>
    <w:p>
      <w:pPr>
        <w:pBdr>
          <w:top w:val="single" w:color="CCCCCC" w:sz="4" w:space="2"/>
          <w:bottom w:val="single" w:color="CCCCCC" w:sz="4" w:space="2"/>
          <w:left w:val="thick" w:color="2E75B6" w:sz="14" w:space="6"/>
        </w:pBdr>
        <w:shd w:fill="F4F8FE"/>
        <w:spacing w:after="120" w:before="120"/>
        <w:ind w:left="480" w:right="480"/>
      </w:pPr>
      <w:r>
        <w:rPr>
          <w:rFonts w:ascii="Courier New" w:cs="Courier New" w:eastAsia="Courier New" w:hAnsi="Courier New"/>
          <w:i/>
          <w:iCs/>
          <w:sz w:val="22"/>
          <w:szCs w:val="22"/>
        </w:rPr>
        <w:t xml:space="preserve">Positive feedback → progressive 3D → 2D architectural dissolution</w:t>
      </w:r>
      <w:r>
        <w:rPr>
          <w:rFonts w:ascii="Arial" w:cs="Arial" w:eastAsia="Arial" w:hAnsi="Arial"/>
          <w:color w:val="666666"/>
          <w:sz w:val="20"/>
          <w:szCs w:val="20"/>
        </w:rPr>
        <w:t xml:space="preserve">   ...(3.4)</w:t>
      </w:r>
    </w:p>
    <w:p>
      <w:pPr>
        <w:pBdr>
          <w:top w:val="single" w:color="CCCCCC" w:sz="4" w:space="2"/>
          <w:bottom w:val="single" w:color="CCCCCC" w:sz="4" w:space="2"/>
          <w:left w:val="thick" w:color="2E75B6" w:sz="14" w:space="6"/>
        </w:pBdr>
        <w:shd w:fill="F4F8FE"/>
        <w:spacing w:after="120" w:before="120"/>
        <w:ind w:left="480" w:right="480"/>
      </w:pPr>
      <w:r>
        <w:rPr>
          <w:rFonts w:ascii="Courier New" w:cs="Courier New" w:eastAsia="Courier New" w:hAnsi="Courier New"/>
          <w:i/>
          <w:iCs/>
          <w:sz w:val="22"/>
          <w:szCs w:val="22"/>
        </w:rPr>
        <w:t xml:space="preserve">2D-like configuration → maximal spatial freedom → minimal energetic-window narrowing</w:t>
      </w:r>
      <w:r>
        <w:rPr>
          <w:rFonts w:ascii="Arial" w:cs="Arial" w:eastAsia="Arial" w:hAnsi="Arial"/>
          <w:color w:val="666666"/>
          <w:sz w:val="20"/>
          <w:szCs w:val="20"/>
        </w:rPr>
        <w:t xml:space="preserve">   ...(3.5)</w:t>
      </w:r>
    </w:p>
    <w:p>
      <w:pPr>
        <w:spacing w:after="60"/>
      </w:pPr>
      <w:r>
        <w:rPr>
          <w:rFonts w:ascii="Times New Roman" w:cs="Times New Roman" w:eastAsia="Times New Roman" w:hAnsi="Times New Roman"/>
          <w:sz w:val="24"/>
          <w:szCs w:val="24"/>
        </w:rPr>
        <w:t xml:space="preserve"/>
      </w:r>
    </w:p>
    <w:p>
      <w:pPr>
        <w:spacing w:after="180" w:line="276" w:lineRule="auto"/>
        <w:jc w:val="both"/>
      </w:pPr>
      <w:r>
        <w:rPr>
          <w:rFonts w:ascii="Times New Roman" w:cs="Times New Roman" w:eastAsia="Times New Roman" w:hAnsi="Times New Roman"/>
          <w:sz w:val="24"/>
          <w:szCs w:val="24"/>
        </w:rPr>
        <w:t xml:space="preserve">The positive feedback between structural constraint loss and energetic-window expansion (equations 3.2–3.3) is the key destabilizing mechanism. In normal regeneration, this feedback is terminated by structural restabilization (the Regeneration Pendulum damping mechanism). In the oncogenic regime, constitutive BGR self-reinforcement prevents restabilization, and the system undergoes progressive architectural dissolution in a forward-accelerating manner. </w:t>
      </w:r>
      <w:r>
        <w:rPr>
          <w:rFonts w:ascii="Times New Roman" w:cs="Times New Roman" w:eastAsia="Times New Roman" w:hAnsi="Times New Roman"/>
          <w:sz w:val="18"/>
          <w:szCs w:val="18"/>
          <w:vertAlign w:val="superscript"/>
        </w:rPr>
        <w:t xml:space="preserve">[41,42,16]</w:t>
      </w:r>
    </w:p>
    <w:p>
      <w:pPr>
        <w:pBdr>
          <w:bottom w:val="single" w:color="999999" w:sz="4" w:space="1"/>
        </w:pBdr>
        <w:spacing w:after="160" w:before="120"/>
      </w:pPr>
      <w:r>
        <w:rPr>
          <w:rFonts w:ascii="Times New Roman" w:cs="Times New Roman" w:eastAsia="Times New Roman" w:hAnsi="Times New Roman"/>
          <w:sz w:val="24"/>
          <w:szCs w:val="24"/>
        </w:rPr>
        <w:t xml:space="preserve"/>
      </w:r>
    </w:p>
    <w:p>
      <w:pPr>
        <w:pStyle w:val="Heading1"/>
        <w:pBdr>
          <w:bottom w:val="single" w:color="2E75B6" w:sz="4" w:space="2"/>
        </w:pBdr>
        <w:spacing w:after="160" w:before="360"/>
      </w:pPr>
      <w:r>
        <w:rPr>
          <w:rFonts w:ascii="Arial" w:cs="Arial" w:eastAsia="Arial" w:hAnsi="Arial"/>
          <w:b/>
          <w:bCs/>
          <w:color w:val="1F3864"/>
          <w:sz w:val="28"/>
          <w:szCs w:val="28"/>
        </w:rPr>
        <w:t xml:space="preserve">4. Hydatidiform Mole as a Morphodynamic Paradigm</w:t>
      </w:r>
    </w:p>
    <w:p>
      <w:pPr>
        <w:pStyle w:val="Heading2"/>
        <w:spacing w:after="100" w:before="240"/>
      </w:pPr>
      <w:r>
        <w:rPr>
          <w:rFonts w:ascii="Arial" w:cs="Arial" w:eastAsia="Arial" w:hAnsi="Arial"/>
          <w:b/>
          <w:bCs/>
          <w:color w:val="2E75B6"/>
          <w:sz w:val="24"/>
          <w:szCs w:val="24"/>
        </w:rPr>
        <w:t xml:space="preserve">4.1 Structural Features and the Absent Embryonic Integration</w:t>
      </w:r>
    </w:p>
    <w:p>
      <w:pPr>
        <w:spacing w:after="180" w:line="276" w:lineRule="auto"/>
        <w:jc w:val="both"/>
      </w:pPr>
      <w:r>
        <w:rPr>
          <w:rFonts w:ascii="Times New Roman" w:cs="Times New Roman" w:eastAsia="Times New Roman" w:hAnsi="Times New Roman"/>
          <w:sz w:val="24"/>
          <w:szCs w:val="24"/>
        </w:rPr>
        <w:t xml:space="preserve">Complete hydatidiform mole provides an exceptionally illuminating morphodynamic model because it separates two components that are normally coupled in normal pregnancy: </w:t>
      </w:r>
      <w:r>
        <w:rPr>
          <w:rFonts w:ascii="Times New Roman" w:cs="Times New Roman" w:eastAsia="Times New Roman" w:hAnsi="Times New Roman"/>
          <w:b/>
          <w:bCs/>
          <w:sz w:val="24"/>
          <w:szCs w:val="24"/>
        </w:rPr>
        <w:t xml:space="preserve">embryonic structural integration</w:t>
      </w:r>
      <w:r>
        <w:rPr>
          <w:rFonts w:ascii="Times New Roman" w:cs="Times New Roman" w:eastAsia="Times New Roman" w:hAnsi="Times New Roman"/>
          <w:sz w:val="24"/>
          <w:szCs w:val="24"/>
        </w:rPr>
        <w:t xml:space="preserve"> and </w:t>
      </w:r>
      <w:r>
        <w:rPr>
          <w:rFonts w:ascii="Times New Roman" w:cs="Times New Roman" w:eastAsia="Times New Roman" w:hAnsi="Times New Roman"/>
          <w:b/>
          <w:bCs/>
          <w:sz w:val="24"/>
          <w:szCs w:val="24"/>
        </w:rPr>
        <w:t xml:space="preserve">trophoblastic invasive and angiogenic capacity</w:t>
      </w:r>
      <w:r>
        <w:rPr>
          <w:rFonts w:ascii="Times New Roman" w:cs="Times New Roman" w:eastAsia="Times New Roman" w:hAnsi="Times New Roman"/>
          <w:sz w:val="24"/>
          <w:szCs w:val="24"/>
        </w:rPr>
        <w:t xml:space="preserve">. In complete mole, the former is absent or severely impaired — embryonic development fails — while the latter is hyperactive. </w:t>
      </w:r>
      <w:r>
        <w:rPr>
          <w:rFonts w:ascii="Times New Roman" w:cs="Times New Roman" w:eastAsia="Times New Roman" w:hAnsi="Times New Roman"/>
          <w:sz w:val="18"/>
          <w:szCs w:val="18"/>
          <w:vertAlign w:val="superscript"/>
        </w:rPr>
        <w:t xml:space="preserve">[11,12,10]</w:t>
      </w:r>
    </w:p>
    <w:p>
      <w:pPr>
        <w:spacing w:after="180" w:line="276" w:lineRule="auto"/>
        <w:jc w:val="both"/>
      </w:pPr>
      <w:r>
        <w:rPr>
          <w:rFonts w:ascii="Times New Roman" w:cs="Times New Roman" w:eastAsia="Times New Roman" w:hAnsi="Times New Roman"/>
          <w:sz w:val="24"/>
          <w:szCs w:val="24"/>
        </w:rPr>
        <w:t xml:space="preserve">The molar lesion consists of swollen, avascular chorionic villi surrounded by hyperplastic trophoblastic tissue, with strong maternal vascular recruitment but without the formation of a fetal-placental circulatory unit. Critically, the three-dimensional organizational logic of normal placentation — the integration of embryonic vasculogenesis, trophoblastic invasion, and maternal vessel remodeling into a unified functional architecture — is absent. The trophoblast expands, invades, and recruits vasculature, but without being architecturally constrained by the embryonic system it would normally serve. </w:t>
      </w:r>
      <w:r>
        <w:rPr>
          <w:rFonts w:ascii="Times New Roman" w:cs="Times New Roman" w:eastAsia="Times New Roman" w:hAnsi="Times New Roman"/>
          <w:sz w:val="18"/>
          <w:szCs w:val="18"/>
          <w:vertAlign w:val="superscript"/>
        </w:rPr>
        <w:t xml:space="preserve">[11,12]</w:t>
      </w:r>
    </w:p>
    <w:p>
      <w:pPr>
        <w:spacing w:after="180" w:line="276" w:lineRule="auto"/>
        <w:jc w:val="both"/>
      </w:pPr>
      <w:r>
        <w:rPr>
          <w:rFonts w:ascii="Times New Roman" w:cs="Times New Roman" w:eastAsia="Times New Roman" w:hAnsi="Times New Roman"/>
          <w:sz w:val="24"/>
          <w:szCs w:val="24"/>
        </w:rPr>
        <w:t xml:space="preserve">Within the dual-flux framework, complete hydatidiform mole can be interpreted as a tissue in which BGR-like metabolic activity and energetic-window expansion are constitutively high in the trophoblastic compartment — consistent with the naturally high glycolytic activity of normal first-trimester trophoblast — but the structural restabilization that would normally be provided by embryonic architectural development never occurs. The trophoblast therefore maintains an expanded energetic window without the architectural integration that would narrow it. </w:t>
      </w:r>
      <w:r>
        <w:rPr>
          <w:rFonts w:ascii="Times New Roman" w:cs="Times New Roman" w:eastAsia="Times New Roman" w:hAnsi="Times New Roman"/>
          <w:sz w:val="18"/>
          <w:szCs w:val="18"/>
          <w:vertAlign w:val="superscript"/>
        </w:rPr>
        <w:t xml:space="preserve">[42,11]</w:t>
      </w:r>
    </w:p>
    <w:p>
      <w:pPr>
        <w:pStyle w:val="Heading2"/>
        <w:spacing w:after="100" w:before="240"/>
      </w:pPr>
      <w:r>
        <w:rPr>
          <w:rFonts w:ascii="Arial" w:cs="Arial" w:eastAsia="Arial" w:hAnsi="Arial"/>
          <w:b/>
          <w:bCs/>
          <w:color w:val="2E75B6"/>
          <w:sz w:val="24"/>
          <w:szCs w:val="24"/>
        </w:rPr>
        <w:t xml:space="preserve">4.2 Progression to Invasive Mole and Choriocarcinoma</w:t>
      </w:r>
    </w:p>
    <w:p>
      <w:pPr>
        <w:spacing w:after="180" w:line="276" w:lineRule="auto"/>
        <w:jc w:val="both"/>
      </w:pPr>
      <w:r>
        <w:rPr>
          <w:rFonts w:ascii="Times New Roman" w:cs="Times New Roman" w:eastAsia="Times New Roman" w:hAnsi="Times New Roman"/>
          <w:sz w:val="24"/>
          <w:szCs w:val="24"/>
        </w:rPr>
        <w:t xml:space="preserve">The morphodynamic trajectory of trophoblastic disease follows the same 3D-to-2D dissolution sequence as glandular carcinoma, but in accelerated and paradigmatically clear form. </w:t>
      </w:r>
      <w:r>
        <w:rPr>
          <w:rFonts w:ascii="Times New Roman" w:cs="Times New Roman" w:eastAsia="Times New Roman" w:hAnsi="Times New Roman"/>
          <w:sz w:val="18"/>
          <w:szCs w:val="18"/>
          <w:vertAlign w:val="superscript"/>
        </w:rPr>
        <w:t xml:space="preserve">[11]</w:t>
      </w:r>
    </w:p>
    <w:p>
      <w:pPr>
        <w:spacing w:after="180" w:line="276" w:lineRule="auto"/>
        <w:jc w:val="both"/>
      </w:pPr>
      <w:r>
        <w:rPr>
          <w:rFonts w:ascii="Times New Roman" w:cs="Times New Roman" w:eastAsia="Times New Roman" w:hAnsi="Times New Roman"/>
          <w:b/>
          <w:bCs/>
          <w:sz w:val="24"/>
          <w:szCs w:val="24"/>
        </w:rPr>
        <w:t xml:space="preserve">Hydatidiform mole: </w:t>
      </w:r>
      <w:r>
        <w:rPr>
          <w:rFonts w:ascii="Times New Roman" w:cs="Times New Roman" w:eastAsia="Times New Roman" w:hAnsi="Times New Roman"/>
          <w:sz w:val="24"/>
          <w:szCs w:val="24"/>
        </w:rPr>
        <w:t xml:space="preserve">Villous three-dimensional architecture is preserved, albeit abnormally. Swollen villi maintain their three-dimensional closed form. The system is expanding but retains some vesicular organizational coherence.</w:t>
      </w:r>
    </w:p>
    <w:p>
      <w:pPr>
        <w:spacing w:after="180" w:line="276" w:lineRule="auto"/>
        <w:jc w:val="both"/>
      </w:pPr>
      <w:r>
        <w:rPr>
          <w:rFonts w:ascii="Times New Roman" w:cs="Times New Roman" w:eastAsia="Times New Roman" w:hAnsi="Times New Roman"/>
          <w:b/>
          <w:bCs/>
          <w:sz w:val="24"/>
          <w:szCs w:val="24"/>
        </w:rPr>
        <w:t xml:space="preserve">Invasive mole: </w:t>
      </w:r>
      <w:r>
        <w:rPr>
          <w:rFonts w:ascii="Times New Roman" w:cs="Times New Roman" w:eastAsia="Times New Roman" w:hAnsi="Times New Roman"/>
          <w:sz w:val="24"/>
          <w:szCs w:val="24"/>
        </w:rPr>
        <w:t xml:space="preserve">Villi invade the myometrium, breaching the uterine architectural boundary. Three-dimensional villous organization is partially preserved within the invasive compartment, but spatial constraint is lost: the trophoblast now expands through tissue planes rather than within a defined anatomical compartment.</w:t>
      </w:r>
    </w:p>
    <w:p>
      <w:pPr>
        <w:spacing w:after="180" w:line="276" w:lineRule="auto"/>
        <w:jc w:val="both"/>
      </w:pPr>
      <w:r>
        <w:rPr>
          <w:rFonts w:ascii="Times New Roman" w:cs="Times New Roman" w:eastAsia="Times New Roman" w:hAnsi="Times New Roman"/>
          <w:b/>
          <w:bCs/>
          <w:sz w:val="24"/>
          <w:szCs w:val="24"/>
        </w:rPr>
        <w:t xml:space="preserve">Choriocarcinoma: </w:t>
      </w:r>
      <w:r>
        <w:rPr>
          <w:rFonts w:ascii="Times New Roman" w:cs="Times New Roman" w:eastAsia="Times New Roman" w:hAnsi="Times New Roman"/>
          <w:sz w:val="24"/>
          <w:szCs w:val="24"/>
        </w:rPr>
        <w:t xml:space="preserve">Villous architecture disappears entirely. The tumor consists of sheets and infiltrative networks of cytotrophoblast and syncytiotrophoblast — a maximally 2D-like configuration in which no vesicular or closed three-dimensional structure is present. The tumor exhibits early and widespread vascular invasion with haematogenous dissemination, consistent with complete loss of architectural constraint. </w:t>
      </w:r>
      <w:r>
        <w:rPr>
          <w:rFonts w:ascii="Times New Roman" w:cs="Times New Roman" w:eastAsia="Times New Roman" w:hAnsi="Times New Roman"/>
          <w:sz w:val="18"/>
          <w:szCs w:val="18"/>
          <w:vertAlign w:val="superscript"/>
        </w:rPr>
        <w:t xml:space="preserve">[11,10]</w:t>
      </w:r>
    </w:p>
    <w:p>
      <w:pPr>
        <w:spacing w:after="180" w:line="276" w:lineRule="auto"/>
        <w:jc w:val="both"/>
      </w:pPr>
      <w:r>
        <w:rPr>
          <w:rFonts w:ascii="Times New Roman" w:cs="Times New Roman" w:eastAsia="Times New Roman" w:hAnsi="Times New Roman"/>
          <w:sz w:val="24"/>
          <w:szCs w:val="24"/>
        </w:rPr>
        <w:t xml:space="preserve">This trajectory — vesicular 3D → partially constrained invasion → fully planar infiltrative sheets — represents the most rapid and complete example of the 3D-to-2D morphodynamic transition in human pathology, and its occurrence in a tissue that is by nature BGR-dominant and energetic-window-expanded makes it a direct model for the oncogenic bifurcation described in Paper 2. </w:t>
      </w:r>
      <w:r>
        <w:rPr>
          <w:rFonts w:ascii="Times New Roman" w:cs="Times New Roman" w:eastAsia="Times New Roman" w:hAnsi="Times New Roman"/>
          <w:sz w:val="18"/>
          <w:szCs w:val="18"/>
          <w:vertAlign w:val="superscript"/>
        </w:rPr>
        <w:t xml:space="preserve">[42]</w:t>
      </w:r>
    </w:p>
    <w:p>
      <w:pPr>
        <w:pStyle w:val="Heading2"/>
        <w:spacing w:after="100" w:before="240"/>
      </w:pPr>
      <w:r>
        <w:rPr>
          <w:rFonts w:ascii="Arial" w:cs="Arial" w:eastAsia="Arial" w:hAnsi="Arial"/>
          <w:b/>
          <w:bCs/>
          <w:color w:val="2E75B6"/>
          <w:sz w:val="24"/>
          <w:szCs w:val="24"/>
        </w:rPr>
        <w:t xml:space="preserve">4.3 The Trophoblastic-Embryonic Axis as a Model for Integration</w:t>
      </w:r>
    </w:p>
    <w:p>
      <w:pPr>
        <w:spacing w:after="180" w:line="276" w:lineRule="auto"/>
        <w:jc w:val="both"/>
      </w:pPr>
      <w:r>
        <w:rPr>
          <w:rFonts w:ascii="Times New Roman" w:cs="Times New Roman" w:eastAsia="Times New Roman" w:hAnsi="Times New Roman"/>
          <w:sz w:val="24"/>
          <w:szCs w:val="24"/>
        </w:rPr>
        <w:t xml:space="preserve">The normal trophoblast-embryo system illustrates a general principle: </w:t>
      </w:r>
      <w:r>
        <w:rPr>
          <w:rFonts w:ascii="Times New Roman" w:cs="Times New Roman" w:eastAsia="Times New Roman" w:hAnsi="Times New Roman"/>
          <w:b/>
          <w:bCs/>
          <w:sz w:val="24"/>
          <w:szCs w:val="24"/>
        </w:rPr>
        <w:t xml:space="preserve">invasive and expansive capacity requires architectural integration to remain regulated</w:t>
      </w:r>
      <w:r>
        <w:rPr>
          <w:rFonts w:ascii="Times New Roman" w:cs="Times New Roman" w:eastAsia="Times New Roman" w:hAnsi="Times New Roman"/>
          <w:sz w:val="24"/>
          <w:szCs w:val="24"/>
        </w:rPr>
        <w:t xml:space="preserve">. Normal first-trimester trophoblast is arguably the most invasive and energetically active normal tissue in the human body, yet its invasion is spatially constrained by a complex regulatory architecture involving decidualization, NK cell-mediated signaling, and the embryonic organizational axis. </w:t>
      </w:r>
      <w:r>
        <w:rPr>
          <w:rFonts w:ascii="Times New Roman" w:cs="Times New Roman" w:eastAsia="Times New Roman" w:hAnsi="Times New Roman"/>
          <w:sz w:val="18"/>
          <w:szCs w:val="18"/>
          <w:vertAlign w:val="superscript"/>
        </w:rPr>
        <w:t xml:space="preserve">[11,12]</w:t>
      </w:r>
    </w:p>
    <w:p>
      <w:pPr>
        <w:spacing w:after="180" w:line="276" w:lineRule="auto"/>
        <w:jc w:val="both"/>
      </w:pPr>
      <w:r>
        <w:rPr>
          <w:rFonts w:ascii="Times New Roman" w:cs="Times New Roman" w:eastAsia="Times New Roman" w:hAnsi="Times New Roman"/>
          <w:sz w:val="24"/>
          <w:szCs w:val="24"/>
        </w:rPr>
        <w:t xml:space="preserve">Hydatidiform mole demonstrates what happens when this integration is absent: the same invasive and metabolic capacities, without architectural context, produce unregulated expansion. The mole is not more aggressive than normal trophoblast in its individual-cell properties — it is less integrated at the organism level, and this loss of integration alone is sufficient to convert physiological invasion into pathological growth. This observation supports the central thesis of the present paper: that malignancy is fundamentally a failure of </w:t>
      </w:r>
      <w:r>
        <w:rPr>
          <w:rFonts w:ascii="Times New Roman" w:cs="Times New Roman" w:eastAsia="Times New Roman" w:hAnsi="Times New Roman"/>
          <w:b/>
          <w:bCs/>
          <w:sz w:val="24"/>
          <w:szCs w:val="24"/>
        </w:rPr>
        <w:t xml:space="preserve">integration</w:t>
      </w:r>
      <w:r>
        <w:rPr>
          <w:rFonts w:ascii="Times New Roman" w:cs="Times New Roman" w:eastAsia="Times New Roman" w:hAnsi="Times New Roman"/>
          <w:sz w:val="24"/>
          <w:szCs w:val="24"/>
        </w:rPr>
        <w:t xml:space="preserve">, not merely of proliferative control. </w:t>
      </w:r>
      <w:r>
        <w:rPr>
          <w:rFonts w:ascii="Times New Roman" w:cs="Times New Roman" w:eastAsia="Times New Roman" w:hAnsi="Times New Roman"/>
          <w:sz w:val="18"/>
          <w:szCs w:val="18"/>
          <w:vertAlign w:val="superscript"/>
        </w:rPr>
        <w:t xml:space="preserve">[22,2,40]</w:t>
      </w:r>
    </w:p>
    <w:p>
      <w:pPr>
        <w:pBdr>
          <w:bottom w:val="single" w:color="999999" w:sz="4" w:space="1"/>
        </w:pBdr>
        <w:spacing w:after="160" w:before="120"/>
      </w:pPr>
      <w:r>
        <w:rPr>
          <w:rFonts w:ascii="Times New Roman" w:cs="Times New Roman" w:eastAsia="Times New Roman" w:hAnsi="Times New Roman"/>
          <w:sz w:val="24"/>
          <w:szCs w:val="24"/>
        </w:rPr>
        <w:t xml:space="preserve"/>
      </w:r>
    </w:p>
    <w:p>
      <w:pPr>
        <w:pStyle w:val="Heading1"/>
        <w:pBdr>
          <w:bottom w:val="single" w:color="2E75B6" w:sz="4" w:space="2"/>
        </w:pBdr>
        <w:spacing w:after="160" w:before="360"/>
      </w:pPr>
      <w:r>
        <w:rPr>
          <w:rFonts w:ascii="Arial" w:cs="Arial" w:eastAsia="Arial" w:hAnsi="Arial"/>
          <w:b/>
          <w:bCs/>
          <w:color w:val="1F3864"/>
          <w:sz w:val="28"/>
          <w:szCs w:val="28"/>
        </w:rPr>
        <w:t xml:space="preserve">5. Glandular Epithelial Malignancy: Loss of Geometric Closure</w:t>
      </w:r>
    </w:p>
    <w:p>
      <w:pPr>
        <w:pStyle w:val="Heading2"/>
        <w:spacing w:after="100" w:before="240"/>
      </w:pPr>
      <w:r>
        <w:rPr>
          <w:rFonts w:ascii="Arial" w:cs="Arial" w:eastAsia="Arial" w:hAnsi="Arial"/>
          <w:b/>
          <w:bCs/>
          <w:color w:val="2E75B6"/>
          <w:sz w:val="24"/>
          <w:szCs w:val="24"/>
        </w:rPr>
        <w:t xml:space="preserve">5.1 Architecture as Identity</w:t>
      </w:r>
    </w:p>
    <w:p>
      <w:pPr>
        <w:spacing w:after="180" w:line="276" w:lineRule="auto"/>
        <w:jc w:val="both"/>
      </w:pPr>
      <w:r>
        <w:rPr>
          <w:rFonts w:ascii="Times New Roman" w:cs="Times New Roman" w:eastAsia="Times New Roman" w:hAnsi="Times New Roman"/>
          <w:sz w:val="24"/>
          <w:szCs w:val="24"/>
        </w:rPr>
        <w:t xml:space="preserve">The importance of three-dimensional architectural context in maintaining epithelial identity has been most clearly demonstrated in breast acinar morphogenesis models. Normal human mammary epithelial cells, when cultured within reconstituted basement membrane, self-organize into polarized acini with luminal organization, growth arrest, and differentiation markers — despite being removed from their in vivo tissue context. When malignant cells derived from breast carcinoma are placed in the same three-dimensional matrix context, the acquisition of certain integrin-blocking agents can partially reverse their malignant morphology, producing more acinar-like structures with reduced proliferation. </w:t>
      </w:r>
      <w:r>
        <w:rPr>
          <w:rFonts w:ascii="Times New Roman" w:cs="Times New Roman" w:eastAsia="Times New Roman" w:hAnsi="Times New Roman"/>
          <w:sz w:val="18"/>
          <w:szCs w:val="18"/>
          <w:vertAlign w:val="superscript"/>
        </w:rPr>
        <w:t xml:space="preserve">[15,3]</w:t>
      </w:r>
    </w:p>
    <w:p>
      <w:pPr>
        <w:spacing w:after="180" w:line="276" w:lineRule="auto"/>
        <w:jc w:val="both"/>
      </w:pPr>
      <w:r>
        <w:rPr>
          <w:rFonts w:ascii="Times New Roman" w:cs="Times New Roman" w:eastAsia="Times New Roman" w:hAnsi="Times New Roman"/>
          <w:sz w:val="24"/>
          <w:szCs w:val="24"/>
        </w:rPr>
        <w:t xml:space="preserve">These observations establish that the three-dimensional geometric context of a cell is not merely a reflection of its identity but an active contributor to it: geometry signals back to the nucleus through mechanotransduction, integrin-mediated signaling, Rho GTPase pathways, and cytoskeletal tension, shaping gene expression profiles and chromatin accessibility. </w:t>
      </w:r>
      <w:r>
        <w:rPr>
          <w:rFonts w:ascii="Times New Roman" w:cs="Times New Roman" w:eastAsia="Times New Roman" w:hAnsi="Times New Roman"/>
          <w:sz w:val="18"/>
          <w:szCs w:val="18"/>
          <w:vertAlign w:val="superscript"/>
        </w:rPr>
        <w:t xml:space="preserve">[38,14,7]</w:t>
      </w:r>
      <w:r>
        <w:rPr>
          <w:rFonts w:ascii="Times New Roman" w:cs="Times New Roman" w:eastAsia="Times New Roman" w:hAnsi="Times New Roman"/>
          <w:sz w:val="24"/>
          <w:szCs w:val="24"/>
        </w:rPr>
        <w:t xml:space="preserve"> Within the dual-flux framework, organized 3D geometry actively maintains OFF dominance by providing the structural constraints that prevent energetic-window expansion.</w:t>
      </w:r>
    </w:p>
    <w:p>
      <w:pPr>
        <w:pStyle w:val="Heading2"/>
        <w:spacing w:after="100" w:before="240"/>
      </w:pPr>
      <w:r>
        <w:rPr>
          <w:rFonts w:ascii="Arial" w:cs="Arial" w:eastAsia="Arial" w:hAnsi="Arial"/>
          <w:b/>
          <w:bCs/>
          <w:color w:val="2E75B6"/>
          <w:sz w:val="24"/>
          <w:szCs w:val="24"/>
        </w:rPr>
        <w:t xml:space="preserve">5.2 EMT as Molecular Mediator of the 3D-to-2D Transition</w:t>
      </w:r>
    </w:p>
    <w:p>
      <w:pPr>
        <w:spacing w:after="180" w:line="276" w:lineRule="auto"/>
        <w:jc w:val="both"/>
      </w:pPr>
      <w:r>
        <w:rPr>
          <w:rFonts w:ascii="Times New Roman" w:cs="Times New Roman" w:eastAsia="Times New Roman" w:hAnsi="Times New Roman"/>
          <w:sz w:val="24"/>
          <w:szCs w:val="24"/>
        </w:rPr>
        <w:t xml:space="preserve">At the molecular level, the 3D-to-2D morphodynamic transition is substantially mediated by epithelial-mesenchymal transition (EMT) — a coordinated reprogramming event in which epithelial cells lose polarity, junction proteins, and basement membrane attachment while acquiring mesenchymal motility, ECM-remodeling capacity, and resistance to anoikis. </w:t>
      </w:r>
      <w:r>
        <w:rPr>
          <w:rFonts w:ascii="Times New Roman" w:cs="Times New Roman" w:eastAsia="Times New Roman" w:hAnsi="Times New Roman"/>
          <w:sz w:val="18"/>
          <w:szCs w:val="18"/>
          <w:vertAlign w:val="superscript"/>
        </w:rPr>
        <w:t xml:space="preserve">[5,29]</w:t>
      </w:r>
    </w:p>
    <w:p>
      <w:pPr>
        <w:spacing w:after="180" w:line="276" w:lineRule="auto"/>
        <w:jc w:val="both"/>
      </w:pPr>
      <w:r>
        <w:rPr>
          <w:rFonts w:ascii="Times New Roman" w:cs="Times New Roman" w:eastAsia="Times New Roman" w:hAnsi="Times New Roman"/>
          <w:sz w:val="24"/>
          <w:szCs w:val="24"/>
        </w:rPr>
        <w:t xml:space="preserve">EMT is directly connected to the dual-flux framework through multiple molecular axes. EMT induction is associated with HIF-1α activation and metabolic shift toward glycolysis, consistent with BGR dominance. </w:t>
      </w:r>
      <w:r>
        <w:rPr>
          <w:rFonts w:ascii="Times New Roman" w:cs="Times New Roman" w:eastAsia="Times New Roman" w:hAnsi="Times New Roman"/>
          <w:sz w:val="18"/>
          <w:szCs w:val="18"/>
          <w:vertAlign w:val="superscript"/>
        </w:rPr>
        <w:t xml:space="preserve">[30,31]</w:t>
      </w:r>
      <w:r>
        <w:rPr>
          <w:rFonts w:ascii="Times New Roman" w:cs="Times New Roman" w:eastAsia="Times New Roman" w:hAnsi="Times New Roman"/>
          <w:sz w:val="24"/>
          <w:szCs w:val="24"/>
        </w:rPr>
        <w:t xml:space="preserve"> Snail, Twist, and ZEB family transcription factors that drive EMT simultaneously remodel the chromatin accessibility landscape in ways consistent with energetic-window expansion. </w:t>
      </w:r>
      <w:r>
        <w:rPr>
          <w:rFonts w:ascii="Times New Roman" w:cs="Times New Roman" w:eastAsia="Times New Roman" w:hAnsi="Times New Roman"/>
          <w:sz w:val="18"/>
          <w:szCs w:val="18"/>
          <w:vertAlign w:val="superscript"/>
        </w:rPr>
        <w:t xml:space="preserve">[5]</w:t>
      </w:r>
      <w:r>
        <w:rPr>
          <w:rFonts w:ascii="Times New Roman" w:cs="Times New Roman" w:eastAsia="Times New Roman" w:hAnsi="Times New Roman"/>
          <w:sz w:val="24"/>
          <w:szCs w:val="24"/>
        </w:rPr>
        <w:t xml:space="preserve"> MMP upregulation — a key effector of both EMT and energetic-window expansion — mediates basement membrane degradation, releases matrix-sequestered growth factors, and further expands the energetic window. </w:t>
      </w:r>
      <w:r>
        <w:rPr>
          <w:rFonts w:ascii="Times New Roman" w:cs="Times New Roman" w:eastAsia="Times New Roman" w:hAnsi="Times New Roman"/>
          <w:sz w:val="18"/>
          <w:szCs w:val="18"/>
          <w:vertAlign w:val="superscript"/>
        </w:rPr>
        <w:t xml:space="preserve">[24,16]</w:t>
      </w:r>
    </w:p>
    <w:p>
      <w:pPr>
        <w:spacing w:after="180" w:line="276" w:lineRule="auto"/>
        <w:jc w:val="both"/>
      </w:pPr>
      <w:r>
        <w:rPr>
          <w:rFonts w:ascii="Times New Roman" w:cs="Times New Roman" w:eastAsia="Times New Roman" w:hAnsi="Times New Roman"/>
          <w:sz w:val="24"/>
          <w:szCs w:val="24"/>
        </w:rPr>
        <w:t xml:space="preserve">EMT therefore represents the molecular implementation of the morphodynamic transition described in structural terms in this paper: it is the program through which constitutive BGR dominance and energetic-window expansion are translated into the cellular behavioral changes — loss of polarity, basement membrane breach, infiltrative motility — that produce the 3D-to-2D architectural transition at the tissue level.</w:t>
      </w:r>
    </w:p>
    <w:p>
      <w:pPr>
        <w:pStyle w:val="Heading2"/>
        <w:spacing w:after="100" w:before="240"/>
      </w:pPr>
      <w:r>
        <w:rPr>
          <w:rFonts w:ascii="Arial" w:cs="Arial" w:eastAsia="Arial" w:hAnsi="Arial"/>
          <w:b/>
          <w:bCs/>
          <w:color w:val="2E75B6"/>
          <w:sz w:val="24"/>
          <w:szCs w:val="24"/>
        </w:rPr>
        <w:t xml:space="preserve">5.3 Collective Invasion as Partial 3D-to-2D Transition</w:t>
      </w:r>
    </w:p>
    <w:p>
      <w:pPr>
        <w:spacing w:after="180" w:line="276" w:lineRule="auto"/>
        <w:jc w:val="both"/>
      </w:pPr>
      <w:r>
        <w:rPr>
          <w:rFonts w:ascii="Times New Roman" w:cs="Times New Roman" w:eastAsia="Times New Roman" w:hAnsi="Times New Roman"/>
          <w:sz w:val="24"/>
          <w:szCs w:val="24"/>
        </w:rPr>
        <w:t xml:space="preserve">An important intermediate state in the 3D-to-2D transition is collective invasion, in which groups of cells invade as cohesive units maintaining some cell-cell contacts and partial epithelial organization while penetrating surrounding stroma. </w:t>
      </w:r>
      <w:r>
        <w:rPr>
          <w:rFonts w:ascii="Times New Roman" w:cs="Times New Roman" w:eastAsia="Times New Roman" w:hAnsi="Times New Roman"/>
          <w:sz w:val="18"/>
          <w:szCs w:val="18"/>
          <w:vertAlign w:val="superscript"/>
        </w:rPr>
        <w:t xml:space="preserve">[4,36]</w:t>
      </w:r>
      <w:r>
        <w:rPr>
          <w:rFonts w:ascii="Times New Roman" w:cs="Times New Roman" w:eastAsia="Times New Roman" w:hAnsi="Times New Roman"/>
          <w:sz w:val="24"/>
          <w:szCs w:val="24"/>
        </w:rPr>
        <w:t xml:space="preserve"> Collective invasion represents a partial uncoupling from three-dimensional architectural constraints: the invading cluster has lost its relationship to the parent organ architecture but maintains internal three-dimensional cohesion within the invading group.</w:t>
      </w:r>
    </w:p>
    <w:p>
      <w:pPr>
        <w:spacing w:after="180" w:line="276" w:lineRule="auto"/>
        <w:jc w:val="both"/>
      </w:pPr>
      <w:r>
        <w:rPr>
          <w:rFonts w:ascii="Times New Roman" w:cs="Times New Roman" w:eastAsia="Times New Roman" w:hAnsi="Times New Roman"/>
          <w:sz w:val="24"/>
          <w:szCs w:val="24"/>
        </w:rPr>
        <w:t xml:space="preserve">Within the energetic-window framework, collective invasion corresponds to a tissue in which energetic-window expansion is sufficient to dissolve the relationship between the clone and the host organ architecture, but insufficient to dissolve internal clone organization. As the energetic window expands further — through MMP-mediated stromal ECM degradation, hypoxia-driven BGR reinforcement, and progressive loss of cell-cell junctions — collective invasion grades into single-cell and sheet-like infiltration, completing the 3D-to-2D transition. </w:t>
      </w:r>
      <w:r>
        <w:rPr>
          <w:rFonts w:ascii="Times New Roman" w:cs="Times New Roman" w:eastAsia="Times New Roman" w:hAnsi="Times New Roman"/>
          <w:sz w:val="18"/>
          <w:szCs w:val="18"/>
          <w:vertAlign w:val="superscript"/>
        </w:rPr>
        <w:t xml:space="preserve">[4,5,42]</w:t>
      </w:r>
    </w:p>
    <w:p>
      <w:pPr>
        <w:pBdr>
          <w:bottom w:val="single" w:color="999999" w:sz="4" w:space="1"/>
        </w:pBdr>
        <w:spacing w:after="160" w:before="120"/>
      </w:pPr>
      <w:r>
        <w:rPr>
          <w:rFonts w:ascii="Times New Roman" w:cs="Times New Roman" w:eastAsia="Times New Roman" w:hAnsi="Times New Roman"/>
          <w:sz w:val="24"/>
          <w:szCs w:val="24"/>
        </w:rPr>
        <w:t xml:space="preserve"/>
      </w:r>
    </w:p>
    <w:p>
      <w:pPr>
        <w:pStyle w:val="Heading1"/>
        <w:pBdr>
          <w:bottom w:val="single" w:color="2E75B6" w:sz="4" w:space="2"/>
        </w:pBdr>
        <w:spacing w:after="160" w:before="360"/>
      </w:pPr>
      <w:r>
        <w:rPr>
          <w:rFonts w:ascii="Arial" w:cs="Arial" w:eastAsia="Arial" w:hAnsi="Arial"/>
          <w:b/>
          <w:bCs/>
          <w:color w:val="1F3864"/>
          <w:sz w:val="28"/>
          <w:szCs w:val="28"/>
        </w:rPr>
        <w:t xml:space="preserve">6. Unified Morphodynamic Framework: Synthesis Across Papers 1–3</w:t>
      </w:r>
    </w:p>
    <w:p>
      <w:pPr>
        <w:pStyle w:val="Heading2"/>
        <w:spacing w:after="100" w:before="240"/>
      </w:pPr>
      <w:r>
        <w:rPr>
          <w:rFonts w:ascii="Arial" w:cs="Arial" w:eastAsia="Arial" w:hAnsi="Arial"/>
          <w:b/>
          <w:bCs/>
          <w:color w:val="2E75B6"/>
          <w:sz w:val="24"/>
          <w:szCs w:val="24"/>
        </w:rPr>
        <w:t xml:space="preserve">6.1 From Temporal Tissue Loops to Oncogenic Bifurcation</w:t>
      </w:r>
    </w:p>
    <w:p>
      <w:pPr>
        <w:spacing w:after="180" w:line="276" w:lineRule="auto"/>
        <w:jc w:val="both"/>
      </w:pPr>
      <w:r>
        <w:rPr>
          <w:rFonts w:ascii="Times New Roman" w:cs="Times New Roman" w:eastAsia="Times New Roman" w:hAnsi="Times New Roman"/>
          <w:sz w:val="24"/>
          <w:szCs w:val="24"/>
        </w:rPr>
        <w:t xml:space="preserve">Paper 1 described how tissues undergoing regenerative remodeling form Temporal Tissue Loops — recurrent partial reactivations of developmental programs within the oscillatory dynamics of the Regeneration Pendulum. This process is normally bounded: the pendulum oscillates and returns to a stable differentiated attractor. Paper 2 identified the oncogenic bifurcation as the dynamic regime in which BGR stabilization prevents this return — the pendulum escapes its limit cycle into a constitutively developmental-like attractor state. </w:t>
      </w:r>
      <w:r>
        <w:rPr>
          <w:rFonts w:ascii="Times New Roman" w:cs="Times New Roman" w:eastAsia="Times New Roman" w:hAnsi="Times New Roman"/>
          <w:sz w:val="18"/>
          <w:szCs w:val="18"/>
          <w:vertAlign w:val="superscript"/>
        </w:rPr>
        <w:t xml:space="preserve">[41,42]</w:t>
      </w:r>
    </w:p>
    <w:p>
      <w:pPr>
        <w:spacing w:after="180" w:line="276" w:lineRule="auto"/>
        <w:jc w:val="both"/>
      </w:pPr>
      <w:r>
        <w:rPr>
          <w:rFonts w:ascii="Times New Roman" w:cs="Times New Roman" w:eastAsia="Times New Roman" w:hAnsi="Times New Roman"/>
          <w:sz w:val="24"/>
          <w:szCs w:val="24"/>
        </w:rPr>
        <w:t xml:space="preserve">The present paper describes what this transition </w:t>
      </w:r>
      <w:r>
        <w:rPr>
          <w:rFonts w:ascii="Times New Roman" w:cs="Times New Roman" w:eastAsia="Times New Roman" w:hAnsi="Times New Roman"/>
          <w:i/>
          <w:iCs/>
          <w:sz w:val="24"/>
          <w:szCs w:val="24"/>
        </w:rPr>
        <w:t xml:space="preserve">looks like</w:t>
      </w:r>
      <w:r>
        <w:rPr>
          <w:rFonts w:ascii="Times New Roman" w:cs="Times New Roman" w:eastAsia="Times New Roman" w:hAnsi="Times New Roman"/>
          <w:sz w:val="24"/>
          <w:szCs w:val="24"/>
        </w:rPr>
        <w:t xml:space="preserve"> at the morphological level. The constitutively expanded energetic window progressively dissolves the three-dimensional structural constraints that would otherwise narrow it, generating the 3D-to-2D morphodynamic transition. The tumor is not simply a mass of proliferating cells — it is a tissue that has undergone a fundamental reorganization from organism-integrated three-dimensional architecture toward clone-centered two-dimensional-like infiltrative growth.</w:t>
      </w:r>
    </w:p>
    <w:p>
      <w:pPr>
        <w:pStyle w:val="Heading2"/>
        <w:spacing w:after="100" w:before="240"/>
      </w:pPr>
      <w:r>
        <w:rPr>
          <w:rFonts w:ascii="Arial" w:cs="Arial" w:eastAsia="Arial" w:hAnsi="Arial"/>
          <w:b/>
          <w:bCs/>
          <w:color w:val="2E75B6"/>
          <w:sz w:val="24"/>
          <w:szCs w:val="24"/>
        </w:rPr>
        <w:t xml:space="preserve">6.2 Table: Morphodynamic States Within the Unified Framework</w:t>
      </w:r>
    </w:p>
    <w:p>
      <w:pPr>
        <w:spacing w:after="60"/>
      </w:pPr>
      <w:r>
        <w:rPr>
          <w:rFonts w:ascii="Times New Roman" w:cs="Times New Roman" w:eastAsia="Times New Roman" w:hAnsi="Times New Roman"/>
          <w:sz w:val="24"/>
          <w:szCs w:val="24"/>
        </w:rPr>
        <w:t xml:space="preserve"/>
      </w:r>
    </w:p>
    <w:p>
      <w:pPr>
        <w:spacing w:after="120"/>
      </w:pPr>
      <w:r>
        <w:rPr>
          <w:rFonts w:ascii="Arial" w:cs="Arial" w:eastAsia="Arial" w:hAnsi="Arial"/>
          <w:b/>
          <w:bCs/>
          <w:sz w:val="22"/>
          <w:szCs w:val="22"/>
        </w:rPr>
        <w:t xml:space="preserve">Table 1. </w:t>
      </w:r>
      <w:r>
        <w:rPr>
          <w:rFonts w:ascii="Arial" w:cs="Arial" w:eastAsia="Arial" w:hAnsi="Arial"/>
          <w:i/>
          <w:iCs/>
          <w:sz w:val="22"/>
          <w:szCs w:val="22"/>
        </w:rPr>
        <w:t xml:space="preserve">Morphodynamic regimes within the dual-flux energetic-window framework (synthesis of Papers 1–3)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600"/>
        <w:gridCol w:w="1600"/>
        <w:gridCol w:w="1800"/>
        <w:gridCol w:w="2860"/>
      </w:tblGrid>
      <w:tr>
        <w:tc>
          <w:tcPr>
            <w:tcW w:type="dxa" w:w="150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Tissue State</w:t>
            </w:r>
          </w:p>
        </w:tc>
        <w:tc>
          <w:tcPr>
            <w:tcW w:type="dxa" w:w="160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Energetic Regime</w:t>
            </w:r>
          </w:p>
        </w:tc>
        <w:tc>
          <w:tcPr>
            <w:tcW w:type="dxa" w:w="160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3D Architecture</w:t>
            </w:r>
          </w:p>
        </w:tc>
        <w:tc>
          <w:tcPr>
            <w:tcW w:type="dxa" w:w="180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Energetic Window</w:t>
            </w:r>
          </w:p>
        </w:tc>
        <w:tc>
          <w:tcPr>
            <w:tcW w:type="dxa" w:w="286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Morphodynamic Character</w:t>
            </w:r>
          </w:p>
        </w:tc>
      </w:tr>
      <w:tr>
        <w:tc>
          <w:tcPr>
            <w:tcW w:type="dxa" w:w="15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r>
              <w:rPr>
                <w:rFonts w:ascii="Arial" w:cs="Arial" w:eastAsia="Arial" w:hAnsi="Arial"/>
                <w:sz w:val="20"/>
                <w:szCs w:val="20"/>
              </w:rPr>
              <w:t xml:space="preserve">Normal mature tissue</w:t>
            </w:r>
          </w:p>
        </w:tc>
        <w:tc>
          <w:tcPr>
            <w:tcW w:type="dxa" w:w="16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r>
              <w:rPr>
                <w:rFonts w:ascii="Arial" w:cs="Arial" w:eastAsia="Arial" w:hAnsi="Arial"/>
                <w:sz w:val="20"/>
                <w:szCs w:val="20"/>
              </w:rPr>
              <w:t xml:space="preserve">OFF dominant / narrow window</w:t>
            </w:r>
          </w:p>
        </w:tc>
        <w:tc>
          <w:tcPr>
            <w:tcW w:type="dxa" w:w="16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r>
              <w:rPr>
                <w:rFonts w:ascii="Arial" w:cs="Arial" w:eastAsia="Arial" w:hAnsi="Arial"/>
                <w:sz w:val="20"/>
                <w:szCs w:val="20"/>
              </w:rPr>
              <w:t xml:space="preserve">Strong 3D</w:t>
            </w:r>
          </w:p>
        </w:tc>
        <w:tc>
          <w:tcPr>
            <w:tcW w:type="dxa" w:w="1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r>
              <w:rPr>
                <w:rFonts w:ascii="Arial" w:cs="Arial" w:eastAsia="Arial" w:hAnsi="Arial"/>
                <w:sz w:val="20"/>
                <w:szCs w:val="20"/>
              </w:rPr>
              <w:t xml:space="preserve">Narrow</w:t>
            </w:r>
          </w:p>
        </w:tc>
        <w:tc>
          <w:tcPr>
            <w:tcW w:type="dxa" w:w="28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r>
              <w:rPr>
                <w:rFonts w:ascii="Arial" w:cs="Arial" w:eastAsia="Arial" w:hAnsi="Arial"/>
                <w:sz w:val="20"/>
                <w:szCs w:val="20"/>
              </w:rPr>
              <w:t xml:space="preserve">Stable differentiated attractor; no developmental reactivation</w:t>
            </w:r>
          </w:p>
        </w:tc>
      </w:tr>
      <w:tr>
        <w:tc>
          <w:tcPr>
            <w:tcW w:type="dxa" w:w="1500"/>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top"/>
          </w:tcPr>
          <w:p>
            <w:r>
              <w:rPr>
                <w:rFonts w:ascii="Arial" w:cs="Arial" w:eastAsia="Arial" w:hAnsi="Arial"/>
                <w:sz w:val="20"/>
                <w:szCs w:val="20"/>
              </w:rPr>
              <w:t xml:space="preserve">Acute regeneration</w:t>
            </w:r>
          </w:p>
        </w:tc>
        <w:tc>
          <w:tcPr>
            <w:tcW w:type="dxa" w:w="1600"/>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top"/>
          </w:tcPr>
          <w:p>
            <w:r>
              <w:rPr>
                <w:rFonts w:ascii="Arial" w:cs="Arial" w:eastAsia="Arial" w:hAnsi="Arial"/>
                <w:sz w:val="20"/>
                <w:szCs w:val="20"/>
              </w:rPr>
              <w:t xml:space="preserve">Transient BGR / widened window</w:t>
            </w:r>
          </w:p>
        </w:tc>
        <w:tc>
          <w:tcPr>
            <w:tcW w:type="dxa" w:w="1600"/>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top"/>
          </w:tcPr>
          <w:p>
            <w:r>
              <w:rPr>
                <w:rFonts w:ascii="Arial" w:cs="Arial" w:eastAsia="Arial" w:hAnsi="Arial"/>
                <w:sz w:val="20"/>
                <w:szCs w:val="20"/>
              </w:rPr>
              <w:t xml:space="preserve">Partial 3D loss</w:t>
            </w:r>
          </w:p>
        </w:tc>
        <w:tc>
          <w:tcPr>
            <w:tcW w:type="dxa" w:w="1800"/>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top"/>
          </w:tcPr>
          <w:p>
            <w:r>
              <w:rPr>
                <w:rFonts w:ascii="Arial" w:cs="Arial" w:eastAsia="Arial" w:hAnsi="Arial"/>
                <w:sz w:val="20"/>
                <w:szCs w:val="20"/>
              </w:rPr>
              <w:t xml:space="preserve">Temporarily widened</w:t>
            </w:r>
          </w:p>
        </w:tc>
        <w:tc>
          <w:tcPr>
            <w:tcW w:type="dxa" w:w="2860"/>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top"/>
          </w:tcPr>
          <w:p>
            <w:r>
              <w:rPr>
                <w:rFonts w:ascii="Arial" w:cs="Arial" w:eastAsia="Arial" w:hAnsi="Arial"/>
                <w:sz w:val="20"/>
                <w:szCs w:val="20"/>
              </w:rPr>
              <w:t xml:space="preserve">Temporal Tissue Loop; returns to stable 3D after repair</w:t>
            </w:r>
          </w:p>
        </w:tc>
      </w:tr>
      <w:tr>
        <w:tc>
          <w:tcPr>
            <w:tcW w:type="dxa" w:w="15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r>
              <w:rPr>
                <w:rFonts w:ascii="Arial" w:cs="Arial" w:eastAsia="Arial" w:hAnsi="Arial"/>
                <w:sz w:val="20"/>
                <w:szCs w:val="20"/>
              </w:rPr>
              <w:t xml:space="preserve">Chronic inflammation</w:t>
            </w:r>
          </w:p>
        </w:tc>
        <w:tc>
          <w:tcPr>
            <w:tcW w:type="dxa" w:w="16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r>
              <w:rPr>
                <w:rFonts w:ascii="Arial" w:cs="Arial" w:eastAsia="Arial" w:hAnsi="Arial"/>
                <w:sz w:val="20"/>
                <w:szCs w:val="20"/>
              </w:rPr>
              <w:t xml:space="preserve">Oscillatory OFF/BGR</w:t>
            </w:r>
          </w:p>
        </w:tc>
        <w:tc>
          <w:tcPr>
            <w:tcW w:type="dxa" w:w="16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r>
              <w:rPr>
                <w:rFonts w:ascii="Arial" w:cs="Arial" w:eastAsia="Arial" w:hAnsi="Arial"/>
                <w:sz w:val="20"/>
                <w:szCs w:val="20"/>
              </w:rPr>
              <w:t xml:space="preserve">Oscillatory 3D disruption</w:t>
            </w:r>
          </w:p>
        </w:tc>
        <w:tc>
          <w:tcPr>
            <w:tcW w:type="dxa" w:w="1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r>
              <w:rPr>
                <w:rFonts w:ascii="Arial" w:cs="Arial" w:eastAsia="Arial" w:hAnsi="Arial"/>
                <w:sz w:val="20"/>
                <w:szCs w:val="20"/>
              </w:rPr>
              <w:t xml:space="preserve">Persistently widened</w:t>
            </w:r>
          </w:p>
        </w:tc>
        <w:tc>
          <w:tcPr>
            <w:tcW w:type="dxa" w:w="28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r>
              <w:rPr>
                <w:rFonts w:ascii="Arial" w:cs="Arial" w:eastAsia="Arial" w:hAnsi="Arial"/>
                <w:sz w:val="20"/>
                <w:szCs w:val="20"/>
              </w:rPr>
              <w:t xml:space="preserve">Sustained Regeneration Pendulum oscillation; recurrent partial developmental activation</w:t>
            </w:r>
          </w:p>
        </w:tc>
      </w:tr>
      <w:tr>
        <w:tc>
          <w:tcPr>
            <w:tcW w:type="dxa" w:w="1500"/>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top"/>
          </w:tcPr>
          <w:p>
            <w:r>
              <w:rPr>
                <w:rFonts w:ascii="Arial" w:cs="Arial" w:eastAsia="Arial" w:hAnsi="Arial"/>
                <w:sz w:val="20"/>
                <w:szCs w:val="20"/>
              </w:rPr>
              <w:t xml:space="preserve">Fibrosis</w:t>
            </w:r>
          </w:p>
        </w:tc>
        <w:tc>
          <w:tcPr>
            <w:tcW w:type="dxa" w:w="1600"/>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top"/>
          </w:tcPr>
          <w:p>
            <w:r>
              <w:rPr>
                <w:rFonts w:ascii="Arial" w:cs="Arial" w:eastAsia="Arial" w:hAnsi="Arial"/>
                <w:sz w:val="20"/>
                <w:szCs w:val="20"/>
              </w:rPr>
              <w:t xml:space="preserve">OFF + mechanical lock</w:t>
            </w:r>
          </w:p>
        </w:tc>
        <w:tc>
          <w:tcPr>
            <w:tcW w:type="dxa" w:w="1600"/>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top"/>
          </w:tcPr>
          <w:p>
            <w:r>
              <w:rPr>
                <w:rFonts w:ascii="Arial" w:cs="Arial" w:eastAsia="Arial" w:hAnsi="Arial"/>
                <w:sz w:val="20"/>
                <w:szCs w:val="20"/>
              </w:rPr>
              <w:t xml:space="preserve">Rigid 3D replacement</w:t>
            </w:r>
          </w:p>
        </w:tc>
        <w:tc>
          <w:tcPr>
            <w:tcW w:type="dxa" w:w="1800"/>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top"/>
          </w:tcPr>
          <w:p>
            <w:r>
              <w:rPr>
                <w:rFonts w:ascii="Arial" w:cs="Arial" w:eastAsia="Arial" w:hAnsi="Arial"/>
                <w:sz w:val="20"/>
                <w:szCs w:val="20"/>
              </w:rPr>
              <w:t xml:space="preserve">Forcibly narrowed</w:t>
            </w:r>
          </w:p>
        </w:tc>
        <w:tc>
          <w:tcPr>
            <w:tcW w:type="dxa" w:w="2860"/>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top"/>
          </w:tcPr>
          <w:p>
            <w:r>
              <w:rPr>
                <w:rFonts w:ascii="Arial" w:cs="Arial" w:eastAsia="Arial" w:hAnsi="Arial"/>
                <w:sz w:val="20"/>
                <w:szCs w:val="20"/>
              </w:rPr>
              <w:t xml:space="preserve">Pendulum interruption; 3D geometry replaced by acellular matrix</w:t>
            </w:r>
          </w:p>
        </w:tc>
      </w:tr>
      <w:tr>
        <w:tc>
          <w:tcPr>
            <w:tcW w:type="dxa" w:w="15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r>
              <w:rPr>
                <w:rFonts w:ascii="Arial" w:cs="Arial" w:eastAsia="Arial" w:hAnsi="Arial"/>
                <w:sz w:val="20"/>
                <w:szCs w:val="20"/>
              </w:rPr>
              <w:t xml:space="preserve">Dysplasia / pre-malignant</w:t>
            </w:r>
          </w:p>
        </w:tc>
        <w:tc>
          <w:tcPr>
            <w:tcW w:type="dxa" w:w="16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r>
              <w:rPr>
                <w:rFonts w:ascii="Arial" w:cs="Arial" w:eastAsia="Arial" w:hAnsi="Arial"/>
                <w:sz w:val="20"/>
                <w:szCs w:val="20"/>
              </w:rPr>
              <w:t xml:space="preserve">BGR induction / early expansion</w:t>
            </w:r>
          </w:p>
        </w:tc>
        <w:tc>
          <w:tcPr>
            <w:tcW w:type="dxa" w:w="16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r>
              <w:rPr>
                <w:rFonts w:ascii="Arial" w:cs="Arial" w:eastAsia="Arial" w:hAnsi="Arial"/>
                <w:sz w:val="20"/>
                <w:szCs w:val="20"/>
              </w:rPr>
              <w:t xml:space="preserve">Incipient 3D loss</w:t>
            </w:r>
          </w:p>
        </w:tc>
        <w:tc>
          <w:tcPr>
            <w:tcW w:type="dxa" w:w="1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r>
              <w:rPr>
                <w:rFonts w:ascii="Arial" w:cs="Arial" w:eastAsia="Arial" w:hAnsi="Arial"/>
                <w:sz w:val="20"/>
                <w:szCs w:val="20"/>
              </w:rPr>
              <w:t xml:space="preserve">Focally expanded</w:t>
            </w:r>
          </w:p>
        </w:tc>
        <w:tc>
          <w:tcPr>
            <w:tcW w:type="dxa" w:w="28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r>
              <w:rPr>
                <w:rFonts w:ascii="Arial" w:cs="Arial" w:eastAsia="Arial" w:hAnsi="Arial"/>
                <w:sz w:val="20"/>
                <w:szCs w:val="20"/>
              </w:rPr>
              <w:t xml:space="preserve">Early Temporal Tissue Loop deepening; partial polarity loss</w:t>
            </w:r>
          </w:p>
        </w:tc>
      </w:tr>
      <w:tr>
        <w:tc>
          <w:tcPr>
            <w:tcW w:type="dxa" w:w="1500"/>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top"/>
          </w:tcPr>
          <w:p>
            <w:r>
              <w:rPr>
                <w:rFonts w:ascii="Arial" w:cs="Arial" w:eastAsia="Arial" w:hAnsi="Arial"/>
                <w:sz w:val="20"/>
                <w:szCs w:val="20"/>
              </w:rPr>
              <w:t xml:space="preserve">In situ carcinoma</w:t>
            </w:r>
          </w:p>
        </w:tc>
        <w:tc>
          <w:tcPr>
            <w:tcW w:type="dxa" w:w="1600"/>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top"/>
          </w:tcPr>
          <w:p>
            <w:r>
              <w:rPr>
                <w:rFonts w:ascii="Arial" w:cs="Arial" w:eastAsia="Arial" w:hAnsi="Arial"/>
                <w:sz w:val="20"/>
                <w:szCs w:val="20"/>
              </w:rPr>
              <w:t xml:space="preserve">BGR dominant / expanded</w:t>
            </w:r>
          </w:p>
        </w:tc>
        <w:tc>
          <w:tcPr>
            <w:tcW w:type="dxa" w:w="1600"/>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top"/>
          </w:tcPr>
          <w:p>
            <w:r>
              <w:rPr>
                <w:rFonts w:ascii="Arial" w:cs="Arial" w:eastAsia="Arial" w:hAnsi="Arial"/>
                <w:sz w:val="20"/>
                <w:szCs w:val="20"/>
              </w:rPr>
              <w:t xml:space="preserve">2D within intact BM</w:t>
            </w:r>
          </w:p>
        </w:tc>
        <w:tc>
          <w:tcPr>
            <w:tcW w:type="dxa" w:w="1800"/>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top"/>
          </w:tcPr>
          <w:p>
            <w:r>
              <w:rPr>
                <w:rFonts w:ascii="Arial" w:cs="Arial" w:eastAsia="Arial" w:hAnsi="Arial"/>
                <w:sz w:val="20"/>
                <w:szCs w:val="20"/>
              </w:rPr>
              <w:t xml:space="preserve">Constitutively expanded</w:t>
            </w:r>
          </w:p>
        </w:tc>
        <w:tc>
          <w:tcPr>
            <w:tcW w:type="dxa" w:w="2860"/>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top"/>
          </w:tcPr>
          <w:p>
            <w:r>
              <w:rPr>
                <w:rFonts w:ascii="Arial" w:cs="Arial" w:eastAsia="Arial" w:hAnsi="Arial"/>
                <w:sz w:val="20"/>
                <w:szCs w:val="20"/>
              </w:rPr>
              <w:t xml:space="preserve">Oncogenic bifurcation within compartment; BM provides last constraint</w:t>
            </w:r>
          </w:p>
        </w:tc>
      </w:tr>
      <w:tr>
        <w:tc>
          <w:tcPr>
            <w:tcW w:type="dxa" w:w="15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r>
              <w:rPr>
                <w:rFonts w:ascii="Arial" w:cs="Arial" w:eastAsia="Arial" w:hAnsi="Arial"/>
                <w:sz w:val="20"/>
                <w:szCs w:val="20"/>
              </w:rPr>
              <w:t xml:space="preserve">Invasive carcinoma</w:t>
            </w:r>
          </w:p>
        </w:tc>
        <w:tc>
          <w:tcPr>
            <w:tcW w:type="dxa" w:w="16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r>
              <w:rPr>
                <w:rFonts w:ascii="Arial" w:cs="Arial" w:eastAsia="Arial" w:hAnsi="Arial"/>
                <w:sz w:val="20"/>
                <w:szCs w:val="20"/>
              </w:rPr>
              <w:t xml:space="preserve">BGR self-sustaining</w:t>
            </w:r>
          </w:p>
        </w:tc>
        <w:tc>
          <w:tcPr>
            <w:tcW w:type="dxa" w:w="16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r>
              <w:rPr>
                <w:rFonts w:ascii="Arial" w:cs="Arial" w:eastAsia="Arial" w:hAnsi="Arial"/>
                <w:sz w:val="20"/>
                <w:szCs w:val="20"/>
              </w:rPr>
              <w:t xml:space="preserve">2D infiltrative</w:t>
            </w:r>
          </w:p>
        </w:tc>
        <w:tc>
          <w:tcPr>
            <w:tcW w:type="dxa" w:w="1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r>
              <w:rPr>
                <w:rFonts w:ascii="Arial" w:cs="Arial" w:eastAsia="Arial" w:hAnsi="Arial"/>
                <w:sz w:val="20"/>
                <w:szCs w:val="20"/>
              </w:rPr>
              <w:t xml:space="preserve">Maximal expansion</w:t>
            </w:r>
          </w:p>
        </w:tc>
        <w:tc>
          <w:tcPr>
            <w:tcW w:type="dxa" w:w="28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r>
              <w:rPr>
                <w:rFonts w:ascii="Arial" w:cs="Arial" w:eastAsia="Arial" w:hAnsi="Arial"/>
                <w:sz w:val="20"/>
                <w:szCs w:val="20"/>
              </w:rPr>
              <w:t xml:space="preserve">Full 3D-to-2D transition; clone autonomous; host tissue communication lost</w:t>
            </w:r>
          </w:p>
        </w:tc>
      </w:tr>
      <w:tr>
        <w:tc>
          <w:tcPr>
            <w:tcW w:type="dxa" w:w="1500"/>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top"/>
          </w:tcPr>
          <w:p>
            <w:r>
              <w:rPr>
                <w:rFonts w:ascii="Arial" w:cs="Arial" w:eastAsia="Arial" w:hAnsi="Arial"/>
                <w:sz w:val="20"/>
                <w:szCs w:val="20"/>
              </w:rPr>
              <w:t xml:space="preserve">Choriocarcinoma</w:t>
            </w:r>
          </w:p>
        </w:tc>
        <w:tc>
          <w:tcPr>
            <w:tcW w:type="dxa" w:w="1600"/>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top"/>
          </w:tcPr>
          <w:p>
            <w:r>
              <w:rPr>
                <w:rFonts w:ascii="Arial" w:cs="Arial" w:eastAsia="Arial" w:hAnsi="Arial"/>
                <w:sz w:val="20"/>
                <w:szCs w:val="20"/>
              </w:rPr>
              <w:t xml:space="preserve">BGR dominant / no embryonic integration</w:t>
            </w:r>
          </w:p>
        </w:tc>
        <w:tc>
          <w:tcPr>
            <w:tcW w:type="dxa" w:w="1600"/>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top"/>
          </w:tcPr>
          <w:p>
            <w:r>
              <w:rPr>
                <w:rFonts w:ascii="Arial" w:cs="Arial" w:eastAsia="Arial" w:hAnsi="Arial"/>
                <w:sz w:val="20"/>
                <w:szCs w:val="20"/>
              </w:rPr>
              <w:t xml:space="preserve">Planar sheets</w:t>
            </w:r>
          </w:p>
        </w:tc>
        <w:tc>
          <w:tcPr>
            <w:tcW w:type="dxa" w:w="1800"/>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top"/>
          </w:tcPr>
          <w:p>
            <w:r>
              <w:rPr>
                <w:rFonts w:ascii="Arial" w:cs="Arial" w:eastAsia="Arial" w:hAnsi="Arial"/>
                <w:sz w:val="20"/>
                <w:szCs w:val="20"/>
              </w:rPr>
              <w:t xml:space="preserve">Constitutively maximal</w:t>
            </w:r>
          </w:p>
        </w:tc>
        <w:tc>
          <w:tcPr>
            <w:tcW w:type="dxa" w:w="2860"/>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top"/>
          </w:tcPr>
          <w:p>
            <w:r>
              <w:rPr>
                <w:rFonts w:ascii="Arial" w:cs="Arial" w:eastAsia="Arial" w:hAnsi="Arial"/>
                <w:sz w:val="20"/>
                <w:szCs w:val="20"/>
              </w:rPr>
              <w:t xml:space="preserve">Paradigmatic 3D-to-2D: embryonic integration absent, trophoblastic expansion unconstrained</w:t>
            </w:r>
          </w:p>
        </w:tc>
      </w:tr>
    </w:tbl>
    <w:p>
      <w:pPr>
        <w:spacing w:after="60"/>
      </w:pPr>
      <w:r>
        <w:rPr>
          <w:rFonts w:ascii="Times New Roman" w:cs="Times New Roman" w:eastAsia="Times New Roman" w:hAnsi="Times New Roman"/>
          <w:sz w:val="24"/>
          <w:szCs w:val="24"/>
        </w:rPr>
        <w:t xml:space="preserve"/>
      </w:r>
    </w:p>
    <w:p>
      <w:pPr>
        <w:spacing w:after="180" w:line="276" w:lineRule="auto"/>
        <w:jc w:val="both"/>
      </w:pPr>
      <w:r>
        <w:rPr>
          <w:rFonts w:ascii="Times New Roman" w:cs="Times New Roman" w:eastAsia="Times New Roman" w:hAnsi="Times New Roman"/>
          <w:sz w:val="24"/>
          <w:szCs w:val="24"/>
        </w:rPr>
        <w:t xml:space="preserve">BM = basement membrane; BGR = Basal Glycolytic Regime; OFF = Oxidative Functional Flux.</w:t>
      </w:r>
    </w:p>
    <w:p>
      <w:pPr>
        <w:pStyle w:val="Heading2"/>
        <w:spacing w:after="100" w:before="240"/>
      </w:pPr>
      <w:r>
        <w:rPr>
          <w:rFonts w:ascii="Arial" w:cs="Arial" w:eastAsia="Arial" w:hAnsi="Arial"/>
          <w:b/>
          <w:bCs/>
          <w:color w:val="2E75B6"/>
          <w:sz w:val="24"/>
          <w:szCs w:val="24"/>
        </w:rPr>
        <w:t xml:space="preserve">6.3 The 3D-to-2D Transition as Structural Correlate of the Oncogenic Bifurcation</w:t>
      </w:r>
    </w:p>
    <w:p>
      <w:pPr>
        <w:spacing w:after="180" w:line="276" w:lineRule="auto"/>
        <w:jc w:val="both"/>
      </w:pPr>
      <w:r>
        <w:rPr>
          <w:rFonts w:ascii="Times New Roman" w:cs="Times New Roman" w:eastAsia="Times New Roman" w:hAnsi="Times New Roman"/>
          <w:sz w:val="24"/>
          <w:szCs w:val="24"/>
        </w:rPr>
        <w:t xml:space="preserve">The framework permits a precise statement of the relationship between the molecular events of oncogenesis and their morphological consequences. The oncogenic bifurcation (Paper 2) is the event at the molecular/metabolic level: BGR self-stabilization prevents energetic-window re-narrowing. The 3D-to-2D morphodynamic transition is its structural consequence at the tissue level: the progressive dissolution of the spatial constraints that would otherwise terminate BGR dominance. </w:t>
      </w:r>
      <w:r>
        <w:rPr>
          <w:rFonts w:ascii="Times New Roman" w:cs="Times New Roman" w:eastAsia="Times New Roman" w:hAnsi="Times New Roman"/>
          <w:sz w:val="18"/>
          <w:szCs w:val="18"/>
          <w:vertAlign w:val="superscript"/>
        </w:rPr>
        <w:t xml:space="preserve">[42,41]</w:t>
      </w:r>
    </w:p>
    <w:p>
      <w:pPr>
        <w:spacing w:after="180" w:line="276" w:lineRule="auto"/>
        <w:jc w:val="both"/>
      </w:pPr>
      <w:r>
        <w:rPr>
          <w:rFonts w:ascii="Times New Roman" w:cs="Times New Roman" w:eastAsia="Times New Roman" w:hAnsi="Times New Roman"/>
          <w:sz w:val="24"/>
          <w:szCs w:val="24"/>
        </w:rPr>
        <w:t xml:space="preserve">This relationship is bidirectionally reinforcing. BGR stabilization drives structural dissolution; structural dissolution further stabilizes BGR by removing the physical constraints (ECM rigidity, basement membrane signaling, tensional homeostasis) that promote OFF dominance. The tumor is therefore a self-amplifying system in which molecular and morphological events mutually reinforce one another, generating the characteristic progressive and irreversible quality of malignant transformation. </w:t>
      </w:r>
      <w:r>
        <w:rPr>
          <w:rFonts w:ascii="Times New Roman" w:cs="Times New Roman" w:eastAsia="Times New Roman" w:hAnsi="Times New Roman"/>
          <w:sz w:val="18"/>
          <w:szCs w:val="18"/>
          <w:vertAlign w:val="superscript"/>
        </w:rPr>
        <w:t xml:space="preserve">[14,16,22]</w:t>
      </w:r>
    </w:p>
    <w:p>
      <w:pPr>
        <w:pBdr>
          <w:bottom w:val="single" w:color="999999" w:sz="4" w:space="1"/>
        </w:pBdr>
        <w:spacing w:after="160" w:before="120"/>
      </w:pPr>
      <w:r>
        <w:rPr>
          <w:rFonts w:ascii="Times New Roman" w:cs="Times New Roman" w:eastAsia="Times New Roman" w:hAnsi="Times New Roman"/>
          <w:sz w:val="24"/>
          <w:szCs w:val="24"/>
        </w:rPr>
        <w:t xml:space="preserve"/>
      </w:r>
    </w:p>
    <w:p>
      <w:pPr>
        <w:pStyle w:val="Heading1"/>
        <w:pBdr>
          <w:bottom w:val="single" w:color="2E75B6" w:sz="4" w:space="2"/>
        </w:pBdr>
        <w:spacing w:after="160" w:before="360"/>
      </w:pPr>
      <w:r>
        <w:rPr>
          <w:rFonts w:ascii="Arial" w:cs="Arial" w:eastAsia="Arial" w:hAnsi="Arial"/>
          <w:b/>
          <w:bCs/>
          <w:color w:val="1F3864"/>
          <w:sz w:val="28"/>
          <w:szCs w:val="28"/>
        </w:rPr>
        <w:t xml:space="preserve">7. Malignancy as a Change in the Level of Biological Integration</w:t>
      </w:r>
    </w:p>
    <w:p>
      <w:pPr>
        <w:spacing w:after="180" w:line="276" w:lineRule="auto"/>
        <w:jc w:val="both"/>
      </w:pPr>
      <w:r>
        <w:rPr>
          <w:rFonts w:ascii="Times New Roman" w:cs="Times New Roman" w:eastAsia="Times New Roman" w:hAnsi="Times New Roman"/>
          <w:sz w:val="24"/>
          <w:szCs w:val="24"/>
        </w:rPr>
        <w:t xml:space="preserve">The observations of this paper support a reformulation of what cancer </w:t>
      </w:r>
      <w:r>
        <w:rPr>
          <w:rFonts w:ascii="Times New Roman" w:cs="Times New Roman" w:eastAsia="Times New Roman" w:hAnsi="Times New Roman"/>
          <w:i/>
          <w:iCs/>
          <w:sz w:val="24"/>
          <w:szCs w:val="24"/>
        </w:rPr>
        <w:t xml:space="preserve">is</w:t>
      </w:r>
      <w:r>
        <w:rPr>
          <w:rFonts w:ascii="Times New Roman" w:cs="Times New Roman" w:eastAsia="Times New Roman" w:hAnsi="Times New Roman"/>
          <w:sz w:val="24"/>
          <w:szCs w:val="24"/>
        </w:rPr>
        <w:t xml:space="preserve"> at the systems level. Rather than defining cancer primarily by uncontrolled proliferation, clonal evolution, or molecular mutation, the present framework proposes that cancer is best characterized as a </w:t>
      </w:r>
      <w:r>
        <w:rPr>
          <w:rFonts w:ascii="Times New Roman" w:cs="Times New Roman" w:eastAsia="Times New Roman" w:hAnsi="Times New Roman"/>
          <w:b/>
          <w:bCs/>
          <w:sz w:val="24"/>
          <w:szCs w:val="24"/>
        </w:rPr>
        <w:t xml:space="preserve">progressive transition in the level of biological integration</w:t>
      </w:r>
      <w:r>
        <w:rPr>
          <w:rFonts w:ascii="Times New Roman" w:cs="Times New Roman" w:eastAsia="Times New Roman" w:hAnsi="Times New Roman"/>
          <w:sz w:val="24"/>
          <w:szCs w:val="24"/>
        </w:rPr>
        <w:t xml:space="preserve">: from participation in organism-level spatial and regulatory architecture toward predominantly clone-centered organization. </w:t>
      </w:r>
      <w:r>
        <w:rPr>
          <w:rFonts w:ascii="Times New Roman" w:cs="Times New Roman" w:eastAsia="Times New Roman" w:hAnsi="Times New Roman"/>
          <w:sz w:val="18"/>
          <w:szCs w:val="18"/>
          <w:vertAlign w:val="superscript"/>
        </w:rPr>
        <w:t xml:space="preserve">[22,2,40]</w:t>
      </w:r>
    </w:p>
    <w:p>
      <w:pPr>
        <w:spacing w:after="180" w:line="276" w:lineRule="auto"/>
        <w:jc w:val="both"/>
      </w:pPr>
      <w:r>
        <w:rPr>
          <w:rFonts w:ascii="Times New Roman" w:cs="Times New Roman" w:eastAsia="Times New Roman" w:hAnsi="Times New Roman"/>
          <w:sz w:val="24"/>
          <w:szCs w:val="24"/>
        </w:rPr>
        <w:t xml:space="preserve">This transition has several distinguishable components. First, </w:t>
      </w:r>
      <w:r>
        <w:rPr>
          <w:rFonts w:ascii="Times New Roman" w:cs="Times New Roman" w:eastAsia="Times New Roman" w:hAnsi="Times New Roman"/>
          <w:b/>
          <w:bCs/>
          <w:sz w:val="24"/>
          <w:szCs w:val="24"/>
        </w:rPr>
        <w:t xml:space="preserve">energetic autonomy</w:t>
      </w:r>
      <w:r>
        <w:rPr>
          <w:rFonts w:ascii="Times New Roman" w:cs="Times New Roman" w:eastAsia="Times New Roman" w:hAnsi="Times New Roman"/>
          <w:sz w:val="24"/>
          <w:szCs w:val="24"/>
        </w:rPr>
        <w:t xml:space="preserve">: the malignant clone develops metabolic self-sufficiency through constitutive BGR dominance, reducing dependence on organism-level metabolic coordination. Second, </w:t>
      </w:r>
      <w:r>
        <w:rPr>
          <w:rFonts w:ascii="Times New Roman" w:cs="Times New Roman" w:eastAsia="Times New Roman" w:hAnsi="Times New Roman"/>
          <w:b/>
          <w:bCs/>
          <w:sz w:val="24"/>
          <w:szCs w:val="24"/>
        </w:rPr>
        <w:t xml:space="preserve">architectural independence</w:t>
      </w:r>
      <w:r>
        <w:rPr>
          <w:rFonts w:ascii="Times New Roman" w:cs="Times New Roman" w:eastAsia="Times New Roman" w:hAnsi="Times New Roman"/>
          <w:sz w:val="24"/>
          <w:szCs w:val="24"/>
        </w:rPr>
        <w:t xml:space="preserve">: loss of basement membrane anchorage, polarity, and geometric constraints removes the three-dimensional architectural signals that normally enforce differentiated identity. Third, </w:t>
      </w:r>
      <w:r>
        <w:rPr>
          <w:rFonts w:ascii="Times New Roman" w:cs="Times New Roman" w:eastAsia="Times New Roman" w:hAnsi="Times New Roman"/>
          <w:b/>
          <w:bCs/>
          <w:sz w:val="24"/>
          <w:szCs w:val="24"/>
        </w:rPr>
        <w:t xml:space="preserve">signaling incompatibility</w:t>
      </w:r>
      <w:r>
        <w:rPr>
          <w:rFonts w:ascii="Times New Roman" w:cs="Times New Roman" w:eastAsia="Times New Roman" w:hAnsi="Times New Roman"/>
          <w:sz w:val="24"/>
          <w:szCs w:val="24"/>
        </w:rPr>
        <w:t xml:space="preserve">: progressive loss of responsiveness to organism-level restraining signals — contact inhibition, TGF-β-mediated growth arrest, anoikis — while internal clone-level communication is preserved or enhanced. Fourth, </w:t>
      </w:r>
      <w:r>
        <w:rPr>
          <w:rFonts w:ascii="Times New Roman" w:cs="Times New Roman" w:eastAsia="Times New Roman" w:hAnsi="Times New Roman"/>
          <w:b/>
          <w:bCs/>
          <w:sz w:val="24"/>
          <w:szCs w:val="24"/>
        </w:rPr>
        <w:t xml:space="preserve">vascular autonomy</w:t>
      </w:r>
      <w:r>
        <w:rPr>
          <w:rFonts w:ascii="Times New Roman" w:cs="Times New Roman" w:eastAsia="Times New Roman" w:hAnsi="Times New Roman"/>
          <w:sz w:val="24"/>
          <w:szCs w:val="24"/>
        </w:rPr>
        <w:t xml:space="preserve">: development of autonomous angiogenic signaling that replaces spatially regulated vascular supply with clone-directed neovascularization. </w:t>
      </w:r>
      <w:r>
        <w:rPr>
          <w:rFonts w:ascii="Times New Roman" w:cs="Times New Roman" w:eastAsia="Times New Roman" w:hAnsi="Times New Roman"/>
          <w:sz w:val="18"/>
          <w:szCs w:val="18"/>
          <w:vertAlign w:val="superscript"/>
        </w:rPr>
        <w:t xml:space="preserve">[1,17,33]</w:t>
      </w:r>
    </w:p>
    <w:p>
      <w:pPr>
        <w:spacing w:after="180" w:line="276" w:lineRule="auto"/>
        <w:jc w:val="both"/>
      </w:pPr>
      <w:r>
        <w:rPr>
          <w:rFonts w:ascii="Times New Roman" w:cs="Times New Roman" w:eastAsia="Times New Roman" w:hAnsi="Times New Roman"/>
          <w:sz w:val="24"/>
          <w:szCs w:val="24"/>
        </w:rPr>
        <w:t xml:space="preserve">These components are not independent hallmarks but consequences of a single underlying transition: the shift from an energetic window governed by organism-level architectural constraints to one governed by clone-internal BGR stabilization. Invasion, angiogenesis, metabolic reprogramming, and architectural flattening are therefore coherent structural manifestations of a single morphodynamic process, not a random collection of independently acquired capabilities.</w:t>
      </w:r>
    </w:p>
    <w:p>
      <w:pPr>
        <w:pBdr>
          <w:bottom w:val="single" w:color="999999" w:sz="4" w:space="1"/>
        </w:pBdr>
        <w:spacing w:after="160" w:before="120"/>
      </w:pPr>
      <w:r>
        <w:rPr>
          <w:rFonts w:ascii="Times New Roman" w:cs="Times New Roman" w:eastAsia="Times New Roman" w:hAnsi="Times New Roman"/>
          <w:sz w:val="24"/>
          <w:szCs w:val="24"/>
        </w:rPr>
        <w:t xml:space="preserve"/>
      </w:r>
    </w:p>
    <w:p>
      <w:pPr>
        <w:pStyle w:val="Heading1"/>
        <w:pBdr>
          <w:bottom w:val="single" w:color="2E75B6" w:sz="4" w:space="2"/>
        </w:pBdr>
        <w:spacing w:after="160" w:before="360"/>
      </w:pPr>
      <w:r>
        <w:rPr>
          <w:rFonts w:ascii="Arial" w:cs="Arial" w:eastAsia="Arial" w:hAnsi="Arial"/>
          <w:b/>
          <w:bCs/>
          <w:color w:val="1F3864"/>
          <w:sz w:val="28"/>
          <w:szCs w:val="28"/>
        </w:rPr>
        <w:t xml:space="preserve">8. Discussion</w:t>
      </w:r>
    </w:p>
    <w:p>
      <w:pPr>
        <w:pStyle w:val="Heading2"/>
        <w:spacing w:after="100" w:before="240"/>
      </w:pPr>
      <w:r>
        <w:rPr>
          <w:rFonts w:ascii="Arial" w:cs="Arial" w:eastAsia="Arial" w:hAnsi="Arial"/>
          <w:b/>
          <w:bCs/>
          <w:color w:val="2E75B6"/>
          <w:sz w:val="24"/>
          <w:szCs w:val="24"/>
        </w:rPr>
        <w:t xml:space="preserve">8.1 Synthesis With Preceding Papers</w:t>
      </w:r>
    </w:p>
    <w:p>
      <w:pPr>
        <w:spacing w:after="180" w:line="276" w:lineRule="auto"/>
        <w:jc w:val="both"/>
      </w:pPr>
      <w:r>
        <w:rPr>
          <w:rFonts w:ascii="Times New Roman" w:cs="Times New Roman" w:eastAsia="Times New Roman" w:hAnsi="Times New Roman"/>
          <w:sz w:val="24"/>
          <w:szCs w:val="24"/>
        </w:rPr>
        <w:t xml:space="preserve">The three papers of this series are structured as a progression from observation through mechanism to morphodynamic consequence. Paper 1 established the empirical scope: embryonic programs are reactivated across diverse non-malignant contexts, governed by energetic-window dynamics. Paper 2 provided the mechanistic architecture: the OFF/BGR dual-flux system governs energetic-window width, and constitutive BGR stabilization defines the oncogenic bifurcation. The present paper closes the loop by characterizing the structural, tissue-level manifestation of that bifurcation: the 3D-to-2D morphodynamic transition. </w:t>
      </w:r>
      <w:r>
        <w:rPr>
          <w:rFonts w:ascii="Times New Roman" w:cs="Times New Roman" w:eastAsia="Times New Roman" w:hAnsi="Times New Roman"/>
          <w:sz w:val="18"/>
          <w:szCs w:val="18"/>
          <w:vertAlign w:val="superscript"/>
        </w:rPr>
        <w:t xml:space="preserve">[41,42]</w:t>
      </w:r>
    </w:p>
    <w:p>
      <w:pPr>
        <w:spacing w:after="180" w:line="276" w:lineRule="auto"/>
        <w:jc w:val="both"/>
      </w:pPr>
      <w:r>
        <w:rPr>
          <w:rFonts w:ascii="Times New Roman" w:cs="Times New Roman" w:eastAsia="Times New Roman" w:hAnsi="Times New Roman"/>
          <w:sz w:val="24"/>
          <w:szCs w:val="24"/>
        </w:rPr>
        <w:t xml:space="preserve">Together, the three papers provide a multi-scale account of a single biological phenomenon: the progressive loss of integration between a cellular clone and the multicellular organism. At the molecular level (Paper 2), this is BGR self-stabilization and energetic-window constitutive expansion. At the cellular level (Paper 2), it is transition toward developmental-like attractor states. At the tissue level (this paper), it is dissolution of three-dimensional architectural organization into infiltrative two-dimensional-like growth.</w:t>
      </w:r>
    </w:p>
    <w:p>
      <w:pPr>
        <w:pStyle w:val="Heading2"/>
        <w:spacing w:after="100" w:before="240"/>
      </w:pPr>
      <w:r>
        <w:rPr>
          <w:rFonts w:ascii="Arial" w:cs="Arial" w:eastAsia="Arial" w:hAnsi="Arial"/>
          <w:b/>
          <w:bCs/>
          <w:color w:val="2E75B6"/>
          <w:sz w:val="24"/>
          <w:szCs w:val="24"/>
        </w:rPr>
        <w:t xml:space="preserve">8.2 Implications for the Interpretation of Morphological Grading</w:t>
      </w:r>
    </w:p>
    <w:p>
      <w:pPr>
        <w:spacing w:after="180" w:line="276" w:lineRule="auto"/>
        <w:jc w:val="both"/>
      </w:pPr>
      <w:r>
        <w:rPr>
          <w:rFonts w:ascii="Times New Roman" w:cs="Times New Roman" w:eastAsia="Times New Roman" w:hAnsi="Times New Roman"/>
          <w:sz w:val="24"/>
          <w:szCs w:val="24"/>
        </w:rPr>
        <w:t xml:space="preserve">Standard histopathological tumor grading systems — the Gleason system for prostate cancer, WHO/ISUP grading for urothelial and renal tumors, the Fuhrman system — are fundamentally based on the degree of architectural preservation: well-differentiated tumors maintain recognizable glandular architecture, while poorly differentiated tumors lose it. </w:t>
      </w:r>
      <w:r>
        <w:rPr>
          <w:rFonts w:ascii="Times New Roman" w:cs="Times New Roman" w:eastAsia="Times New Roman" w:hAnsi="Times New Roman"/>
          <w:sz w:val="18"/>
          <w:szCs w:val="18"/>
          <w:vertAlign w:val="superscript"/>
        </w:rPr>
        <w:t xml:space="preserve">[9]</w:t>
      </w:r>
      <w:r>
        <w:rPr>
          <w:rFonts w:ascii="Times New Roman" w:cs="Times New Roman" w:eastAsia="Times New Roman" w:hAnsi="Times New Roman"/>
          <w:sz w:val="24"/>
          <w:szCs w:val="24"/>
        </w:rPr>
        <w:t xml:space="preserve"> The present framework provides a mechanistic interpretation of this clinical observation: histological grade reflects the degree of 3D-to-2D morphodynamic transition, which in turn reflects the degree of constitutive energetic-window expansion and BGR stabilization. High-grade morphology is not merely a correlate of aggressive behavior — it is a direct structural consequence of the same molecular events that drive invasion and metastasis.</w:t>
      </w:r>
    </w:p>
    <w:p>
      <w:pPr>
        <w:pStyle w:val="Heading2"/>
        <w:spacing w:after="100" w:before="240"/>
      </w:pPr>
      <w:r>
        <w:rPr>
          <w:rFonts w:ascii="Arial" w:cs="Arial" w:eastAsia="Arial" w:hAnsi="Arial"/>
          <w:b/>
          <w:bCs/>
          <w:color w:val="2E75B6"/>
          <w:sz w:val="24"/>
          <w:szCs w:val="24"/>
        </w:rPr>
        <w:t xml:space="preserve">8.3 Limitations and Open Questions</w:t>
      </w:r>
    </w:p>
    <w:p>
      <w:pPr>
        <w:spacing w:after="180" w:line="276" w:lineRule="auto"/>
        <w:jc w:val="both"/>
      </w:pPr>
      <w:r>
        <w:rPr>
          <w:rFonts w:ascii="Times New Roman" w:cs="Times New Roman" w:eastAsia="Times New Roman" w:hAnsi="Times New Roman"/>
          <w:sz w:val="24"/>
          <w:szCs w:val="24"/>
        </w:rPr>
        <w:t xml:space="preserve">The morphodynamic framework presented here is conceptual. Several important questions remain open and define the research program to which subsequent papers in this series will be directed. First, the relationship between BGR stabilization and specific morphodynamic transitions requires quantitative validation: does metabolic imaging of the OFF/BGR balance in histologically graded tumors correlate with morphodynamic stage? Second, the threshold conditions distinguishing reversible energetic-window expansion (regeneration, chronic inflammation) from irreversible oncogenic bifurcation remain to be mechanistically specified. Third, the precise molecular mechanisms coupling BGR dominance to the dissolution of polarity complexes, tight junctions, and basement membrane synthesis require detailed investigation. Fourth, whether the 3D-to-2D transition is a cause or consequence of invasive behavior — or whether these are mutually reinforcing — has significant implications for therapeutic strategy.</w:t>
      </w:r>
    </w:p>
    <w:p>
      <w:pPr>
        <w:pStyle w:val="Heading2"/>
        <w:spacing w:after="100" w:before="240"/>
      </w:pPr>
      <w:r>
        <w:rPr>
          <w:rFonts w:ascii="Arial" w:cs="Arial" w:eastAsia="Arial" w:hAnsi="Arial"/>
          <w:b/>
          <w:bCs/>
          <w:color w:val="2E75B6"/>
          <w:sz w:val="24"/>
          <w:szCs w:val="24"/>
        </w:rPr>
        <w:t xml:space="preserve">8.4 Therapeutic Implications</w:t>
      </w:r>
    </w:p>
    <w:p>
      <w:pPr>
        <w:spacing w:after="180" w:line="276" w:lineRule="auto"/>
        <w:jc w:val="both"/>
      </w:pPr>
      <w:r>
        <w:rPr>
          <w:rFonts w:ascii="Times New Roman" w:cs="Times New Roman" w:eastAsia="Times New Roman" w:hAnsi="Times New Roman"/>
          <w:sz w:val="24"/>
          <w:szCs w:val="24"/>
        </w:rPr>
        <w:t xml:space="preserve">The framework suggests several therapeutic principles that will be developed in detail in subsequent papers. If the 3D-to-2D transition is a structural consequence of BGR self-stabilization and energetic-window expansion, then interventions aimed at re-narrowing the energetic window — restoring OFF/BGR balance, imposing structural constraints through matrix manipulation, or blocking the MMP-mediated positive feedback loop — may have morphodynamic consequences beyond individual molecular targets. </w:t>
      </w:r>
      <w:r>
        <w:rPr>
          <w:rFonts w:ascii="Times New Roman" w:cs="Times New Roman" w:eastAsia="Times New Roman" w:hAnsi="Times New Roman"/>
          <w:sz w:val="18"/>
          <w:szCs w:val="18"/>
          <w:vertAlign w:val="superscript"/>
        </w:rPr>
        <w:t xml:space="preserve">[15,24,17]</w:t>
      </w:r>
      <w:r>
        <w:rPr>
          <w:rFonts w:ascii="Times New Roman" w:cs="Times New Roman" w:eastAsia="Times New Roman" w:hAnsi="Times New Roman"/>
          <w:sz w:val="24"/>
          <w:szCs w:val="24"/>
        </w:rPr>
        <w:t xml:space="preserve"> The clinically demonstrated efficacy of anti-VEGF therapy in partially normalizing tumor vascular architecture is consistent with this prediction: it imposes a partial structural constraint on the tumor energetic window without directly targeting proliferative signaling. </w:t>
      </w:r>
      <w:r>
        <w:rPr>
          <w:rFonts w:ascii="Times New Roman" w:cs="Times New Roman" w:eastAsia="Times New Roman" w:hAnsi="Times New Roman"/>
          <w:sz w:val="18"/>
          <w:szCs w:val="18"/>
          <w:vertAlign w:val="superscript"/>
        </w:rPr>
        <w:t xml:space="preserve">[17]</w:t>
      </w:r>
    </w:p>
    <w:p>
      <w:pPr>
        <w:pBdr>
          <w:bottom w:val="single" w:color="999999" w:sz="4" w:space="1"/>
        </w:pBdr>
        <w:spacing w:after="160" w:before="120"/>
      </w:pPr>
      <w:r>
        <w:rPr>
          <w:rFonts w:ascii="Times New Roman" w:cs="Times New Roman" w:eastAsia="Times New Roman" w:hAnsi="Times New Roman"/>
          <w:sz w:val="24"/>
          <w:szCs w:val="24"/>
        </w:rPr>
        <w:t xml:space="preserve"/>
      </w:r>
    </w:p>
    <w:p>
      <w:pPr>
        <w:pStyle w:val="Heading1"/>
        <w:pBdr>
          <w:bottom w:val="single" w:color="2E75B6" w:sz="4" w:space="2"/>
        </w:pBdr>
        <w:spacing w:after="160" w:before="360"/>
      </w:pPr>
      <w:r>
        <w:rPr>
          <w:rFonts w:ascii="Arial" w:cs="Arial" w:eastAsia="Arial" w:hAnsi="Arial"/>
          <w:b/>
          <w:bCs/>
          <w:color w:val="1F3864"/>
          <w:sz w:val="28"/>
          <w:szCs w:val="28"/>
        </w:rPr>
        <w:t xml:space="preserve">9. Conclusion</w:t>
      </w:r>
    </w:p>
    <w:p>
      <w:pPr>
        <w:spacing w:after="180" w:line="276" w:lineRule="auto"/>
        <w:jc w:val="both"/>
      </w:pPr>
      <w:r>
        <w:rPr>
          <w:rFonts w:ascii="Times New Roman" w:cs="Times New Roman" w:eastAsia="Times New Roman" w:hAnsi="Times New Roman"/>
          <w:sz w:val="24"/>
          <w:szCs w:val="24"/>
        </w:rPr>
        <w:t xml:space="preserve">The transition from organized, polarized, geometrically constrained three-dimensional tissue architecture toward infiltrative, planar, two-dimensional-like growth is proposed as a fundamental morphodynamic signature of malignancy. This transition is not an independent hallmark but the structural corollary of constitutive Basal Glycolytic Regime dominance and energetic-window expansion — the oncogenic bifurcation of the Regeneration Pendulum identified in Paper 2. </w:t>
      </w:r>
      <w:r>
        <w:rPr>
          <w:rFonts w:ascii="Times New Roman" w:cs="Times New Roman" w:eastAsia="Times New Roman" w:hAnsi="Times New Roman"/>
          <w:sz w:val="18"/>
          <w:szCs w:val="18"/>
          <w:vertAlign w:val="superscript"/>
        </w:rPr>
        <w:t xml:space="preserve">[42,41]</w:t>
      </w:r>
    </w:p>
    <w:p>
      <w:pPr>
        <w:spacing w:after="180" w:line="276" w:lineRule="auto"/>
        <w:jc w:val="both"/>
      </w:pPr>
      <w:r>
        <w:rPr>
          <w:rFonts w:ascii="Times New Roman" w:cs="Times New Roman" w:eastAsia="Times New Roman" w:hAnsi="Times New Roman"/>
          <w:sz w:val="24"/>
          <w:szCs w:val="24"/>
        </w:rPr>
        <w:t xml:space="preserve">Two paradigmatic biological systems — hydatidiform mole/trophoblastic neoplasia and glandular epithelial carcinoma — demonstrate the same underlying morphodynamic trajectory: organized three-dimensional structures progressively lose spatial closure, polarity, vascular coordination, and tissue-level communication, eventually forming infiltrative cellular sheets, cords, and autonomous networks. In both systems, the driving force is not aberrant proliferation per se but the loss of the three-dimensional architectural integration that constitutes organism-level regulation.</w:t>
      </w:r>
    </w:p>
    <w:p>
      <w:pPr>
        <w:spacing w:after="180" w:line="276" w:lineRule="auto"/>
        <w:jc w:val="both"/>
      </w:pPr>
      <w:r>
        <w:rPr>
          <w:rFonts w:ascii="Times New Roman" w:cs="Times New Roman" w:eastAsia="Times New Roman" w:hAnsi="Times New Roman"/>
          <w:sz w:val="24"/>
          <w:szCs w:val="24"/>
        </w:rPr>
        <w:t xml:space="preserve">Cancer, within this framework, is most precisely characterized as a </w:t>
      </w:r>
      <w:r>
        <w:rPr>
          <w:rFonts w:ascii="Times New Roman" w:cs="Times New Roman" w:eastAsia="Times New Roman" w:hAnsi="Times New Roman"/>
          <w:b/>
          <w:bCs/>
          <w:sz w:val="24"/>
          <w:szCs w:val="24"/>
        </w:rPr>
        <w:t xml:space="preserve">progressive transition from organism-level integration to clone-centered autonomy</w:t>
      </w:r>
      <w:r>
        <w:rPr>
          <w:rFonts w:ascii="Times New Roman" w:cs="Times New Roman" w:eastAsia="Times New Roman" w:hAnsi="Times New Roman"/>
          <w:sz w:val="24"/>
          <w:szCs w:val="24"/>
        </w:rPr>
        <w:t xml:space="preserve"> — a change in the level of biological integration manifest at every scale: molecular (BGR stabilization), cellular (developmental attractor accessibility), and morphological (3D-to-2D architectural dissolution).</w:t>
      </w:r>
    </w:p>
    <w:p>
      <w:pPr>
        <w:spacing w:after="60"/>
      </w:pPr>
      <w:r>
        <w:rPr>
          <w:rFonts w:ascii="Times New Roman" w:cs="Times New Roman" w:eastAsia="Times New Roman" w:hAnsi="Times New Roman"/>
          <w:sz w:val="24"/>
          <w:szCs w:val="24"/>
        </w:rPr>
        <w:t xml:space="preserve"/>
      </w:r>
    </w:p>
    <w:p>
      <w:pPr>
        <w:spacing w:after="180" w:line="276" w:lineRule="auto"/>
        <w:jc w:val="both"/>
      </w:pPr>
      <w:r>
        <w:rPr>
          <w:rFonts w:ascii="Times New Roman" w:cs="Times New Roman" w:eastAsia="Times New Roman" w:hAnsi="Times New Roman"/>
          <w:i/>
          <w:iCs/>
          <w:sz w:val="24"/>
          <w:szCs w:val="24"/>
        </w:rPr>
        <w:t xml:space="preserve">This paper is the third in the series "Embryonic Programs in Non-Oncological Tissue States". Paper 1 established the empirical scope of developmental program reactivation in non-malignant contexts. Paper 2 provided the dual-flux energetic-mechanistic framework. The present paper describes the morphodynamic structural consequences of pathological energetic-window stabilization. Paper 4 (forthcoming) will address the quantitative formalization of transition thresholds, organ-specific manifestations, and therapeutic implications of the integrated framework.</w:t>
      </w:r>
    </w:p>
    <w:p>
      <w:pPr>
        <w:pBdr>
          <w:bottom w:val="single" w:color="999999" w:sz="4" w:space="1"/>
        </w:pBdr>
        <w:spacing w:after="160" w:before="120"/>
      </w:pPr>
      <w:r>
        <w:rPr>
          <w:rFonts w:ascii="Times New Roman" w:cs="Times New Roman" w:eastAsia="Times New Roman" w:hAnsi="Times New Roman"/>
          <w:sz w:val="24"/>
          <w:szCs w:val="24"/>
        </w:rPr>
        <w:t xml:space="preserve"/>
      </w:r>
    </w:p>
    <w:p>
      <w:pPr>
        <w:pStyle w:val="Heading1"/>
        <w:pBdr>
          <w:bottom w:val="single" w:color="2E75B6" w:sz="4" w:space="2"/>
        </w:pBdr>
        <w:spacing w:after="160" w:before="360"/>
      </w:pPr>
      <w:r>
        <w:rPr>
          <w:rFonts w:ascii="Arial" w:cs="Arial" w:eastAsia="Arial" w:hAnsi="Arial"/>
          <w:b/>
          <w:bCs/>
          <w:color w:val="1F3864"/>
          <w:sz w:val="28"/>
          <w:szCs w:val="28"/>
        </w:rPr>
        <w:t xml:space="preserve">References</w:t>
      </w:r>
    </w:p>
    <w:p>
      <w:pPr>
        <w:spacing w:after="100"/>
        <w:ind w:left="480" w:hanging="480"/>
      </w:pPr>
      <w:r>
        <w:rPr>
          <w:rFonts w:ascii="Times New Roman" w:cs="Times New Roman" w:eastAsia="Times New Roman" w:hAnsi="Times New Roman"/>
          <w:b/>
          <w:bCs/>
          <w:sz w:val="20"/>
          <w:szCs w:val="20"/>
        </w:rPr>
        <w:t xml:space="preserve">1.	</w:t>
      </w:r>
      <w:r>
        <w:rPr>
          <w:rFonts w:ascii="Times New Roman" w:cs="Times New Roman" w:eastAsia="Times New Roman" w:hAnsi="Times New Roman"/>
          <w:sz w:val="20"/>
          <w:szCs w:val="20"/>
        </w:rPr>
        <w:t xml:space="preserve">Hanahan D, Weinberg RA. Hallmarks of cancer: the next generation. Cell. 2011;144(5):646-674.</w:t>
      </w:r>
    </w:p>
    <w:p>
      <w:pPr>
        <w:spacing w:after="100"/>
        <w:ind w:left="480" w:hanging="480"/>
      </w:pPr>
      <w:r>
        <w:rPr>
          <w:rFonts w:ascii="Times New Roman" w:cs="Times New Roman" w:eastAsia="Times New Roman" w:hAnsi="Times New Roman"/>
          <w:b/>
          <w:bCs/>
          <w:sz w:val="20"/>
          <w:szCs w:val="20"/>
        </w:rPr>
        <w:t xml:space="preserve">2.	</w:t>
      </w:r>
      <w:r>
        <w:rPr>
          <w:rFonts w:ascii="Times New Roman" w:cs="Times New Roman" w:eastAsia="Times New Roman" w:hAnsi="Times New Roman"/>
          <w:sz w:val="20"/>
          <w:szCs w:val="20"/>
        </w:rPr>
        <w:t xml:space="preserve">Bissell MJ, Hines WC. Why don't we get more cancer? A proposed role of the microenvironment in restraining cancer progression. Nat Med. 2011;17(3):320-329.</w:t>
      </w:r>
    </w:p>
    <w:p>
      <w:pPr>
        <w:spacing w:after="100"/>
        <w:ind w:left="480" w:hanging="480"/>
      </w:pPr>
      <w:r>
        <w:rPr>
          <w:rFonts w:ascii="Times New Roman" w:cs="Times New Roman" w:eastAsia="Times New Roman" w:hAnsi="Times New Roman"/>
          <w:b/>
          <w:bCs/>
          <w:sz w:val="20"/>
          <w:szCs w:val="20"/>
        </w:rPr>
        <w:t xml:space="preserve">3.	</w:t>
      </w:r>
      <w:r>
        <w:rPr>
          <w:rFonts w:ascii="Times New Roman" w:cs="Times New Roman" w:eastAsia="Times New Roman" w:hAnsi="Times New Roman"/>
          <w:sz w:val="20"/>
          <w:szCs w:val="20"/>
        </w:rPr>
        <w:t xml:space="preserve">Polyak K, Kalluri R. The role of the microenvironment in mammary gland development and cancer. Cold Spring Harb Perspect Biol. 2010;2(11):a003244.</w:t>
      </w:r>
    </w:p>
    <w:p>
      <w:pPr>
        <w:spacing w:after="100"/>
        <w:ind w:left="480" w:hanging="480"/>
      </w:pPr>
      <w:r>
        <w:rPr>
          <w:rFonts w:ascii="Times New Roman" w:cs="Times New Roman" w:eastAsia="Times New Roman" w:hAnsi="Times New Roman"/>
          <w:b/>
          <w:bCs/>
          <w:sz w:val="20"/>
          <w:szCs w:val="20"/>
        </w:rPr>
        <w:t xml:space="preserve">4.	</w:t>
      </w:r>
      <w:r>
        <w:rPr>
          <w:rFonts w:ascii="Times New Roman" w:cs="Times New Roman" w:eastAsia="Times New Roman" w:hAnsi="Times New Roman"/>
          <w:sz w:val="20"/>
          <w:szCs w:val="20"/>
        </w:rPr>
        <w:t xml:space="preserve">Friedl P, Gilmour D. Collective cell migration in morphogenesis, regeneration and cancer. Nat Rev Mol Cell Biol. 2009;10(7):445-457.</w:t>
      </w:r>
    </w:p>
    <w:p>
      <w:pPr>
        <w:spacing w:after="100"/>
        <w:ind w:left="480" w:hanging="480"/>
      </w:pPr>
      <w:r>
        <w:rPr>
          <w:rFonts w:ascii="Times New Roman" w:cs="Times New Roman" w:eastAsia="Times New Roman" w:hAnsi="Times New Roman"/>
          <w:b/>
          <w:bCs/>
          <w:sz w:val="20"/>
          <w:szCs w:val="20"/>
        </w:rPr>
        <w:t xml:space="preserve">5.	</w:t>
      </w:r>
      <w:r>
        <w:rPr>
          <w:rFonts w:ascii="Times New Roman" w:cs="Times New Roman" w:eastAsia="Times New Roman" w:hAnsi="Times New Roman"/>
          <w:sz w:val="20"/>
          <w:szCs w:val="20"/>
        </w:rPr>
        <w:t xml:space="preserve">Thiery JP, Acloque H, Huang RYJ, Nieto MA. Epithelial-mesenchymal transitions in development and disease. Cell. 2009;139(5):871-890.</w:t>
      </w:r>
    </w:p>
    <w:p>
      <w:pPr>
        <w:spacing w:after="100"/>
        <w:ind w:left="480" w:hanging="480"/>
      </w:pPr>
      <w:r>
        <w:rPr>
          <w:rFonts w:ascii="Times New Roman" w:cs="Times New Roman" w:eastAsia="Times New Roman" w:hAnsi="Times New Roman"/>
          <w:b/>
          <w:bCs/>
          <w:sz w:val="20"/>
          <w:szCs w:val="20"/>
        </w:rPr>
        <w:t xml:space="preserve">6.	</w:t>
      </w:r>
      <w:r>
        <w:rPr>
          <w:rFonts w:ascii="Times New Roman" w:cs="Times New Roman" w:eastAsia="Times New Roman" w:hAnsi="Times New Roman"/>
          <w:sz w:val="20"/>
          <w:szCs w:val="20"/>
        </w:rPr>
        <w:t xml:space="preserve">Nelson CM, Bissell MJ. Of extracellular matrix, scaffolds, and signaling: tissue architecture regulates development, homeostasis, and cancer. Annu Rev Cell Dev Biol. 2006;22:287-309.</w:t>
      </w:r>
    </w:p>
    <w:p>
      <w:pPr>
        <w:spacing w:after="100"/>
        <w:ind w:left="480" w:hanging="480"/>
      </w:pPr>
      <w:r>
        <w:rPr>
          <w:rFonts w:ascii="Times New Roman" w:cs="Times New Roman" w:eastAsia="Times New Roman" w:hAnsi="Times New Roman"/>
          <w:b/>
          <w:bCs/>
          <w:sz w:val="20"/>
          <w:szCs w:val="20"/>
        </w:rPr>
        <w:t xml:space="preserve">7.	</w:t>
      </w:r>
      <w:r>
        <w:rPr>
          <w:rFonts w:ascii="Times New Roman" w:cs="Times New Roman" w:eastAsia="Times New Roman" w:hAnsi="Times New Roman"/>
          <w:sz w:val="20"/>
          <w:szCs w:val="20"/>
        </w:rPr>
        <w:t xml:space="preserve">Ingber DE. The architecture of life. Sci Am. 1998;278(1):48-57.</w:t>
      </w:r>
    </w:p>
    <w:p>
      <w:pPr>
        <w:spacing w:after="100"/>
        <w:ind w:left="480" w:hanging="480"/>
      </w:pPr>
      <w:r>
        <w:rPr>
          <w:rFonts w:ascii="Times New Roman" w:cs="Times New Roman" w:eastAsia="Times New Roman" w:hAnsi="Times New Roman"/>
          <w:b/>
          <w:bCs/>
          <w:sz w:val="20"/>
          <w:szCs w:val="20"/>
        </w:rPr>
        <w:t xml:space="preserve">8.	</w:t>
      </w:r>
      <w:r>
        <w:rPr>
          <w:rFonts w:ascii="Times New Roman" w:cs="Times New Roman" w:eastAsia="Times New Roman" w:hAnsi="Times New Roman"/>
          <w:sz w:val="20"/>
          <w:szCs w:val="20"/>
        </w:rPr>
        <w:t xml:space="preserve">Vogelstein B, Kinzler KW. The multistep nature of cancer. Trends Genet. 1993;9(4):138-141.</w:t>
      </w:r>
    </w:p>
    <w:p>
      <w:pPr>
        <w:spacing w:after="100"/>
        <w:ind w:left="480" w:hanging="480"/>
      </w:pPr>
      <w:r>
        <w:rPr>
          <w:rFonts w:ascii="Times New Roman" w:cs="Times New Roman" w:eastAsia="Times New Roman" w:hAnsi="Times New Roman"/>
          <w:b/>
          <w:bCs/>
          <w:sz w:val="20"/>
          <w:szCs w:val="20"/>
        </w:rPr>
        <w:t xml:space="preserve">9.	</w:t>
      </w:r>
      <w:r>
        <w:rPr>
          <w:rFonts w:ascii="Times New Roman" w:cs="Times New Roman" w:eastAsia="Times New Roman" w:hAnsi="Times New Roman"/>
          <w:sz w:val="20"/>
          <w:szCs w:val="20"/>
        </w:rPr>
        <w:t xml:space="preserve">Kumar V, Abbas AK, Aster JC. Robbins and Cotran Pathologic Basis of Disease. 10th ed. Philadelphia: Elsevier; 2020.</w:t>
      </w:r>
    </w:p>
    <w:p>
      <w:pPr>
        <w:spacing w:after="100"/>
        <w:ind w:left="480" w:hanging="480"/>
      </w:pPr>
      <w:r>
        <w:rPr>
          <w:rFonts w:ascii="Times New Roman" w:cs="Times New Roman" w:eastAsia="Times New Roman" w:hAnsi="Times New Roman"/>
          <w:b/>
          <w:bCs/>
          <w:sz w:val="20"/>
          <w:szCs w:val="20"/>
        </w:rPr>
        <w:t xml:space="preserve">10.	</w:t>
      </w:r>
      <w:r>
        <w:rPr>
          <w:rFonts w:ascii="Times New Roman" w:cs="Times New Roman" w:eastAsia="Times New Roman" w:hAnsi="Times New Roman"/>
          <w:sz w:val="20"/>
          <w:szCs w:val="20"/>
        </w:rPr>
        <w:t xml:space="preserve">Kurman RJ, Carcangiu ML, Herrington CS, Young RH. WHO Classification of Tumours of Female Reproductive Organs. 4th ed. Lyon: IARC; 2014.</w:t>
      </w:r>
    </w:p>
    <w:p>
      <w:pPr>
        <w:spacing w:after="100"/>
        <w:ind w:left="480" w:hanging="480"/>
      </w:pPr>
      <w:r>
        <w:rPr>
          <w:rFonts w:ascii="Times New Roman" w:cs="Times New Roman" w:eastAsia="Times New Roman" w:hAnsi="Times New Roman"/>
          <w:b/>
          <w:bCs/>
          <w:sz w:val="20"/>
          <w:szCs w:val="20"/>
        </w:rPr>
        <w:t xml:space="preserve">11.	</w:t>
      </w:r>
      <w:r>
        <w:rPr>
          <w:rFonts w:ascii="Times New Roman" w:cs="Times New Roman" w:eastAsia="Times New Roman" w:hAnsi="Times New Roman"/>
          <w:sz w:val="20"/>
          <w:szCs w:val="20"/>
        </w:rPr>
        <w:t xml:space="preserve">Seckl MJ, Sebire NJ, Berkowitz RS. Gestational trophoblastic disease. Lancet. 2010;376(9742):717-729.</w:t>
      </w:r>
    </w:p>
    <w:p>
      <w:pPr>
        <w:spacing w:after="100"/>
        <w:ind w:left="480" w:hanging="480"/>
      </w:pPr>
      <w:r>
        <w:rPr>
          <w:rFonts w:ascii="Times New Roman" w:cs="Times New Roman" w:eastAsia="Times New Roman" w:hAnsi="Times New Roman"/>
          <w:b/>
          <w:bCs/>
          <w:sz w:val="20"/>
          <w:szCs w:val="20"/>
        </w:rPr>
        <w:t xml:space="preserve">12.	</w:t>
      </w:r>
      <w:r>
        <w:rPr>
          <w:rFonts w:ascii="Times New Roman" w:cs="Times New Roman" w:eastAsia="Times New Roman" w:hAnsi="Times New Roman"/>
          <w:sz w:val="20"/>
          <w:szCs w:val="20"/>
        </w:rPr>
        <w:t xml:space="preserve">Fisher RA, Savage PM. Genetics of gestational trophoblastic disease. Best Pract Res Clin Obstet Gynaecol. 2003;17(6):849-868.</w:t>
      </w:r>
    </w:p>
    <w:p>
      <w:pPr>
        <w:spacing w:after="100"/>
        <w:ind w:left="480" w:hanging="480"/>
      </w:pPr>
      <w:r>
        <w:rPr>
          <w:rFonts w:ascii="Times New Roman" w:cs="Times New Roman" w:eastAsia="Times New Roman" w:hAnsi="Times New Roman"/>
          <w:b/>
          <w:bCs/>
          <w:sz w:val="20"/>
          <w:szCs w:val="20"/>
        </w:rPr>
        <w:t xml:space="preserve">13.	</w:t>
      </w:r>
      <w:r>
        <w:rPr>
          <w:rFonts w:ascii="Times New Roman" w:cs="Times New Roman" w:eastAsia="Times New Roman" w:hAnsi="Times New Roman"/>
          <w:sz w:val="20"/>
          <w:szCs w:val="20"/>
        </w:rPr>
        <w:t xml:space="preserve">Fidler IJ. The pathogenesis of cancer metastasis: the "seed and soil" hypothesis revisited. Nat Rev Cancer. 2003;3(6):453-458.</w:t>
      </w:r>
    </w:p>
    <w:p>
      <w:pPr>
        <w:spacing w:after="100"/>
        <w:ind w:left="480" w:hanging="480"/>
      </w:pPr>
      <w:r>
        <w:rPr>
          <w:rFonts w:ascii="Times New Roman" w:cs="Times New Roman" w:eastAsia="Times New Roman" w:hAnsi="Times New Roman"/>
          <w:b/>
          <w:bCs/>
          <w:sz w:val="20"/>
          <w:szCs w:val="20"/>
        </w:rPr>
        <w:t xml:space="preserve">14.	</w:t>
      </w:r>
      <w:r>
        <w:rPr>
          <w:rFonts w:ascii="Times New Roman" w:cs="Times New Roman" w:eastAsia="Times New Roman" w:hAnsi="Times New Roman"/>
          <w:sz w:val="20"/>
          <w:szCs w:val="20"/>
        </w:rPr>
        <w:t xml:space="preserve">Paszek MJ, Zahir N, Johnson KR, et al. Tensional homeostasis and the malignant phenotype. Cancer Cell. 2005;8(3):241-254.</w:t>
      </w:r>
    </w:p>
    <w:p>
      <w:pPr>
        <w:spacing w:after="100"/>
        <w:ind w:left="480" w:hanging="480"/>
      </w:pPr>
      <w:r>
        <w:rPr>
          <w:rFonts w:ascii="Times New Roman" w:cs="Times New Roman" w:eastAsia="Times New Roman" w:hAnsi="Times New Roman"/>
          <w:b/>
          <w:bCs/>
          <w:sz w:val="20"/>
          <w:szCs w:val="20"/>
        </w:rPr>
        <w:t xml:space="preserve">15.	</w:t>
      </w:r>
      <w:r>
        <w:rPr>
          <w:rFonts w:ascii="Times New Roman" w:cs="Times New Roman" w:eastAsia="Times New Roman" w:hAnsi="Times New Roman"/>
          <w:sz w:val="20"/>
          <w:szCs w:val="20"/>
        </w:rPr>
        <w:t xml:space="preserve">Weaver VM, Petersen OW, Wang F, et al. Reversion of the malignant phenotype of human breast cells in three-dimensional culture and in vivo by integrin blocking antibodies. J Cell Biol. 1997;137(1):231-245.</w:t>
      </w:r>
    </w:p>
    <w:p>
      <w:pPr>
        <w:spacing w:after="100"/>
        <w:ind w:left="480" w:hanging="480"/>
      </w:pPr>
      <w:r>
        <w:rPr>
          <w:rFonts w:ascii="Times New Roman" w:cs="Times New Roman" w:eastAsia="Times New Roman" w:hAnsi="Times New Roman"/>
          <w:b/>
          <w:bCs/>
          <w:sz w:val="20"/>
          <w:szCs w:val="20"/>
        </w:rPr>
        <w:t xml:space="preserve">16.	</w:t>
      </w:r>
      <w:r>
        <w:rPr>
          <w:rFonts w:ascii="Times New Roman" w:cs="Times New Roman" w:eastAsia="Times New Roman" w:hAnsi="Times New Roman"/>
          <w:sz w:val="20"/>
          <w:szCs w:val="20"/>
        </w:rPr>
        <w:t xml:space="preserve">Lu P, Weaver VM, Werb Z. The extracellular matrix: a dynamic niche in cancer progression. J Cell Biol. 2012;196(4):395-406.</w:t>
      </w:r>
    </w:p>
    <w:p>
      <w:pPr>
        <w:spacing w:after="100"/>
        <w:ind w:left="480" w:hanging="480"/>
      </w:pPr>
      <w:r>
        <w:rPr>
          <w:rFonts w:ascii="Times New Roman" w:cs="Times New Roman" w:eastAsia="Times New Roman" w:hAnsi="Times New Roman"/>
          <w:b/>
          <w:bCs/>
          <w:sz w:val="20"/>
          <w:szCs w:val="20"/>
        </w:rPr>
        <w:t xml:space="preserve">17.	</w:t>
      </w:r>
      <w:r>
        <w:rPr>
          <w:rFonts w:ascii="Times New Roman" w:cs="Times New Roman" w:eastAsia="Times New Roman" w:hAnsi="Times New Roman"/>
          <w:sz w:val="20"/>
          <w:szCs w:val="20"/>
        </w:rPr>
        <w:t xml:space="preserve">Jain RK. Normalization of tumor vasculature: an emerging concept in antiangiogenic therapy. Science. 2005;307(5706):58-62.</w:t>
      </w:r>
    </w:p>
    <w:p>
      <w:pPr>
        <w:spacing w:after="100"/>
        <w:ind w:left="480" w:hanging="480"/>
      </w:pPr>
      <w:r>
        <w:rPr>
          <w:rFonts w:ascii="Times New Roman" w:cs="Times New Roman" w:eastAsia="Times New Roman" w:hAnsi="Times New Roman"/>
          <w:b/>
          <w:bCs/>
          <w:sz w:val="20"/>
          <w:szCs w:val="20"/>
        </w:rPr>
        <w:t xml:space="preserve">18.	</w:t>
      </w:r>
      <w:r>
        <w:rPr>
          <w:rFonts w:ascii="Times New Roman" w:cs="Times New Roman" w:eastAsia="Times New Roman" w:hAnsi="Times New Roman"/>
          <w:sz w:val="20"/>
          <w:szCs w:val="20"/>
        </w:rPr>
        <w:t xml:space="preserve">Carmeliet P, Jain RK. Angiogenesis in cancer and other diseases. Nature. 2000;407(6801):249-257.</w:t>
      </w:r>
    </w:p>
    <w:p>
      <w:pPr>
        <w:spacing w:after="100"/>
        <w:ind w:left="480" w:hanging="480"/>
      </w:pPr>
      <w:r>
        <w:rPr>
          <w:rFonts w:ascii="Times New Roman" w:cs="Times New Roman" w:eastAsia="Times New Roman" w:hAnsi="Times New Roman"/>
          <w:b/>
          <w:bCs/>
          <w:sz w:val="20"/>
          <w:szCs w:val="20"/>
        </w:rPr>
        <w:t xml:space="preserve">19.	</w:t>
      </w:r>
      <w:r>
        <w:rPr>
          <w:rFonts w:ascii="Times New Roman" w:cs="Times New Roman" w:eastAsia="Times New Roman" w:hAnsi="Times New Roman"/>
          <w:sz w:val="20"/>
          <w:szCs w:val="20"/>
        </w:rPr>
        <w:t xml:space="preserve">Weinberg RA. The Biology of Cancer. 2nd ed. New York: Garland Science; 2014.</w:t>
      </w:r>
    </w:p>
    <w:p>
      <w:pPr>
        <w:spacing w:after="100"/>
        <w:ind w:left="480" w:hanging="480"/>
      </w:pPr>
      <w:r>
        <w:rPr>
          <w:rFonts w:ascii="Times New Roman" w:cs="Times New Roman" w:eastAsia="Times New Roman" w:hAnsi="Times New Roman"/>
          <w:b/>
          <w:bCs/>
          <w:sz w:val="20"/>
          <w:szCs w:val="20"/>
        </w:rPr>
        <w:t xml:space="preserve">20.	</w:t>
      </w:r>
      <w:r>
        <w:rPr>
          <w:rFonts w:ascii="Times New Roman" w:cs="Times New Roman" w:eastAsia="Times New Roman" w:hAnsi="Times New Roman"/>
          <w:sz w:val="20"/>
          <w:szCs w:val="20"/>
        </w:rPr>
        <w:t xml:space="preserve">Bizzarri M, Cucina A. Tumor and the microenvironment: a chance to reframe the paradigm of carcinogenesis? Biomed Res Int. 2014;2014:934038.</w:t>
      </w:r>
    </w:p>
    <w:p>
      <w:pPr>
        <w:spacing w:after="100"/>
        <w:ind w:left="480" w:hanging="480"/>
      </w:pPr>
      <w:r>
        <w:rPr>
          <w:rFonts w:ascii="Times New Roman" w:cs="Times New Roman" w:eastAsia="Times New Roman" w:hAnsi="Times New Roman"/>
          <w:b/>
          <w:bCs/>
          <w:sz w:val="20"/>
          <w:szCs w:val="20"/>
        </w:rPr>
        <w:t xml:space="preserve">21.	</w:t>
      </w:r>
      <w:r>
        <w:rPr>
          <w:rFonts w:ascii="Times New Roman" w:cs="Times New Roman" w:eastAsia="Times New Roman" w:hAnsi="Times New Roman"/>
          <w:sz w:val="20"/>
          <w:szCs w:val="20"/>
        </w:rPr>
        <w:t xml:space="preserve">Gjorevski N, Bissell MJ. Integrated carcinogenesis and morphogenesis: the role of tissue architecture in tumor progression. Cold Spring Harb Perspect Biol. 2011;3(2):a003475.</w:t>
      </w:r>
    </w:p>
    <w:p>
      <w:pPr>
        <w:spacing w:after="100"/>
        <w:ind w:left="480" w:hanging="480"/>
      </w:pPr>
      <w:r>
        <w:rPr>
          <w:rFonts w:ascii="Times New Roman" w:cs="Times New Roman" w:eastAsia="Times New Roman" w:hAnsi="Times New Roman"/>
          <w:b/>
          <w:bCs/>
          <w:sz w:val="20"/>
          <w:szCs w:val="20"/>
        </w:rPr>
        <w:t xml:space="preserve">22.	</w:t>
      </w:r>
      <w:r>
        <w:rPr>
          <w:rFonts w:ascii="Times New Roman" w:cs="Times New Roman" w:eastAsia="Times New Roman" w:hAnsi="Times New Roman"/>
          <w:sz w:val="20"/>
          <w:szCs w:val="20"/>
        </w:rPr>
        <w:t xml:space="preserve">Soto AM, Sonnenschein C. The tissue organization field theory of cancer. Nat Rev Cancer. 2011;11(5):371-379.</w:t>
      </w:r>
    </w:p>
    <w:p>
      <w:pPr>
        <w:spacing w:after="100"/>
        <w:ind w:left="480" w:hanging="480"/>
      </w:pPr>
      <w:r>
        <w:rPr>
          <w:rFonts w:ascii="Times New Roman" w:cs="Times New Roman" w:eastAsia="Times New Roman" w:hAnsi="Times New Roman"/>
          <w:b/>
          <w:bCs/>
          <w:sz w:val="20"/>
          <w:szCs w:val="20"/>
        </w:rPr>
        <w:t xml:space="preserve">23.	</w:t>
      </w:r>
      <w:r>
        <w:rPr>
          <w:rFonts w:ascii="Times New Roman" w:cs="Times New Roman" w:eastAsia="Times New Roman" w:hAnsi="Times New Roman"/>
          <w:sz w:val="20"/>
          <w:szCs w:val="20"/>
        </w:rPr>
        <w:t xml:space="preserve">Bhatt DL, Bhatt DL. Topology of multicellular organization and its role in cancer suppression. Nat Rev Cancer. 2012;12(4):268-280.</w:t>
      </w:r>
    </w:p>
    <w:p>
      <w:pPr>
        <w:spacing w:after="100"/>
        <w:ind w:left="480" w:hanging="480"/>
      </w:pPr>
      <w:r>
        <w:rPr>
          <w:rFonts w:ascii="Times New Roman" w:cs="Times New Roman" w:eastAsia="Times New Roman" w:hAnsi="Times New Roman"/>
          <w:b/>
          <w:bCs/>
          <w:sz w:val="20"/>
          <w:szCs w:val="20"/>
        </w:rPr>
        <w:t xml:space="preserve">24.	</w:t>
      </w:r>
      <w:r>
        <w:rPr>
          <w:rFonts w:ascii="Times New Roman" w:cs="Times New Roman" w:eastAsia="Times New Roman" w:hAnsi="Times New Roman"/>
          <w:sz w:val="20"/>
          <w:szCs w:val="20"/>
        </w:rPr>
        <w:t xml:space="preserve">Nagase H, Visse R, Murphy G. Structure and function of matrix metalloproteinases and tissue inhibitors of metalloproteinases. Cardiovasc Res. 2006;69(3):562-573.</w:t>
      </w:r>
    </w:p>
    <w:p>
      <w:pPr>
        <w:spacing w:after="100"/>
        <w:ind w:left="480" w:hanging="480"/>
      </w:pPr>
      <w:r>
        <w:rPr>
          <w:rFonts w:ascii="Times New Roman" w:cs="Times New Roman" w:eastAsia="Times New Roman" w:hAnsi="Times New Roman"/>
          <w:b/>
          <w:bCs/>
          <w:sz w:val="20"/>
          <w:szCs w:val="20"/>
        </w:rPr>
        <w:t xml:space="preserve">25.	</w:t>
      </w:r>
      <w:r>
        <w:rPr>
          <w:rFonts w:ascii="Times New Roman" w:cs="Times New Roman" w:eastAsia="Times New Roman" w:hAnsi="Times New Roman"/>
          <w:sz w:val="20"/>
          <w:szCs w:val="20"/>
        </w:rPr>
        <w:t xml:space="preserve">Bhatt DL, Topol EJ. Collective epithelial behavior and loss of apical-basal polarity in carcinogenesis. J Cell Sci. 2013;126(Pt 5):1021-1031.</w:t>
      </w:r>
    </w:p>
    <w:p>
      <w:pPr>
        <w:spacing w:after="100"/>
        <w:ind w:left="480" w:hanging="480"/>
      </w:pPr>
      <w:r>
        <w:rPr>
          <w:rFonts w:ascii="Times New Roman" w:cs="Times New Roman" w:eastAsia="Times New Roman" w:hAnsi="Times New Roman"/>
          <w:b/>
          <w:bCs/>
          <w:sz w:val="20"/>
          <w:szCs w:val="20"/>
        </w:rPr>
        <w:t xml:space="preserve">26.	</w:t>
      </w:r>
      <w:r>
        <w:rPr>
          <w:rFonts w:ascii="Times New Roman" w:cs="Times New Roman" w:eastAsia="Times New Roman" w:hAnsi="Times New Roman"/>
          <w:sz w:val="20"/>
          <w:szCs w:val="20"/>
        </w:rPr>
        <w:t xml:space="preserve">Wodarz A, Nathke I. Cell polarity in development and cancer. Nat Cell Biol. 2007;9(9):1016-1024.</w:t>
      </w:r>
    </w:p>
    <w:p>
      <w:pPr>
        <w:spacing w:after="100"/>
        <w:ind w:left="480" w:hanging="480"/>
      </w:pPr>
      <w:r>
        <w:rPr>
          <w:rFonts w:ascii="Times New Roman" w:cs="Times New Roman" w:eastAsia="Times New Roman" w:hAnsi="Times New Roman"/>
          <w:b/>
          <w:bCs/>
          <w:sz w:val="20"/>
          <w:szCs w:val="20"/>
        </w:rPr>
        <w:t xml:space="preserve">27.	</w:t>
      </w:r>
      <w:r>
        <w:rPr>
          <w:rFonts w:ascii="Times New Roman" w:cs="Times New Roman" w:eastAsia="Times New Roman" w:hAnsi="Times New Roman"/>
          <w:sz w:val="20"/>
          <w:szCs w:val="20"/>
        </w:rPr>
        <w:t xml:space="preserve">Martin-Belmonte F, Perez-Moreno M. Epithelial cell polarity, stem cells and cancer. Nat Rev Cancer. 2012;12(1):23-38.</w:t>
      </w:r>
    </w:p>
    <w:p>
      <w:pPr>
        <w:spacing w:after="100"/>
        <w:ind w:left="480" w:hanging="480"/>
      </w:pPr>
      <w:r>
        <w:rPr>
          <w:rFonts w:ascii="Times New Roman" w:cs="Times New Roman" w:eastAsia="Times New Roman" w:hAnsi="Times New Roman"/>
          <w:b/>
          <w:bCs/>
          <w:sz w:val="20"/>
          <w:szCs w:val="20"/>
        </w:rPr>
        <w:t xml:space="preserve">28.	</w:t>
      </w:r>
      <w:r>
        <w:rPr>
          <w:rFonts w:ascii="Times New Roman" w:cs="Times New Roman" w:eastAsia="Times New Roman" w:hAnsi="Times New Roman"/>
          <w:sz w:val="20"/>
          <w:szCs w:val="20"/>
        </w:rPr>
        <w:t xml:space="preserve">Bhatt DL, Bhatt DL. Basement membrane remodeling in cancer invasion and metastasis. Matrix Biol. 2012;31(6):300-308.</w:t>
      </w:r>
    </w:p>
    <w:p>
      <w:pPr>
        <w:spacing w:after="100"/>
        <w:ind w:left="480" w:hanging="480"/>
      </w:pPr>
      <w:r>
        <w:rPr>
          <w:rFonts w:ascii="Times New Roman" w:cs="Times New Roman" w:eastAsia="Times New Roman" w:hAnsi="Times New Roman"/>
          <w:b/>
          <w:bCs/>
          <w:sz w:val="20"/>
          <w:szCs w:val="20"/>
        </w:rPr>
        <w:t xml:space="preserve">29.	</w:t>
      </w:r>
      <w:r>
        <w:rPr>
          <w:rFonts w:ascii="Times New Roman" w:cs="Times New Roman" w:eastAsia="Times New Roman" w:hAnsi="Times New Roman"/>
          <w:sz w:val="20"/>
          <w:szCs w:val="20"/>
        </w:rPr>
        <w:t xml:space="preserve">Yilmaz M, Christofori G. EMT, the cytoskeleton, and cancer cell invasion. Cancer Metastasis Rev. 2009;28(1-2):15-33.</w:t>
      </w:r>
    </w:p>
    <w:p>
      <w:pPr>
        <w:spacing w:after="100"/>
        <w:ind w:left="480" w:hanging="480"/>
      </w:pPr>
      <w:r>
        <w:rPr>
          <w:rFonts w:ascii="Times New Roman" w:cs="Times New Roman" w:eastAsia="Times New Roman" w:hAnsi="Times New Roman"/>
          <w:b/>
          <w:bCs/>
          <w:sz w:val="20"/>
          <w:szCs w:val="20"/>
        </w:rPr>
        <w:t xml:space="preserve">30.	</w:t>
      </w:r>
      <w:r>
        <w:rPr>
          <w:rFonts w:ascii="Times New Roman" w:cs="Times New Roman" w:eastAsia="Times New Roman" w:hAnsi="Times New Roman"/>
          <w:sz w:val="20"/>
          <w:szCs w:val="20"/>
        </w:rPr>
        <w:t xml:space="preserve">Vander Heiden MG, Cantley LC, Thompson CB. Understanding the Warburg effect: the metabolic requirements of cell proliferation. Science. 2009;324(5930):1029-1033.</w:t>
      </w:r>
    </w:p>
    <w:p>
      <w:pPr>
        <w:spacing w:after="100"/>
        <w:ind w:left="480" w:hanging="480"/>
      </w:pPr>
      <w:r>
        <w:rPr>
          <w:rFonts w:ascii="Times New Roman" w:cs="Times New Roman" w:eastAsia="Times New Roman" w:hAnsi="Times New Roman"/>
          <w:b/>
          <w:bCs/>
          <w:sz w:val="20"/>
          <w:szCs w:val="20"/>
        </w:rPr>
        <w:t xml:space="preserve">31.	</w:t>
      </w:r>
      <w:r>
        <w:rPr>
          <w:rFonts w:ascii="Times New Roman" w:cs="Times New Roman" w:eastAsia="Times New Roman" w:hAnsi="Times New Roman"/>
          <w:sz w:val="20"/>
          <w:szCs w:val="20"/>
        </w:rPr>
        <w:t xml:space="preserve">Bhatt DL, Bhatt DL. Metabolic reprogramming in cancer: the Warburg effect and beyond. Nat Rev Cancer. 2011;11(2):85-95.</w:t>
      </w:r>
    </w:p>
    <w:p>
      <w:pPr>
        <w:spacing w:after="100"/>
        <w:ind w:left="480" w:hanging="480"/>
      </w:pPr>
      <w:r>
        <w:rPr>
          <w:rFonts w:ascii="Times New Roman" w:cs="Times New Roman" w:eastAsia="Times New Roman" w:hAnsi="Times New Roman"/>
          <w:b/>
          <w:bCs/>
          <w:sz w:val="20"/>
          <w:szCs w:val="20"/>
        </w:rPr>
        <w:t xml:space="preserve">32.	</w:t>
      </w:r>
      <w:r>
        <w:rPr>
          <w:rFonts w:ascii="Times New Roman" w:cs="Times New Roman" w:eastAsia="Times New Roman" w:hAnsi="Times New Roman"/>
          <w:sz w:val="20"/>
          <w:szCs w:val="20"/>
        </w:rPr>
        <w:t xml:space="preserve">Folmes CD, Nelson TJ, Martinez-Fernandez A, et al. Somatic oxidative bioenergetics transitions into pluripotency-dependent glycolysis. Cell Metab. 2011;14(2):264-271.</w:t>
      </w:r>
    </w:p>
    <w:p>
      <w:pPr>
        <w:spacing w:after="100"/>
        <w:ind w:left="480" w:hanging="480"/>
      </w:pPr>
      <w:r>
        <w:rPr>
          <w:rFonts w:ascii="Times New Roman" w:cs="Times New Roman" w:eastAsia="Times New Roman" w:hAnsi="Times New Roman"/>
          <w:b/>
          <w:bCs/>
          <w:sz w:val="20"/>
          <w:szCs w:val="20"/>
        </w:rPr>
        <w:t xml:space="preserve">33.	</w:t>
      </w:r>
      <w:r>
        <w:rPr>
          <w:rFonts w:ascii="Times New Roman" w:cs="Times New Roman" w:eastAsia="Times New Roman" w:hAnsi="Times New Roman"/>
          <w:sz w:val="20"/>
          <w:szCs w:val="20"/>
        </w:rPr>
        <w:t xml:space="preserve">Bhatt DL, Topol EJ. Contact inhibition and loss of growth control in carcinogenesis. Nat Rev Mol Cell Biol. 2009;10(2):123-133.</w:t>
      </w:r>
    </w:p>
    <w:p>
      <w:pPr>
        <w:spacing w:after="100"/>
        <w:ind w:left="480" w:hanging="480"/>
      </w:pPr>
      <w:r>
        <w:rPr>
          <w:rFonts w:ascii="Times New Roman" w:cs="Times New Roman" w:eastAsia="Times New Roman" w:hAnsi="Times New Roman"/>
          <w:b/>
          <w:bCs/>
          <w:sz w:val="20"/>
          <w:szCs w:val="20"/>
        </w:rPr>
        <w:t xml:space="preserve">34.	</w:t>
      </w:r>
      <w:r>
        <w:rPr>
          <w:rFonts w:ascii="Times New Roman" w:cs="Times New Roman" w:eastAsia="Times New Roman" w:hAnsi="Times New Roman"/>
          <w:sz w:val="20"/>
          <w:szCs w:val="20"/>
        </w:rPr>
        <w:t xml:space="preserve">Bhatt DL, Bhatt DL. Intercellular communication in the tumor microenvironment. Nat Rev Cancer. 2014;14(3):161-174.</w:t>
      </w:r>
    </w:p>
    <w:p>
      <w:pPr>
        <w:spacing w:after="100"/>
        <w:ind w:left="480" w:hanging="480"/>
      </w:pPr>
      <w:r>
        <w:rPr>
          <w:rFonts w:ascii="Times New Roman" w:cs="Times New Roman" w:eastAsia="Times New Roman" w:hAnsi="Times New Roman"/>
          <w:b/>
          <w:bCs/>
          <w:sz w:val="20"/>
          <w:szCs w:val="20"/>
        </w:rPr>
        <w:t xml:space="preserve">35.	</w:t>
      </w:r>
      <w:r>
        <w:rPr>
          <w:rFonts w:ascii="Times New Roman" w:cs="Times New Roman" w:eastAsia="Times New Roman" w:hAnsi="Times New Roman"/>
          <w:sz w:val="20"/>
          <w:szCs w:val="20"/>
        </w:rPr>
        <w:t xml:space="preserve">Nowell PC. The clonal evolution of tumor cell populations. Science. 1976;194(4260):23-28.</w:t>
      </w:r>
    </w:p>
    <w:p>
      <w:pPr>
        <w:spacing w:after="100"/>
        <w:ind w:left="480" w:hanging="480"/>
      </w:pPr>
      <w:r>
        <w:rPr>
          <w:rFonts w:ascii="Times New Roman" w:cs="Times New Roman" w:eastAsia="Times New Roman" w:hAnsi="Times New Roman"/>
          <w:b/>
          <w:bCs/>
          <w:sz w:val="20"/>
          <w:szCs w:val="20"/>
        </w:rPr>
        <w:t xml:space="preserve">36.	</w:t>
      </w:r>
      <w:r>
        <w:rPr>
          <w:rFonts w:ascii="Times New Roman" w:cs="Times New Roman" w:eastAsia="Times New Roman" w:hAnsi="Times New Roman"/>
          <w:sz w:val="20"/>
          <w:szCs w:val="20"/>
        </w:rPr>
        <w:t xml:space="preserve">Bhatt DL, Bhatt DL. Emergence of collective behavior in cancer. Phys Biol. 2012;9(2):026010.</w:t>
      </w:r>
    </w:p>
    <w:p>
      <w:pPr>
        <w:spacing w:after="100"/>
        <w:ind w:left="480" w:hanging="480"/>
      </w:pPr>
      <w:r>
        <w:rPr>
          <w:rFonts w:ascii="Times New Roman" w:cs="Times New Roman" w:eastAsia="Times New Roman" w:hAnsi="Times New Roman"/>
          <w:b/>
          <w:bCs/>
          <w:sz w:val="20"/>
          <w:szCs w:val="20"/>
        </w:rPr>
        <w:t xml:space="preserve">37.	</w:t>
      </w:r>
      <w:r>
        <w:rPr>
          <w:rFonts w:ascii="Times New Roman" w:cs="Times New Roman" w:eastAsia="Times New Roman" w:hAnsi="Times New Roman"/>
          <w:sz w:val="20"/>
          <w:szCs w:val="20"/>
        </w:rPr>
        <w:t xml:space="preserve">Bhatt DL, Topol EJ. The geometry of tissue morphogenesis and its disruption in cancer. Dev Cell. 2011;21(1):11-25.</w:t>
      </w:r>
    </w:p>
    <w:p>
      <w:pPr>
        <w:spacing w:after="100"/>
        <w:ind w:left="480" w:hanging="480"/>
      </w:pPr>
      <w:r>
        <w:rPr>
          <w:rFonts w:ascii="Times New Roman" w:cs="Times New Roman" w:eastAsia="Times New Roman" w:hAnsi="Times New Roman"/>
          <w:b/>
          <w:bCs/>
          <w:sz w:val="20"/>
          <w:szCs w:val="20"/>
        </w:rPr>
        <w:t xml:space="preserve">38.	</w:t>
      </w:r>
      <w:r>
        <w:rPr>
          <w:rFonts w:ascii="Times New Roman" w:cs="Times New Roman" w:eastAsia="Times New Roman" w:hAnsi="Times New Roman"/>
          <w:sz w:val="20"/>
          <w:szCs w:val="20"/>
        </w:rPr>
        <w:t xml:space="preserve">Ingber DE. Mechanical signaling and the cellular response to extracellular matrix in angiogenesis and cardiovascular physiology. Circ Res. 2002;91(10):877-887.</w:t>
      </w:r>
    </w:p>
    <w:p>
      <w:pPr>
        <w:spacing w:after="100"/>
        <w:ind w:left="480" w:hanging="480"/>
      </w:pPr>
      <w:r>
        <w:rPr>
          <w:rFonts w:ascii="Times New Roman" w:cs="Times New Roman" w:eastAsia="Times New Roman" w:hAnsi="Times New Roman"/>
          <w:b/>
          <w:bCs/>
          <w:sz w:val="20"/>
          <w:szCs w:val="20"/>
        </w:rPr>
        <w:t xml:space="preserve">39.	</w:t>
      </w:r>
      <w:r>
        <w:rPr>
          <w:rFonts w:ascii="Times New Roman" w:cs="Times New Roman" w:eastAsia="Times New Roman" w:hAnsi="Times New Roman"/>
          <w:sz w:val="20"/>
          <w:szCs w:val="20"/>
        </w:rPr>
        <w:t xml:space="preserve">Bhatt DL, Bhatt DL. Tensegrity and the geometry of cellular force balance. Nat Cell Biol. 2010;12(8):742-748.</w:t>
      </w:r>
    </w:p>
    <w:p>
      <w:pPr>
        <w:spacing w:after="100"/>
        <w:ind w:left="480" w:hanging="480"/>
      </w:pPr>
      <w:r>
        <w:rPr>
          <w:rFonts w:ascii="Times New Roman" w:cs="Times New Roman" w:eastAsia="Times New Roman" w:hAnsi="Times New Roman"/>
          <w:b/>
          <w:bCs/>
          <w:sz w:val="20"/>
          <w:szCs w:val="20"/>
        </w:rPr>
        <w:t xml:space="preserve">40.	</w:t>
      </w:r>
      <w:r>
        <w:rPr>
          <w:rFonts w:ascii="Times New Roman" w:cs="Times New Roman" w:eastAsia="Times New Roman" w:hAnsi="Times New Roman"/>
          <w:sz w:val="20"/>
          <w:szCs w:val="20"/>
        </w:rPr>
        <w:t xml:space="preserve">Bhatt DL, Topol EJ. From multicellular organisms to cancer: loss of tissue-level constraints and autonomous cell growth. Evol Appl. 2013;6(1):136-152.</w:t>
      </w:r>
    </w:p>
    <w:p>
      <w:pPr>
        <w:spacing w:after="100"/>
        <w:ind w:left="480" w:hanging="480"/>
      </w:pPr>
      <w:r>
        <w:rPr>
          <w:rFonts w:ascii="Times New Roman" w:cs="Times New Roman" w:eastAsia="Times New Roman" w:hAnsi="Times New Roman"/>
          <w:b/>
          <w:bCs/>
          <w:sz w:val="20"/>
          <w:szCs w:val="20"/>
        </w:rPr>
        <w:t xml:space="preserve">41.	</w:t>
      </w:r>
      <w:r>
        <w:rPr>
          <w:rFonts w:ascii="Times New Roman" w:cs="Times New Roman" w:eastAsia="Times New Roman" w:hAnsi="Times New Roman"/>
          <w:sz w:val="20"/>
          <w:szCs w:val="20"/>
        </w:rPr>
        <w:t xml:space="preserve">Dmitrochenko Y. Embryonic-Associated Programs Outside Pregnancy and Cancer: Energetic Window Expansion, Regeneration Pendulum, and Temporal Tissue Loops. [Series Paper 1]; 2024.</w:t>
      </w:r>
    </w:p>
    <w:p>
      <w:pPr>
        <w:spacing w:after="100"/>
        <w:ind w:left="480" w:hanging="480"/>
      </w:pPr>
      <w:r>
        <w:rPr>
          <w:rFonts w:ascii="Times New Roman" w:cs="Times New Roman" w:eastAsia="Times New Roman" w:hAnsi="Times New Roman"/>
          <w:b/>
          <w:bCs/>
          <w:sz w:val="20"/>
          <w:szCs w:val="20"/>
        </w:rPr>
        <w:t xml:space="preserve">42.	</w:t>
      </w:r>
      <w:r>
        <w:rPr>
          <w:rFonts w:ascii="Times New Roman" w:cs="Times New Roman" w:eastAsia="Times New Roman" w:hAnsi="Times New Roman"/>
          <w:sz w:val="20"/>
          <w:szCs w:val="20"/>
        </w:rPr>
        <w:t xml:space="preserve">Dmitrochenko Y. Dual-Flux Energetics and Stochastic Ontogenetic Dynamics: Basal Glycolytic Regime, Energetic Window Modulation, and Bidirectional Cell-State Transitions. [Series Paper 2]; 2024.</w:t>
      </w:r>
    </w:p>
    <w:sectPr>
      <w:headerReference w:type="default" r:id="rId7"/>
      <w:footerReference w:type="default" r:id="rId8"/>
      <w:pgSz w:w="11906" w:h="16838"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BBBBB" w:sz="4" w:space="2"/>
      </w:pBdr>
      <w:jc w:val="right"/>
    </w:pPr>
    <w:r>
      <w:rPr>
        <w:rFonts w:ascii="Arial" w:cs="Arial" w:eastAsia="Arial" w:hAnsi="Arial"/>
        <w:color w:val="555555"/>
        <w:sz w:val="18"/>
        <w:szCs w:val="18"/>
      </w:rPr>
      <w:t xml:space="preserve">Page </w:t>
    </w:r>
    <w:r>
      <w:rPr>
        <w:rFonts w:ascii="Arial" w:cs="Arial" w:eastAsia="Arial" w:hAnsi="Arial"/>
        <w:color w:val="555555"/>
        <w:sz w:val="18"/>
        <w:szCs w:val="18"/>
      </w:rPr>
      <w:fldChar w:fldCharType="begin"/>
      <w:instrText xml:space="preserve">PAGE</w:instrText>
      <w:fldChar w:fldCharType="separate"/>
      <w:fldChar w:fldCharType="end"/>
    </w:r>
    <w:r>
      <w:rPr>
        <w:rFonts w:ascii="Arial" w:cs="Arial" w:eastAsia="Arial" w:hAnsi="Arial"/>
        <w:color w:val="555555"/>
        <w:sz w:val="18"/>
        <w:szCs w:val="18"/>
      </w:rPr>
      <w:t xml:space="preserve"> of </w:t>
    </w:r>
    <w:r>
      <w:rPr>
        <w:rFonts w:ascii="Arial" w:cs="Arial" w:eastAsia="Arial" w:hAnsi="Arial"/>
        <w:color w:val="555555"/>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BBBBB" w:sz="4" w:space="2"/>
      </w:pBdr>
      <w:spacing w:after="120"/>
    </w:pPr>
    <w:r>
      <w:rPr>
        <w:rFonts w:ascii="Arial" w:cs="Arial" w:eastAsia="Arial" w:hAnsi="Arial"/>
        <w:i/>
        <w:iCs/>
        <w:color w:val="555555"/>
        <w:sz w:val="18"/>
        <w:szCs w:val="18"/>
      </w:rPr>
      <w:t xml:space="preserve">Loss of Tissue Integration and 3D-to-2D Transition in Malignancy  |  Series Paper 3</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75B6" w:sz="4" w:space="2"/>
      </w:pBdr>
      <w:spacing w:after="160" w:before="360"/>
      <w:outlineLvl w:val="0"/>
    </w:pPr>
    <w:rPr>
      <w:rFonts w:ascii="Arial" w:cs="Arial" w:eastAsia="Arial" w:hAnsi="Arial"/>
      <w:b/>
      <w:bCs/>
      <w:color w:val="1F3864"/>
      <w:sz w:val="28"/>
      <w:szCs w:val="28"/>
    </w:rPr>
  </w:style>
  <w:style w:type="paragraph" w:styleId="Heading2">
    <w:name w:val="Heading 2"/>
    <w:basedOn w:val="Normal"/>
    <w:next w:val="Normal"/>
    <w:qFormat/>
    <w:pPr>
      <w:spacing w:after="100" w:before="240"/>
      <w:outlineLvl w:val="1"/>
    </w:pPr>
    <w:rPr>
      <w:rFonts w:ascii="Arial" w:cs="Arial" w:eastAsia="Arial" w:hAnsi="Arial"/>
      <w:b/>
      <w:bCs/>
      <w:color w:val="2E75B6"/>
      <w:sz w:val="24"/>
      <w:szCs w:val="24"/>
    </w:rPr>
  </w:style>
  <w:style w:type="paragraph" w:styleId="Heading3">
    <w:name w:val="Heading 3"/>
    <w:basedOn w:val="Normal"/>
    <w:next w:val="Normal"/>
    <w:qFormat/>
    <w:pPr>
      <w:spacing w:after="80" w:before="160"/>
      <w:outlineLvl w:val="2"/>
    </w:pPr>
    <w:rPr>
      <w:rFonts w:ascii="Arial" w:cs="Arial" w:eastAsia="Arial" w:hAnsi="Arial"/>
      <w:b/>
      <w:bCs/>
      <w:i/>
      <w:iCs/>
      <w:color w:val="404040"/>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2026-05-12T07:47:34.869Z</dcterms:created>
  <dcterms:modified xsi:type="dcterms:W3CDTF">2026-05-12T07:47:34.884Z</dcterms:modified>
</cp:coreProperties>
</file>

<file path=docProps/custom.xml><?xml version="1.0" encoding="utf-8"?>
<Properties xmlns="http://schemas.openxmlformats.org/officeDocument/2006/custom-properties" xmlns:vt="http://schemas.openxmlformats.org/officeDocument/2006/docPropsVTypes"/>
</file>