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i/>
          <w:iCs/>
          <w:color w:val="555555"/>
          <w:sz w:val="20"/>
          <w:szCs w:val="20"/>
        </w:rPr>
        <w:t xml:space="preserve">Series: Embryonic Programs in Non-Oncological Tissue States  |  Paper 5 of 5  |  Synthesis</w:t>
      </w:r>
    </w:p>
    <w:p>
      <w:pPr>
        <w:spacing w:after="80"/>
      </w:pPr>
      <w:r>
        <w:rPr>
          <w:rFonts w:ascii="Arial" w:cs="Arial" w:eastAsia="Arial" w:hAnsi="Arial"/>
          <w:i/>
          <w:iCs/>
          <w:color w:val="888888"/>
          <w:sz w:val="18"/>
          <w:szCs w:val="18"/>
        </w:rPr>
        <w:t xml:space="preserve">Preceding papers: Paper 1 — Energetic Window &amp; Regeneration Pendulum; Paper 2 — Dual-Flux Energetics; Paper 3 — 3D-to-2D Transition; Paper 4 — Markov Connectivity &amp; Ontogenetic Decoupling</w:t>
      </w:r>
    </w:p>
    <w:p>
      <w:pPr>
        <w:pBdr>
          <w:bottom w:val="single" w:color="999999" w:sz="4" w:space="1"/>
        </w:pBdr>
        <w:spacing w:after="160" w:before="120"/>
      </w:pPr>
      <w:r>
        <w:rPr>
          <w:rFonts w:ascii="Times New Roman" w:cs="Times New Roman" w:eastAsia="Times New Roman" w:hAnsi="Times New Roman"/>
          <w:sz w:val="24"/>
          <w:szCs w:val="24"/>
        </w:rPr>
        <w:t xml:space="preserve"/>
      </w:r>
    </w:p>
    <w:p>
      <w:pPr>
        <w:spacing w:after="80"/>
        <w:jc w:val="center"/>
      </w:pPr>
      <w:r>
        <w:rPr>
          <w:rFonts w:ascii="Arial" w:cs="Arial" w:eastAsia="Arial" w:hAnsi="Arial"/>
          <w:b/>
          <w:bCs/>
          <w:color w:val="1F3864"/>
          <w:sz w:val="40"/>
          <w:szCs w:val="40"/>
        </w:rPr>
        <w:t xml:space="preserve">The Separated Clone:</w:t>
      </w:r>
    </w:p>
    <w:p>
      <w:pPr>
        <w:spacing w:after="80"/>
        <w:jc w:val="center"/>
      </w:pPr>
      <w:r>
        <w:rPr>
          <w:rFonts w:ascii="Arial" w:cs="Arial" w:eastAsia="Arial" w:hAnsi="Arial"/>
          <w:b/>
          <w:bCs/>
          <w:color w:val="2E75B6"/>
          <w:sz w:val="30"/>
          <w:szCs w:val="30"/>
        </w:rPr>
        <w:t xml:space="preserve">Developmental Fate, Attractor Dynamics,</w:t>
      </w:r>
    </w:p>
    <w:p>
      <w:pPr>
        <w:spacing w:after="200"/>
        <w:jc w:val="center"/>
      </w:pPr>
      <w:r>
        <w:rPr>
          <w:rFonts w:ascii="Arial" w:cs="Arial" w:eastAsia="Arial" w:hAnsi="Arial"/>
          <w:b/>
          <w:bCs/>
          <w:color w:val="2E75B6"/>
          <w:sz w:val="30"/>
          <w:szCs w:val="30"/>
        </w:rPr>
        <w:t xml:space="preserve">and the Gradual Autonomization of a Partially Decoupled Cellular System</w:t>
      </w:r>
    </w:p>
    <w:p>
      <w:pPr>
        <w:spacing w:after="320"/>
        <w:jc w:val="center"/>
      </w:pPr>
      <w:r>
        <w:rPr>
          <w:rFonts w:ascii="Arial" w:cs="Arial" w:eastAsia="Arial" w:hAnsi="Arial"/>
          <w:b/>
          <w:bCs/>
          <w:sz w:val="24"/>
          <w:szCs w:val="24"/>
        </w:rPr>
        <w:t xml:space="preserve">Yuri Dmitrochenko</w:t>
      </w:r>
    </w:p>
    <w:p>
      <w:pPr>
        <w:pBdr>
          <w:top w:val="single" w:color="2E75B6" w:sz="6" w:space="4"/>
          <w:bottom w:val="single" w:color="2E75B6" w:sz="6" w:space="4"/>
          <w:left w:val="single" w:color="2E75B6" w:sz="6" w:space="8"/>
          <w:right w:val="single" w:color="2E75B6" w:sz="6" w:space="8"/>
        </w:pBdr>
        <w:shd w:fill="EBF3FB"/>
        <w:spacing w:after="200" w:before="80"/>
        <w:ind w:left="200" w:right="200"/>
      </w:pPr>
      <w:r>
        <w:rPr>
          <w:rFonts w:ascii="Arial" w:cs="Arial" w:eastAsia="Arial" w:hAnsi="Arial"/>
          <w:b/>
          <w:bCs/>
          <w:sz w:val="20"/>
          <w:szCs w:val="20"/>
        </w:rPr>
        <w:t xml:space="preserve">Series Synthesis.  </w:t>
      </w:r>
      <w:r>
        <w:rPr>
          <w:rFonts w:ascii="Times New Roman" w:cs="Times New Roman" w:eastAsia="Times New Roman" w:hAnsi="Times New Roman"/>
          <w:sz w:val="20"/>
          <w:szCs w:val="20"/>
        </w:rPr>
        <w:t xml:space="preserve">This paper is the fifth and concluding paper of the series "Embryonic Programs in Non-Oncological Tissue States". Paper 1 established the empirical foundation: embryonic-associated programs are reactivated in non-malignant contexts through energetic-window dynamics, the Regeneration Pendulum, and Temporal Tissue Loops. Paper 2 provided the mechanistic substrate: the dual-flux architecture (OFF/BGR) governs energetic-window width and cell-state transition probabilities. Paper 3 described the morphodynamic consequence: constitutive BGR stabilization generates progressive 3D-to-2D architectural dissolution. Paper 4 formalized the topological dimension: loss of intermediate ontogenetic states ruptures local Markov connectivity and generates structural decoupling of the clone from tissue. </w:t>
      </w:r>
      <w:r>
        <w:rPr>
          <w:rFonts w:ascii="Times New Roman" w:cs="Times New Roman" w:eastAsia="Times New Roman" w:hAnsi="Times New Roman"/>
          <w:b/>
          <w:bCs/>
          <w:sz w:val="20"/>
          <w:szCs w:val="20"/>
        </w:rPr>
        <w:t xml:space="preserve">The present paper synthesizes these perspectives </w:t>
      </w:r>
      <w:r>
        <w:rPr>
          <w:rFonts w:ascii="Times New Roman" w:cs="Times New Roman" w:eastAsia="Times New Roman" w:hAnsi="Times New Roman"/>
          <w:sz w:val="20"/>
          <w:szCs w:val="20"/>
        </w:rPr>
        <w:t xml:space="preserve">into a unified dynamical model of clone fate. Once topological decoupling has occurred (Paper 4), what determines whether the clone is eliminated, persists in limited form, achieves partial autonomy, or undergoes full morphodynamic autonomization? The answer, developed here, is the interaction of five determinants — energetic compatibility (E), immunological interaction (I), morphophysiological context (M), clone activity (A), and historical temporal trajectory (H) — that together place the separated clone within a landscape of four possible developmental attractors. The series thereby provides a complete conceptual account of the continuum from normal tissue through regeneration, chronic inflammation, dysplasia, benign proliferation, and malignancy as a single unified dynamical framework.</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Abstract</w:t>
      </w:r>
    </w:p>
    <w:p>
      <w:pPr>
        <w:spacing w:after="180" w:line="276" w:lineRule="auto"/>
        <w:jc w:val="both"/>
      </w:pPr>
      <w:r>
        <w:rPr>
          <w:rFonts w:ascii="Times New Roman" w:cs="Times New Roman" w:eastAsia="Times New Roman" w:hAnsi="Times New Roman"/>
          <w:sz w:val="24"/>
          <w:szCs w:val="24"/>
        </w:rPr>
        <w:t xml:space="preserve">Classical models of oncogenesis describe malignancy as the endpoint of accumulated genetic alterations leading to uncontrolled proliferation. While this model captures important molecular mechanisms, it poorly describes the broad spectrum of intermediate states — dysplasia, chronic inflammatory foci, endometriosis, benign tumors, carcinoma in situ — that exist between normal tissue and full malignancy, and it provides limited conceptual tools for predicting which intermediate states will progress and which will remain stable. </w:t>
      </w:r>
      <w:r>
        <w:rPr>
          <w:rFonts w:ascii="Times New Roman" w:cs="Times New Roman" w:eastAsia="Times New Roman" w:hAnsi="Times New Roman"/>
          <w:sz w:val="18"/>
          <w:szCs w:val="18"/>
          <w:vertAlign w:val="superscript"/>
        </w:rPr>
        <w:t xml:space="preserve">[4,5,3]</w:t>
      </w:r>
    </w:p>
    <w:p>
      <w:pPr>
        <w:spacing w:after="180" w:line="276" w:lineRule="auto"/>
        <w:jc w:val="both"/>
      </w:pPr>
      <w:r>
        <w:rPr>
          <w:rFonts w:ascii="Times New Roman" w:cs="Times New Roman" w:eastAsia="Times New Roman" w:hAnsi="Times New Roman"/>
          <w:sz w:val="24"/>
          <w:szCs w:val="24"/>
        </w:rPr>
        <w:t xml:space="preserve">The present paper, the concluding synthesis of a five-paper series, proposes a dynamical model of </w:t>
      </w:r>
      <w:r>
        <w:rPr>
          <w:rFonts w:ascii="Times New Roman" w:cs="Times New Roman" w:eastAsia="Times New Roman" w:hAnsi="Times New Roman"/>
          <w:b/>
          <w:bCs/>
          <w:sz w:val="24"/>
          <w:szCs w:val="24"/>
        </w:rPr>
        <w:t xml:space="preserve">separated clone fate</w:t>
      </w:r>
      <w:r>
        <w:rPr>
          <w:rFonts w:ascii="Times New Roman" w:cs="Times New Roman" w:eastAsia="Times New Roman" w:hAnsi="Times New Roman"/>
          <w:sz w:val="24"/>
          <w:szCs w:val="24"/>
        </w:rPr>
        <w:t xml:space="preserve">: what determines the developmental trajectory of a cellular clone that has undergone ontogenetic structural decoupling (Paper 4), sustained constitutive Basal Glycolytic Regime dominance (Paper 2), and initiated the 3D-to-2D morphodynamic transition (Paper 3)?</w:t>
      </w:r>
    </w:p>
    <w:p>
      <w:pPr>
        <w:spacing w:after="180" w:line="276" w:lineRule="auto"/>
        <w:jc w:val="both"/>
      </w:pPr>
      <w:r>
        <w:rPr>
          <w:rFonts w:ascii="Times New Roman" w:cs="Times New Roman" w:eastAsia="Times New Roman" w:hAnsi="Times New Roman"/>
          <w:sz w:val="24"/>
          <w:szCs w:val="24"/>
        </w:rPr>
        <w:t xml:space="preserve">We propose that clone fate is governed by the interaction of five determinants formalized in a clone fate function:</w:t>
      </w:r>
    </w:p>
    <w:p>
      <w:pPr>
        <w:pBdr>
          <w:top w:val="single" w:color="CCCCCC" w:sz="4" w:space="2"/>
          <w:bottom w:val="single" w:color="CCCCCC" w:sz="4" w:space="2"/>
          <w:left w:val="thick" w:color="2E75B6" w:sz="14" w:space="6"/>
        </w:pBdr>
        <w:shd w:fill="F4F8FE"/>
        <w:spacing w:after="120" w:before="120"/>
        <w:ind w:left="480" w:right="480"/>
      </w:pPr>
      <w:r>
        <w:rPr>
          <w:rFonts w:ascii="Courier New" w:cs="Courier New" w:eastAsia="Courier New" w:hAnsi="Courier New"/>
          <w:i/>
          <w:iCs/>
          <w:sz w:val="22"/>
          <w:szCs w:val="22"/>
        </w:rPr>
        <w:t xml:space="preserve">F_clone = f( E, I, M, A, H )</w:t>
      </w:r>
      <w:r>
        <w:rPr>
          <w:rFonts w:ascii="Arial" w:cs="Arial" w:eastAsia="Arial" w:hAnsi="Arial"/>
          <w:color w:val="666666"/>
          <w:sz w:val="20"/>
          <w:szCs w:val="20"/>
        </w:rPr>
        <w:t xml:space="preserve">   …(Abstract)</w:t>
      </w:r>
    </w:p>
    <w:p>
      <w:pPr>
        <w:spacing w:after="180" w:line="276" w:lineRule="auto"/>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b/>
          <w:bCs/>
          <w:sz w:val="24"/>
          <w:szCs w:val="24"/>
        </w:rPr>
        <w:t xml:space="preserve">E</w:t>
      </w:r>
      <w:r>
        <w:rPr>
          <w:rFonts w:ascii="Times New Roman" w:cs="Times New Roman" w:eastAsia="Times New Roman" w:hAnsi="Times New Roman"/>
          <w:sz w:val="24"/>
          <w:szCs w:val="24"/>
        </w:rPr>
        <w:t xml:space="preserve"> is energetic compatibility, </w:t>
      </w:r>
      <w:r>
        <w:rPr>
          <w:rFonts w:ascii="Times New Roman" w:cs="Times New Roman" w:eastAsia="Times New Roman" w:hAnsi="Times New Roman"/>
          <w:b/>
          <w:bCs/>
          <w:sz w:val="24"/>
          <w:szCs w:val="24"/>
        </w:rPr>
        <w:t xml:space="preserve">I</w:t>
      </w:r>
      <w:r>
        <w:rPr>
          <w:rFonts w:ascii="Times New Roman" w:cs="Times New Roman" w:eastAsia="Times New Roman" w:hAnsi="Times New Roman"/>
          <w:sz w:val="24"/>
          <w:szCs w:val="24"/>
        </w:rPr>
        <w:t xml:space="preserve"> is immunological interaction, </w:t>
      </w:r>
      <w:r>
        <w:rPr>
          <w:rFonts w:ascii="Times New Roman" w:cs="Times New Roman" w:eastAsia="Times New Roman" w:hAnsi="Times New Roman"/>
          <w:b/>
          <w:bCs/>
          <w:sz w:val="24"/>
          <w:szCs w:val="24"/>
        </w:rPr>
        <w:t xml:space="preserve">M</w:t>
      </w:r>
      <w:r>
        <w:rPr>
          <w:rFonts w:ascii="Times New Roman" w:cs="Times New Roman" w:eastAsia="Times New Roman" w:hAnsi="Times New Roman"/>
          <w:sz w:val="24"/>
          <w:szCs w:val="24"/>
        </w:rPr>
        <w:t xml:space="preserve"> is morphophysiological tissue context, </w:t>
      </w:r>
      <w:r>
        <w:rPr>
          <w:rFonts w:ascii="Times New Roman" w:cs="Times New Roman" w:eastAsia="Times New Roman" w:hAnsi="Times New Roman"/>
          <w:b/>
          <w:bCs/>
          <w:sz w:val="24"/>
          <w:szCs w:val="24"/>
        </w:rPr>
        <w:t xml:space="preserve">A</w:t>
      </w:r>
      <w:r>
        <w:rPr>
          <w:rFonts w:ascii="Times New Roman" w:cs="Times New Roman" w:eastAsia="Times New Roman" w:hAnsi="Times New Roman"/>
          <w:sz w:val="24"/>
          <w:szCs w:val="24"/>
        </w:rPr>
        <w:t xml:space="preserve"> is intrinsic clone cellular activity, and </w:t>
      </w:r>
      <w:r>
        <w:rPr>
          <w:rFonts w:ascii="Times New Roman" w:cs="Times New Roman" w:eastAsia="Times New Roman" w:hAnsi="Times New Roman"/>
          <w:b/>
          <w:bCs/>
          <w:sz w:val="24"/>
          <w:szCs w:val="24"/>
        </w:rPr>
        <w:t xml:space="preserve">H</w:t>
      </w:r>
      <w:r>
        <w:rPr>
          <w:rFonts w:ascii="Times New Roman" w:cs="Times New Roman" w:eastAsia="Times New Roman" w:hAnsi="Times New Roman"/>
          <w:sz w:val="24"/>
          <w:szCs w:val="24"/>
        </w:rPr>
        <w:t xml:space="preserve"> is the historical temporal trajectory of the system. The interaction of these determinants places the separated clone within one of four </w:t>
      </w:r>
      <w:r>
        <w:rPr>
          <w:rFonts w:ascii="Times New Roman" w:cs="Times New Roman" w:eastAsia="Times New Roman" w:hAnsi="Times New Roman"/>
          <w:b/>
          <w:bCs/>
          <w:sz w:val="24"/>
          <w:szCs w:val="24"/>
        </w:rPr>
        <w:t xml:space="preserve">developmental attractor states</w:t>
      </w:r>
      <w:r>
        <w:rPr>
          <w:rFonts w:ascii="Times New Roman" w:cs="Times New Roman" w:eastAsia="Times New Roman" w:hAnsi="Times New Roman"/>
          <w:sz w:val="24"/>
          <w:szCs w:val="24"/>
        </w:rPr>
        <w:t xml:space="preserve">: (1) elimination; (2) limited persistence; (3) partial autonomy; and (4) full morphodynamic autonomy.</w:t>
      </w:r>
    </w:p>
    <w:p>
      <w:pPr>
        <w:spacing w:after="180" w:line="276" w:lineRule="auto"/>
        <w:jc w:val="both"/>
      </w:pPr>
      <w:r>
        <w:rPr>
          <w:rFonts w:ascii="Times New Roman" w:cs="Times New Roman" w:eastAsia="Times New Roman" w:hAnsi="Times New Roman"/>
          <w:sz w:val="24"/>
          <w:szCs w:val="24"/>
        </w:rPr>
        <w:t xml:space="preserve">Three modes of clone–tissue interaction are characterized — synchronization, blocking, and active remodeling — and the positive feedback loop between clone activity and energetic-window expansion is formalized. The historical dependence of clone fate is identified as a key conceptual contribution: two morphologically identical clones with different developmental trajectories may occupy different attractor states, explaining why lesions of apparently identical histological grade follow divergent clinical courses.</w:t>
      </w:r>
    </w:p>
    <w:p>
      <w:pPr>
        <w:spacing w:after="180" w:line="276" w:lineRule="auto"/>
        <w:jc w:val="both"/>
      </w:pPr>
      <w:r>
        <w:rPr>
          <w:rFonts w:ascii="Times New Roman" w:cs="Times New Roman" w:eastAsia="Times New Roman" w:hAnsi="Times New Roman"/>
          <w:sz w:val="24"/>
          <w:szCs w:val="24"/>
        </w:rPr>
        <w:t xml:space="preserve">The model integrates regeneration, chronic inflammation, benign proliferation, dysplasia, and malignancy as different dynamical regimes within a single unified state space, providing a conceptual framework for understanding intermediate pathological states that resist classification within purely genetic or proliferative models. </w:t>
      </w:r>
      <w:r>
        <w:rPr>
          <w:rFonts w:ascii="Times New Roman" w:cs="Times New Roman" w:eastAsia="Times New Roman" w:hAnsi="Times New Roman"/>
          <w:sz w:val="18"/>
          <w:szCs w:val="18"/>
          <w:vertAlign w:val="superscript"/>
        </w:rPr>
        <w:t xml:space="preserve">[17,18,41,42,43,44]</w:t>
      </w:r>
    </w:p>
    <w:p>
      <w:pPr>
        <w:spacing w:after="60"/>
      </w:pPr>
      <w:r>
        <w:rPr>
          <w:rFonts w:ascii="Times New Roman" w:cs="Times New Roman" w:eastAsia="Times New Roman" w:hAnsi="Times New Roman"/>
          <w:sz w:val="24"/>
          <w:szCs w:val="24"/>
        </w:rPr>
        <w:t xml:space="preserve"/>
      </w:r>
    </w:p>
    <w:p>
      <w:pPr>
        <w:spacing w:after="180" w:line="276" w:lineRule="auto"/>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separated clone; clone fate; attractor dynamics; developmental autonomization; energetic compatibility; immunological interaction; morphophysiological context; clone activity; historical trajectory; partial autonomy; morphodynamic synchronization; tumor dormancy</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1. Introduction</w:t>
      </w:r>
    </w:p>
    <w:p>
      <w:pPr>
        <w:pStyle w:val="Heading2"/>
        <w:spacing w:after="100" w:before="240"/>
      </w:pPr>
      <w:r>
        <w:rPr>
          <w:rFonts w:ascii="Arial" w:cs="Arial" w:eastAsia="Arial" w:hAnsi="Arial"/>
          <w:b/>
          <w:bCs/>
          <w:color w:val="2E75B6"/>
          <w:sz w:val="24"/>
          <w:szCs w:val="24"/>
        </w:rPr>
        <w:t xml:space="preserve">1.1 The Problem of Intermediate States</w:t>
      </w:r>
    </w:p>
    <w:p>
      <w:pPr>
        <w:spacing w:after="180" w:line="276" w:lineRule="auto"/>
        <w:jc w:val="both"/>
      </w:pPr>
      <w:r>
        <w:rPr>
          <w:rFonts w:ascii="Times New Roman" w:cs="Times New Roman" w:eastAsia="Times New Roman" w:hAnsi="Times New Roman"/>
          <w:sz w:val="24"/>
          <w:szCs w:val="24"/>
        </w:rPr>
        <w:t xml:space="preserve">Between normal tissue and fully malignant tumor lies a clinically and conceptually difficult territory: a continuum of intermediate states that neither fit the category of normal tissue nor conform to classical definitions of malignancy. Chronic inflammatory foci may persist for decades without malignant transformation. Endometriosis maintains invasive and proliferative activity while remaining locally constrained in most patients. Stable dysplasias may regress spontaneously or remain quiescent under conditions that are not yet understood. Benign tumors grow autonomously but do not invade or metastasize. Carcinoma in situ exists as a fully decoupled clone that has not yet achieved invasive capacity. </w:t>
      </w:r>
      <w:r>
        <w:rPr>
          <w:rFonts w:ascii="Times New Roman" w:cs="Times New Roman" w:eastAsia="Times New Roman" w:hAnsi="Times New Roman"/>
          <w:sz w:val="18"/>
          <w:szCs w:val="18"/>
          <w:vertAlign w:val="superscript"/>
        </w:rPr>
        <w:t xml:space="preserve">[4,5,17]</w:t>
      </w:r>
    </w:p>
    <w:p>
      <w:pPr>
        <w:spacing w:after="180" w:line="276" w:lineRule="auto"/>
        <w:jc w:val="both"/>
      </w:pPr>
      <w:r>
        <w:rPr>
          <w:rFonts w:ascii="Times New Roman" w:cs="Times New Roman" w:eastAsia="Times New Roman" w:hAnsi="Times New Roman"/>
          <w:sz w:val="24"/>
          <w:szCs w:val="24"/>
        </w:rPr>
        <w:t xml:space="preserve">Existing models handle these intermediate states poorly. Genetic progression models predict either eventual malignant transformation or regression to normal, but cannot readily account for the stable persistence of intermediate states over years or decades. Hallmarks-based frameworks identify the capabilities of established tumors but do not provide a mechanistic account of how intermediate states acquire or fail to acquire those capabilities. </w:t>
      </w:r>
      <w:r>
        <w:rPr>
          <w:rFonts w:ascii="Times New Roman" w:cs="Times New Roman" w:eastAsia="Times New Roman" w:hAnsi="Times New Roman"/>
          <w:sz w:val="18"/>
          <w:szCs w:val="18"/>
          <w:vertAlign w:val="superscript"/>
        </w:rPr>
        <w:t xml:space="preserve">[4,3]</w:t>
      </w:r>
    </w:p>
    <w:p>
      <w:pPr>
        <w:spacing w:after="180" w:line="276" w:lineRule="auto"/>
        <w:jc w:val="both"/>
      </w:pPr>
      <w:r>
        <w:rPr>
          <w:rFonts w:ascii="Times New Roman" w:cs="Times New Roman" w:eastAsia="Times New Roman" w:hAnsi="Times New Roman"/>
          <w:sz w:val="24"/>
          <w:szCs w:val="24"/>
        </w:rPr>
        <w:t xml:space="preserve">The series developed across Papers 1–4 provides the conceptual tools to address this problem. Paper 1 documented that embryonic program reactivation occurs across diverse non-malignant contexts governed by energetic-window dynamics. Paper 2 showed that the OFF/BGR balance determines cell-state transition probabilities and identified constitutive BGR stabilization as the oncogenic bifurcation. Paper 3 described the 3D-to-2D morphodynamic consequence of that bifurcation. Paper 4 formalized ontogenetic structural decoupling as a topological rupture of local Markov connectivity. </w:t>
      </w:r>
      <w:r>
        <w:rPr>
          <w:rFonts w:ascii="Times New Roman" w:cs="Times New Roman" w:eastAsia="Times New Roman" w:hAnsi="Times New Roman"/>
          <w:sz w:val="18"/>
          <w:szCs w:val="18"/>
          <w:vertAlign w:val="superscript"/>
        </w:rPr>
        <w:t xml:space="preserve">[41,42,43,44]</w:t>
      </w:r>
    </w:p>
    <w:p>
      <w:pPr>
        <w:spacing w:after="180" w:line="276" w:lineRule="auto"/>
        <w:jc w:val="both"/>
      </w:pPr>
      <w:r>
        <w:rPr>
          <w:rFonts w:ascii="Times New Roman" w:cs="Times New Roman" w:eastAsia="Times New Roman" w:hAnsi="Times New Roman"/>
          <w:sz w:val="24"/>
          <w:szCs w:val="24"/>
        </w:rPr>
        <w:t xml:space="preserve">The present paper asks the next question: once a clone has undergone ontogenetic structural decoupling, what determines its subsequent fate? What distinguishes a clone that will be eliminated from one that will persist indefinitely in a quiescent state, from one that will achieve partial local autonomy, from one that will undergo full morphodynamic autonomization and become a malignant tumor?</w:t>
      </w:r>
    </w:p>
    <w:p>
      <w:pPr>
        <w:pStyle w:val="Heading2"/>
        <w:spacing w:after="100" w:before="240"/>
      </w:pPr>
      <w:r>
        <w:rPr>
          <w:rFonts w:ascii="Arial" w:cs="Arial" w:eastAsia="Arial" w:hAnsi="Arial"/>
          <w:b/>
          <w:bCs/>
          <w:color w:val="2E75B6"/>
          <w:sz w:val="24"/>
          <w:szCs w:val="24"/>
        </w:rPr>
        <w:t xml:space="preserve">1.2 The Separated Clone as a Dynamical System</w:t>
      </w:r>
    </w:p>
    <w:p>
      <w:pPr>
        <w:spacing w:after="180" w:line="276" w:lineRule="auto"/>
        <w:jc w:val="both"/>
      </w:pPr>
      <w:r>
        <w:rPr>
          <w:rFonts w:ascii="Times New Roman" w:cs="Times New Roman" w:eastAsia="Times New Roman" w:hAnsi="Times New Roman"/>
          <w:sz w:val="24"/>
          <w:szCs w:val="24"/>
        </w:rPr>
        <w:t xml:space="preserve">We propose that the separated clone — a cellular population that has lost local Markov connectivity with its tissue context — should be understood not as a static pathological entity but as a </w:t>
      </w:r>
      <w:r>
        <w:rPr>
          <w:rFonts w:ascii="Times New Roman" w:cs="Times New Roman" w:eastAsia="Times New Roman" w:hAnsi="Times New Roman"/>
          <w:b/>
          <w:bCs/>
          <w:sz w:val="24"/>
          <w:szCs w:val="24"/>
        </w:rPr>
        <w:t xml:space="preserve">partially autonomous dynamical system</w:t>
      </w:r>
      <w:r>
        <w:rPr>
          <w:rFonts w:ascii="Times New Roman" w:cs="Times New Roman" w:eastAsia="Times New Roman" w:hAnsi="Times New Roman"/>
          <w:sz w:val="24"/>
          <w:szCs w:val="24"/>
        </w:rPr>
        <w:t xml:space="preserve"> whose further development is governed by its ongoing interactions with the organism. The clone is neither fully integrated (it has lost continuous ontogenetic connectivity) nor fully autonomous (it still depends on the organism for vasculature, substrates, and structural support). It exists in a dynamic intermediate regime whose resolution into one of several possible attractor states depends on a specific set of determinants. </w:t>
      </w:r>
      <w:r>
        <w:rPr>
          <w:rFonts w:ascii="Times New Roman" w:cs="Times New Roman" w:eastAsia="Times New Roman" w:hAnsi="Times New Roman"/>
          <w:sz w:val="18"/>
          <w:szCs w:val="18"/>
          <w:vertAlign w:val="superscript"/>
        </w:rPr>
        <w:t xml:space="preserve">[15,16,22]</w:t>
      </w:r>
    </w:p>
    <w:p>
      <w:pPr>
        <w:spacing w:after="180" w:line="276" w:lineRule="auto"/>
        <w:jc w:val="both"/>
      </w:pPr>
      <w:r>
        <w:rPr>
          <w:rFonts w:ascii="Times New Roman" w:cs="Times New Roman" w:eastAsia="Times New Roman" w:hAnsi="Times New Roman"/>
          <w:sz w:val="24"/>
          <w:szCs w:val="24"/>
        </w:rPr>
        <w:t xml:space="preserve">This perspective is related to, but distinct from, ecological models of cancer, which treat the tumor as an ecosystem and its cells as populations subject to selection pressure. </w:t>
      </w:r>
      <w:r>
        <w:rPr>
          <w:rFonts w:ascii="Times New Roman" w:cs="Times New Roman" w:eastAsia="Times New Roman" w:hAnsi="Times New Roman"/>
          <w:sz w:val="18"/>
          <w:szCs w:val="18"/>
          <w:vertAlign w:val="superscript"/>
        </w:rPr>
        <w:t xml:space="preserve">[13]</w:t>
      </w:r>
      <w:r>
        <w:rPr>
          <w:rFonts w:ascii="Times New Roman" w:cs="Times New Roman" w:eastAsia="Times New Roman" w:hAnsi="Times New Roman"/>
          <w:sz w:val="24"/>
          <w:szCs w:val="24"/>
        </w:rPr>
        <w:t xml:space="preserve"> The present framework is explicitly developmental rather than ecological: the clone is not a randomly evolving population but a </w:t>
      </w:r>
      <w:r>
        <w:rPr>
          <w:rFonts w:ascii="Times New Roman" w:cs="Times New Roman" w:eastAsia="Times New Roman" w:hAnsi="Times New Roman"/>
          <w:i/>
          <w:iCs/>
          <w:sz w:val="24"/>
          <w:szCs w:val="24"/>
        </w:rPr>
        <w:t xml:space="preserve">displaced developmental system</w:t>
      </w:r>
      <w:r>
        <w:rPr>
          <w:rFonts w:ascii="Times New Roman" w:cs="Times New Roman" w:eastAsia="Times New Roman" w:hAnsi="Times New Roman"/>
          <w:sz w:val="24"/>
          <w:szCs w:val="24"/>
        </w:rPr>
        <w:t xml:space="preserve"> whose behavior is shaped by its ontogenetic position, its relationship to the surrounding tissue state space, and the historical path by which it reached its current configuration.</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2. The Clone Fate Function: F_clone = f(E, I, M, A, H)</w:t>
      </w:r>
    </w:p>
    <w:p>
      <w:pPr>
        <w:pStyle w:val="Heading2"/>
        <w:spacing w:after="100" w:before="240"/>
      </w:pPr>
      <w:r>
        <w:rPr>
          <w:rFonts w:ascii="Arial" w:cs="Arial" w:eastAsia="Arial" w:hAnsi="Arial"/>
          <w:b/>
          <w:bCs/>
          <w:color w:val="2E75B6"/>
          <w:sz w:val="24"/>
          <w:szCs w:val="24"/>
        </w:rPr>
        <w:t xml:space="preserve">2.1 Overview</w:t>
      </w:r>
    </w:p>
    <w:p>
      <w:pPr>
        <w:spacing w:after="180" w:line="276" w:lineRule="auto"/>
        <w:jc w:val="both"/>
      </w:pPr>
      <w:r>
        <w:rPr>
          <w:rFonts w:ascii="Times New Roman" w:cs="Times New Roman" w:eastAsia="Times New Roman" w:hAnsi="Times New Roman"/>
          <w:sz w:val="24"/>
          <w:szCs w:val="24"/>
        </w:rPr>
        <w:t xml:space="preserve">We propose that the developmental fate of a separated clone is determined by the interaction of five fundamental determinants. Each determinant is not a fixed parameter but a </w:t>
      </w:r>
      <w:r>
        <w:rPr>
          <w:rFonts w:ascii="Times New Roman" w:cs="Times New Roman" w:eastAsia="Times New Roman" w:hAnsi="Times New Roman"/>
          <w:i/>
          <w:iCs/>
          <w:sz w:val="24"/>
          <w:szCs w:val="24"/>
        </w:rPr>
        <w:t xml:space="preserve">dynamic variable</w:t>
      </w:r>
      <w:r>
        <w:rPr>
          <w:rFonts w:ascii="Times New Roman" w:cs="Times New Roman" w:eastAsia="Times New Roman" w:hAnsi="Times New Roman"/>
          <w:sz w:val="24"/>
          <w:szCs w:val="24"/>
        </w:rPr>
        <w:t xml:space="preserve"> that changes over time as the clone and its tissue environment co-evolve. The fate function is therefore a trajectory through a five-dimensional parameter space rather than a fixed-point evaluation:</w:t>
      </w:r>
    </w:p>
    <w:p>
      <w:pPr>
        <w:pBdr>
          <w:top w:val="single" w:color="CCCCCC" w:sz="4" w:space="2"/>
          <w:bottom w:val="single" w:color="CCCCCC" w:sz="4" w:space="2"/>
          <w:left w:val="thick" w:color="2E75B6" w:sz="14" w:space="6"/>
        </w:pBdr>
        <w:shd w:fill="F4F8FE"/>
        <w:spacing w:after="120" w:before="120"/>
        <w:ind w:left="480" w:right="480"/>
      </w:pPr>
      <w:r>
        <w:rPr>
          <w:rFonts w:ascii="Courier New" w:cs="Courier New" w:eastAsia="Courier New" w:hAnsi="Courier New"/>
          <w:i/>
          <w:iCs/>
          <w:sz w:val="22"/>
          <w:szCs w:val="22"/>
        </w:rPr>
        <w:t xml:space="preserve">F_clone(t) = f( E(t), I(t), M(t), A(t), H[0→t] )</w:t>
      </w:r>
      <w:r>
        <w:rPr>
          <w:rFonts w:ascii="Arial" w:cs="Arial" w:eastAsia="Arial" w:hAnsi="Arial"/>
          <w:color w:val="666666"/>
          <w:sz w:val="20"/>
          <w:szCs w:val="20"/>
        </w:rPr>
        <w:t xml:space="preserve">   …(2.1)</w:t>
      </w:r>
    </w:p>
    <w:p>
      <w:pPr>
        <w:spacing w:after="180" w:line="276" w:lineRule="auto"/>
        <w:jc w:val="both"/>
      </w:pPr>
      <w:r>
        <w:rPr>
          <w:rFonts w:ascii="Times New Roman" w:cs="Times New Roman" w:eastAsia="Times New Roman" w:hAnsi="Times New Roman"/>
          <w:sz w:val="24"/>
          <w:szCs w:val="24"/>
        </w:rPr>
        <w:t xml:space="preserve">The explicit time-dependence of all variables, and the path-integral dependence on H, reflects the central insight of this framework: </w:t>
      </w:r>
      <w:r>
        <w:rPr>
          <w:rFonts w:ascii="Times New Roman" w:cs="Times New Roman" w:eastAsia="Times New Roman" w:hAnsi="Times New Roman"/>
          <w:b/>
          <w:bCs/>
          <w:sz w:val="24"/>
          <w:szCs w:val="24"/>
        </w:rPr>
        <w:t xml:space="preserve">clone fate is historically contingent</w:t>
      </w:r>
      <w:r>
        <w:rPr>
          <w:rFonts w:ascii="Times New Roman" w:cs="Times New Roman" w:eastAsia="Times New Roman" w:hAnsi="Times New Roman"/>
          <w:sz w:val="24"/>
          <w:szCs w:val="24"/>
        </w:rPr>
        <w:t xml:space="preserve">. Two clones with identical current parameter values may be on divergent trajectories if they arrived at those values through different histories. The attractor toward which the system converges depends not only on where it currently is but on the momentum of its trajectory through the five-dimensional parameter space.</w:t>
      </w:r>
    </w:p>
    <w:p>
      <w:pPr>
        <w:pStyle w:val="Heading2"/>
        <w:spacing w:after="100" w:before="240"/>
      </w:pPr>
      <w:r>
        <w:rPr>
          <w:rFonts w:ascii="Arial" w:cs="Arial" w:eastAsia="Arial" w:hAnsi="Arial"/>
          <w:b/>
          <w:bCs/>
          <w:color w:val="2E75B6"/>
          <w:sz w:val="24"/>
          <w:szCs w:val="24"/>
        </w:rPr>
        <w:t xml:space="preserve">2.2 E — Energetic Compatibility</w:t>
      </w:r>
    </w:p>
    <w:p>
      <w:pPr>
        <w:spacing w:after="180" w:line="276" w:lineRule="auto"/>
        <w:jc w:val="both"/>
      </w:pPr>
      <w:r>
        <w:rPr>
          <w:rFonts w:ascii="Times New Roman" w:cs="Times New Roman" w:eastAsia="Times New Roman" w:hAnsi="Times New Roman"/>
          <w:sz w:val="24"/>
          <w:szCs w:val="24"/>
        </w:rPr>
        <w:t xml:space="preserve">Energetic compatibility represents the degree to which the tissue environment can sustain the metabolic requirements of the separated clone. Within the dual-flux framework of Paper 2, clone expansion requires sustained </w:t>
      </w:r>
      <w:r>
        <w:rPr>
          <w:rFonts w:ascii="Times New Roman" w:cs="Times New Roman" w:eastAsia="Times New Roman" w:hAnsi="Times New Roman"/>
          <w:b/>
          <w:bCs/>
          <w:sz w:val="24"/>
          <w:szCs w:val="24"/>
        </w:rPr>
        <w:t xml:space="preserve">Basal Glycolytic Regime dominance</w:t>
      </w:r>
      <w:r>
        <w:rPr>
          <w:rFonts w:ascii="Times New Roman" w:cs="Times New Roman" w:eastAsia="Times New Roman" w:hAnsi="Times New Roman"/>
          <w:sz w:val="24"/>
          <w:szCs w:val="24"/>
        </w:rPr>
        <w:t xml:space="preserve"> — elevated glycolytic flux providing biosynthetic precursors, acetyl-CoA for epigenetic maintenance of the expanded energetic window, and reduced ROS burden preserving developmental chromatin configurations. </w:t>
      </w:r>
      <w:r>
        <w:rPr>
          <w:rFonts w:ascii="Times New Roman" w:cs="Times New Roman" w:eastAsia="Times New Roman" w:hAnsi="Times New Roman"/>
          <w:sz w:val="18"/>
          <w:szCs w:val="18"/>
          <w:vertAlign w:val="superscript"/>
        </w:rPr>
        <w:t xml:space="preserve">[42,6,27,28]</w:t>
      </w:r>
    </w:p>
    <w:p>
      <w:pPr>
        <w:spacing w:after="180" w:line="276" w:lineRule="auto"/>
        <w:jc w:val="both"/>
      </w:pPr>
      <w:r>
        <w:rPr>
          <w:rFonts w:ascii="Times New Roman" w:cs="Times New Roman" w:eastAsia="Times New Roman" w:hAnsi="Times New Roman"/>
          <w:sz w:val="24"/>
          <w:szCs w:val="24"/>
        </w:rPr>
        <w:t xml:space="preserve">Energetic compatibility is not simply a function of current glucose and oxygen availability. It encompasses:</w:t>
      </w:r>
    </w:p>
    <w:p>
      <w:pPr>
        <w:pStyle w:val="ListParagraph"/>
        <w:numPr>
          <w:ilvl w:val="0"/>
          <w:numId w:val="2"/>
        </w:numPr>
        <w:spacing w:after="100"/>
      </w:pPr>
      <w:r>
        <w:rPr>
          <w:rFonts w:ascii="Times New Roman" w:cs="Times New Roman" w:eastAsia="Times New Roman" w:hAnsi="Times New Roman"/>
          <w:b/>
          <w:bCs/>
          <w:sz w:val="24"/>
          <w:szCs w:val="24"/>
        </w:rPr>
        <w:t xml:space="preserve">Vascular access: </w:t>
      </w:r>
      <w:r>
        <w:rPr>
          <w:rFonts w:ascii="Times New Roman" w:cs="Times New Roman" w:eastAsia="Times New Roman" w:hAnsi="Times New Roman"/>
          <w:sz w:val="24"/>
          <w:szCs w:val="24"/>
        </w:rPr>
        <w:t xml:space="preserve">the density and permeability of local vasculature determines substrate delivery rate and thus the sustainable rate of BGR-dominant metabolism within the clone.</w:t>
      </w:r>
    </w:p>
    <w:p>
      <w:pPr>
        <w:pStyle w:val="ListParagraph"/>
        <w:numPr>
          <w:ilvl w:val="0"/>
          <w:numId w:val="2"/>
        </w:numPr>
        <w:spacing w:after="100"/>
      </w:pPr>
      <w:r>
        <w:rPr>
          <w:rFonts w:ascii="Times New Roman" w:cs="Times New Roman" w:eastAsia="Times New Roman" w:hAnsi="Times New Roman"/>
          <w:b/>
          <w:bCs/>
          <w:sz w:val="24"/>
          <w:szCs w:val="24"/>
        </w:rPr>
        <w:t xml:space="preserve">Glycolytic flux ceiling: </w:t>
      </w:r>
      <w:r>
        <w:rPr>
          <w:rFonts w:ascii="Times New Roman" w:cs="Times New Roman" w:eastAsia="Times New Roman" w:hAnsi="Times New Roman"/>
          <w:sz w:val="24"/>
          <w:szCs w:val="24"/>
        </w:rPr>
        <w:t xml:space="preserve">the maximum sustainable rate of aerobic glycolysis in the local tissue environment, which depends on glucose transporter expression, hexokinase activity, and local pH buffering capacity.</w:t>
      </w:r>
    </w:p>
    <w:p>
      <w:pPr>
        <w:pStyle w:val="ListParagraph"/>
        <w:numPr>
          <w:ilvl w:val="0"/>
          <w:numId w:val="2"/>
        </w:numPr>
        <w:spacing w:after="100"/>
      </w:pPr>
      <w:r>
        <w:rPr>
          <w:rFonts w:ascii="Times New Roman" w:cs="Times New Roman" w:eastAsia="Times New Roman" w:hAnsi="Times New Roman"/>
          <w:b/>
          <w:bCs/>
          <w:sz w:val="24"/>
          <w:szCs w:val="24"/>
        </w:rPr>
        <w:t xml:space="preserve">Spatial constraints: </w:t>
      </w:r>
      <w:r>
        <w:rPr>
          <w:rFonts w:ascii="Times New Roman" w:cs="Times New Roman" w:eastAsia="Times New Roman" w:hAnsi="Times New Roman"/>
          <w:sz w:val="24"/>
          <w:szCs w:val="24"/>
        </w:rPr>
        <w:t xml:space="preserve">the mechanical and physical limits on clone expansion within the tissue, which determine the volume over which energetic resources must be distributed.</w:t>
      </w:r>
    </w:p>
    <w:p>
      <w:pPr>
        <w:pStyle w:val="ListParagraph"/>
        <w:numPr>
          <w:ilvl w:val="0"/>
          <w:numId w:val="2"/>
        </w:numPr>
        <w:spacing w:after="100"/>
      </w:pPr>
      <w:r>
        <w:rPr>
          <w:rFonts w:ascii="Times New Roman" w:cs="Times New Roman" w:eastAsia="Times New Roman" w:hAnsi="Times New Roman"/>
          <w:b/>
          <w:bCs/>
          <w:sz w:val="24"/>
          <w:szCs w:val="24"/>
        </w:rPr>
        <w:t xml:space="preserve">Historical energetic state: </w:t>
      </w:r>
      <w:r>
        <w:rPr>
          <w:rFonts w:ascii="Times New Roman" w:cs="Times New Roman" w:eastAsia="Times New Roman" w:hAnsi="Times New Roman"/>
          <w:sz w:val="24"/>
          <w:szCs w:val="24"/>
        </w:rPr>
        <w:t xml:space="preserve">tissues with a history of chronic inflammation, repeated regenerative cycles, and prior scar remodeling have pre-expanded energetic windows and are more permissive to clone BGR maintenance than structurally intact tissues. </w:t>
      </w:r>
      <w:r>
        <w:rPr>
          <w:rFonts w:ascii="Times New Roman" w:cs="Times New Roman" w:eastAsia="Times New Roman" w:hAnsi="Times New Roman"/>
          <w:sz w:val="18"/>
          <w:szCs w:val="18"/>
          <w:vertAlign w:val="superscript"/>
        </w:rPr>
        <w:t xml:space="preserve">[41,29]</w:t>
      </w:r>
    </w:p>
    <w:p>
      <w:pPr>
        <w:spacing w:after="60"/>
      </w:pPr>
      <w:r>
        <w:rPr>
          <w:rFonts w:ascii="Times New Roman" w:cs="Times New Roman" w:eastAsia="Times New Roman" w:hAnsi="Times New Roman"/>
          <w:sz w:val="24"/>
          <w:szCs w:val="24"/>
        </w:rPr>
        <w:t xml:space="preserve"/>
      </w:r>
    </w:p>
    <w:p>
      <w:pPr>
        <w:spacing w:after="180" w:line="276" w:lineRule="auto"/>
        <w:jc w:val="both"/>
      </w:pPr>
      <w:r>
        <w:rPr>
          <w:rFonts w:ascii="Times New Roman" w:cs="Times New Roman" w:eastAsia="Times New Roman" w:hAnsi="Times New Roman"/>
          <w:sz w:val="24"/>
          <w:szCs w:val="24"/>
        </w:rPr>
        <w:t xml:space="preserve">This last point — the historical dependence of energetic compatibility — is critical. A clone that separates within a chronically inflamed tissue inherits an energetic environment already partially configured for BGR dominance, giving it a substantially higher initial E value than an identical clone arising in architecturally intact tissue. This provides a mechanistic explanation for the well-established epidemiological association between chronic inflammation and cancer risk. </w:t>
      </w:r>
      <w:r>
        <w:rPr>
          <w:rFonts w:ascii="Times New Roman" w:cs="Times New Roman" w:eastAsia="Times New Roman" w:hAnsi="Times New Roman"/>
          <w:sz w:val="18"/>
          <w:szCs w:val="18"/>
          <w:vertAlign w:val="superscript"/>
        </w:rPr>
        <w:t xml:space="preserve">[7,8]</w:t>
      </w:r>
    </w:p>
    <w:p>
      <w:pPr>
        <w:pStyle w:val="Heading2"/>
        <w:spacing w:after="100" w:before="240"/>
      </w:pPr>
      <w:r>
        <w:rPr>
          <w:rFonts w:ascii="Arial" w:cs="Arial" w:eastAsia="Arial" w:hAnsi="Arial"/>
          <w:b/>
          <w:bCs/>
          <w:color w:val="2E75B6"/>
          <w:sz w:val="24"/>
          <w:szCs w:val="24"/>
        </w:rPr>
        <w:t xml:space="preserve">2.3 I — Immunological Interaction</w:t>
      </w:r>
    </w:p>
    <w:p>
      <w:pPr>
        <w:spacing w:after="180" w:line="276" w:lineRule="auto"/>
        <w:jc w:val="both"/>
      </w:pPr>
      <w:r>
        <w:rPr>
          <w:rFonts w:ascii="Times New Roman" w:cs="Times New Roman" w:eastAsia="Times New Roman" w:hAnsi="Times New Roman"/>
          <w:sz w:val="24"/>
          <w:szCs w:val="24"/>
        </w:rPr>
        <w:t xml:space="preserve">The immune system interacts with the separated clone through multiple mechanisms that can produce elimination, containment, or paradoxical facilitation of clone growth. Within the framework of Paper 4, immune recognition of the separated clone operates through two distinct but complementary mechanisms: classical </w:t>
      </w:r>
      <w:r>
        <w:rPr>
          <w:rFonts w:ascii="Times New Roman" w:cs="Times New Roman" w:eastAsia="Times New Roman" w:hAnsi="Times New Roman"/>
          <w:b/>
          <w:bCs/>
          <w:sz w:val="24"/>
          <w:szCs w:val="24"/>
        </w:rPr>
        <w:t xml:space="preserve">antigen-based recognition</w:t>
      </w:r>
      <w:r>
        <w:rPr>
          <w:rFonts w:ascii="Times New Roman" w:cs="Times New Roman" w:eastAsia="Times New Roman" w:hAnsi="Times New Roman"/>
          <w:sz w:val="24"/>
          <w:szCs w:val="24"/>
        </w:rPr>
        <w:t xml:space="preserve"> of mutant or aberrantly expressed proteins, and </w:t>
      </w:r>
      <w:r>
        <w:rPr>
          <w:rFonts w:ascii="Times New Roman" w:cs="Times New Roman" w:eastAsia="Times New Roman" w:hAnsi="Times New Roman"/>
          <w:b/>
          <w:bCs/>
          <w:sz w:val="24"/>
          <w:szCs w:val="24"/>
        </w:rPr>
        <w:t xml:space="preserve">ontogenetic discontinuity recognition</w:t>
      </w:r>
      <w:r>
        <w:rPr>
          <w:rFonts w:ascii="Times New Roman" w:cs="Times New Roman" w:eastAsia="Times New Roman" w:hAnsi="Times New Roman"/>
          <w:sz w:val="24"/>
          <w:szCs w:val="24"/>
        </w:rPr>
        <w:t xml:space="preserve"> — the detection of contextually misplaced developmental protein expression that signals topological rupture. </w:t>
      </w:r>
      <w:r>
        <w:rPr>
          <w:rFonts w:ascii="Times New Roman" w:cs="Times New Roman" w:eastAsia="Times New Roman" w:hAnsi="Times New Roman"/>
          <w:sz w:val="18"/>
          <w:szCs w:val="18"/>
          <w:vertAlign w:val="superscript"/>
        </w:rPr>
        <w:t xml:space="preserve">[44,19,20]</w:t>
      </w:r>
    </w:p>
    <w:p>
      <w:pPr>
        <w:spacing w:after="180" w:line="276" w:lineRule="auto"/>
        <w:jc w:val="both"/>
      </w:pPr>
      <w:r>
        <w:rPr>
          <w:rFonts w:ascii="Times New Roman" w:cs="Times New Roman" w:eastAsia="Times New Roman" w:hAnsi="Times New Roman"/>
          <w:sz w:val="24"/>
          <w:szCs w:val="24"/>
        </w:rPr>
        <w:t xml:space="preserve">The immunological determinant I can take three qualitatively distinct values in this framework:</w:t>
      </w:r>
    </w:p>
    <w:p>
      <w:pPr>
        <w:spacing w:after="180" w:line="276" w:lineRule="auto"/>
        <w:jc w:val="both"/>
      </w:pPr>
      <w:r>
        <w:rPr>
          <w:rFonts w:ascii="Times New Roman" w:cs="Times New Roman" w:eastAsia="Times New Roman" w:hAnsi="Times New Roman"/>
          <w:b/>
          <w:bCs/>
          <w:sz w:val="24"/>
          <w:szCs w:val="24"/>
        </w:rPr>
        <w:t xml:space="preserve">I = Elimination: </w:t>
      </w:r>
      <w:r>
        <w:rPr>
          <w:rFonts w:ascii="Times New Roman" w:cs="Times New Roman" w:eastAsia="Times New Roman" w:hAnsi="Times New Roman"/>
          <w:sz w:val="24"/>
          <w:szCs w:val="24"/>
        </w:rPr>
        <w:t xml:space="preserve">effective cytotoxic and antibody-mediated responses destroy the clone before it can establish sustainable metabolic or microenvironmental independence. This corresponds to the immunoediting elimination phase.</w:t>
      </w:r>
    </w:p>
    <w:p>
      <w:pPr>
        <w:spacing w:after="180" w:line="276" w:lineRule="auto"/>
        <w:jc w:val="both"/>
      </w:pPr>
      <w:r>
        <w:rPr>
          <w:rFonts w:ascii="Times New Roman" w:cs="Times New Roman" w:eastAsia="Times New Roman" w:hAnsi="Times New Roman"/>
          <w:b/>
          <w:bCs/>
          <w:sz w:val="24"/>
          <w:szCs w:val="24"/>
        </w:rPr>
        <w:t xml:space="preserve">I = Containment (equilibrium): </w:t>
      </w:r>
      <w:r>
        <w:rPr>
          <w:rFonts w:ascii="Times New Roman" w:cs="Times New Roman" w:eastAsia="Times New Roman" w:hAnsi="Times New Roman"/>
          <w:sz w:val="24"/>
          <w:szCs w:val="24"/>
        </w:rPr>
        <w:t xml:space="preserve">immune pressure is sufficient to prevent clone growth but insufficient to eliminate it. The clone enters a dormant state — the equilibrium phase of immunoediting — in which immune surveillance maintains the clone in a limited persistence attractor. This may persist for years or decades. </w:t>
      </w:r>
      <w:r>
        <w:rPr>
          <w:rFonts w:ascii="Times New Roman" w:cs="Times New Roman" w:eastAsia="Times New Roman" w:hAnsi="Times New Roman"/>
          <w:sz w:val="18"/>
          <w:szCs w:val="18"/>
          <w:vertAlign w:val="superscript"/>
        </w:rPr>
        <w:t xml:space="preserve">[31,32]</w:t>
      </w:r>
    </w:p>
    <w:p>
      <w:pPr>
        <w:spacing w:after="180" w:line="276" w:lineRule="auto"/>
        <w:jc w:val="both"/>
      </w:pPr>
      <w:r>
        <w:rPr>
          <w:rFonts w:ascii="Times New Roman" w:cs="Times New Roman" w:eastAsia="Times New Roman" w:hAnsi="Times New Roman"/>
          <w:b/>
          <w:bCs/>
          <w:sz w:val="24"/>
          <w:szCs w:val="24"/>
        </w:rPr>
        <w:t xml:space="preserve">I = Facilitation: </w:t>
      </w:r>
      <w:r>
        <w:rPr>
          <w:rFonts w:ascii="Times New Roman" w:cs="Times New Roman" w:eastAsia="Times New Roman" w:hAnsi="Times New Roman"/>
          <w:sz w:val="24"/>
          <w:szCs w:val="24"/>
        </w:rPr>
        <w:t xml:space="preserve">paradoxically, chronic inflammatory immune activity can facilitate clone growth by driving MMP-mediated ECM remodeling, increasing vascular permeability, and expanding the local energetic window. Myeloid cells, regulatory T cells, and tumor-associated macrophages can all contribute to a microenvironment that sustains BGR dominance in the clone. </w:t>
      </w:r>
      <w:r>
        <w:rPr>
          <w:rFonts w:ascii="Times New Roman" w:cs="Times New Roman" w:eastAsia="Times New Roman" w:hAnsi="Times New Roman"/>
          <w:sz w:val="18"/>
          <w:szCs w:val="18"/>
          <w:vertAlign w:val="superscript"/>
        </w:rPr>
        <w:t xml:space="preserve">[7,8,14]</w:t>
      </w:r>
      <w:r>
        <w:rPr>
          <w:rFonts w:ascii="Times New Roman" w:cs="Times New Roman" w:eastAsia="Times New Roman" w:hAnsi="Times New Roman"/>
          <w:sz w:val="24"/>
          <w:szCs w:val="24"/>
        </w:rPr>
        <w:t xml:space="preserve"> This corresponds to the escape phase of immunoediting.</w:t>
      </w:r>
    </w:p>
    <w:p>
      <w:pPr>
        <w:spacing w:after="180" w:line="276" w:lineRule="auto"/>
        <w:jc w:val="both"/>
      </w:pPr>
      <w:r>
        <w:rPr>
          <w:rFonts w:ascii="Times New Roman" w:cs="Times New Roman" w:eastAsia="Times New Roman" w:hAnsi="Times New Roman"/>
          <w:sz w:val="24"/>
          <w:szCs w:val="24"/>
        </w:rPr>
        <w:t xml:space="preserve">Critically, the dominant mode of immunological interaction is not fixed but changes over the history of the clone, often transitioning from elimination through equilibrium to facilitation as the clone adapts its immunomodulatory activity and reconstructs an autonomous microenvironment. </w:t>
      </w:r>
      <w:r>
        <w:rPr>
          <w:rFonts w:ascii="Times New Roman" w:cs="Times New Roman" w:eastAsia="Times New Roman" w:hAnsi="Times New Roman"/>
          <w:sz w:val="18"/>
          <w:szCs w:val="18"/>
          <w:vertAlign w:val="superscript"/>
        </w:rPr>
        <w:t xml:space="preserve">[4,5]</w:t>
      </w:r>
    </w:p>
    <w:p>
      <w:pPr>
        <w:pStyle w:val="Heading2"/>
        <w:spacing w:after="100" w:before="240"/>
      </w:pPr>
      <w:r>
        <w:rPr>
          <w:rFonts w:ascii="Arial" w:cs="Arial" w:eastAsia="Arial" w:hAnsi="Arial"/>
          <w:b/>
          <w:bCs/>
          <w:color w:val="2E75B6"/>
          <w:sz w:val="24"/>
          <w:szCs w:val="24"/>
        </w:rPr>
        <w:t xml:space="preserve">2.4 M — Morphophysiological Context</w:t>
      </w:r>
    </w:p>
    <w:p>
      <w:pPr>
        <w:spacing w:after="180" w:line="276" w:lineRule="auto"/>
        <w:jc w:val="both"/>
      </w:pPr>
      <w:r>
        <w:rPr>
          <w:rFonts w:ascii="Times New Roman" w:cs="Times New Roman" w:eastAsia="Times New Roman" w:hAnsi="Times New Roman"/>
          <w:sz w:val="24"/>
          <w:szCs w:val="24"/>
        </w:rPr>
        <w:t xml:space="preserve">The tissue in which the clone resides provides a morphophysiological context that profoundly shapes its developmental options. Identical degrees of ontogenetic decoupling produce qualitatively different outcomes depending on tissue-specific parameters:</w:t>
      </w:r>
    </w:p>
    <w:p>
      <w:pPr>
        <w:pStyle w:val="ListParagraph"/>
        <w:numPr>
          <w:ilvl w:val="0"/>
          <w:numId w:val="2"/>
        </w:numPr>
        <w:spacing w:after="100"/>
      </w:pPr>
      <w:r>
        <w:rPr>
          <w:rFonts w:ascii="Times New Roman" w:cs="Times New Roman" w:eastAsia="Times New Roman" w:hAnsi="Times New Roman"/>
          <w:b/>
          <w:bCs/>
          <w:sz w:val="24"/>
          <w:szCs w:val="24"/>
        </w:rPr>
        <w:t xml:space="preserve">Vascular architecture: </w:t>
      </w:r>
      <w:r>
        <w:rPr>
          <w:rFonts w:ascii="Times New Roman" w:cs="Times New Roman" w:eastAsia="Times New Roman" w:hAnsi="Times New Roman"/>
          <w:sz w:val="24"/>
          <w:szCs w:val="24"/>
        </w:rPr>
        <w:t xml:space="preserve">the liver sinusoidal architecture provides far more permissive access to circulating substrates and growth factors than the blood-brain barrier-enclosed neural parenchyma, explaining the relative rarity of primary brain tumors compared to hepatic malignancies despite similar rates of cellular stress.</w:t>
      </w:r>
    </w:p>
    <w:p>
      <w:pPr>
        <w:pStyle w:val="ListParagraph"/>
        <w:numPr>
          <w:ilvl w:val="0"/>
          <w:numId w:val="2"/>
        </w:numPr>
        <w:spacing w:after="100"/>
      </w:pPr>
      <w:r>
        <w:rPr>
          <w:rFonts w:ascii="Times New Roman" w:cs="Times New Roman" w:eastAsia="Times New Roman" w:hAnsi="Times New Roman"/>
          <w:b/>
          <w:bCs/>
          <w:sz w:val="24"/>
          <w:szCs w:val="24"/>
        </w:rPr>
        <w:t xml:space="preserve">Mechanical tissue properties: </w:t>
      </w:r>
      <w:r>
        <w:rPr>
          <w:rFonts w:ascii="Times New Roman" w:cs="Times New Roman" w:eastAsia="Times New Roman" w:hAnsi="Times New Roman"/>
          <w:sz w:val="24"/>
          <w:szCs w:val="24"/>
        </w:rPr>
        <w:t xml:space="preserve">tissues with high baseline stiffness (fibrotic liver, desmoplastic pancreatic stroma) may mechanically restrict clone expansion, while tissues with low mechanical resistance (loose connective tissue, peritoneal cavity) offer minimal physical constraint.</w:t>
      </w:r>
    </w:p>
    <w:p>
      <w:pPr>
        <w:pStyle w:val="ListParagraph"/>
        <w:numPr>
          <w:ilvl w:val="0"/>
          <w:numId w:val="2"/>
        </w:numPr>
        <w:spacing w:after="100"/>
      </w:pPr>
      <w:r>
        <w:rPr>
          <w:rFonts w:ascii="Times New Roman" w:cs="Times New Roman" w:eastAsia="Times New Roman" w:hAnsi="Times New Roman"/>
          <w:b/>
          <w:bCs/>
          <w:sz w:val="24"/>
          <w:szCs w:val="24"/>
        </w:rPr>
        <w:t xml:space="preserve">Permissible plasticity level: </w:t>
      </w:r>
      <w:r>
        <w:rPr>
          <w:rFonts w:ascii="Times New Roman" w:cs="Times New Roman" w:eastAsia="Times New Roman" w:hAnsi="Times New Roman"/>
          <w:sz w:val="24"/>
          <w:szCs w:val="24"/>
        </w:rPr>
        <w:t xml:space="preserve">tissues that normally maintain high regenerative cycling (intestinal epithelium, bone marrow, skin) have constitutively higher baseline energetic window widths, making them more permissive to clone BGR maintenance. </w:t>
      </w:r>
      <w:r>
        <w:rPr>
          <w:rFonts w:ascii="Times New Roman" w:cs="Times New Roman" w:eastAsia="Times New Roman" w:hAnsi="Times New Roman"/>
          <w:sz w:val="18"/>
          <w:szCs w:val="18"/>
          <w:vertAlign w:val="superscript"/>
        </w:rPr>
        <w:t xml:space="preserve">[41]</w:t>
      </w:r>
    </w:p>
    <w:p>
      <w:pPr>
        <w:pStyle w:val="ListParagraph"/>
        <w:numPr>
          <w:ilvl w:val="0"/>
          <w:numId w:val="2"/>
        </w:numPr>
        <w:spacing w:after="100"/>
      </w:pPr>
      <w:r>
        <w:rPr>
          <w:rFonts w:ascii="Times New Roman" w:cs="Times New Roman" w:eastAsia="Times New Roman" w:hAnsi="Times New Roman"/>
          <w:b/>
          <w:bCs/>
          <w:sz w:val="24"/>
          <w:szCs w:val="24"/>
        </w:rPr>
        <w:t xml:space="preserve">Local immune density and character: </w:t>
      </w:r>
      <w:r>
        <w:rPr>
          <w:rFonts w:ascii="Times New Roman" w:cs="Times New Roman" w:eastAsia="Times New Roman" w:hAnsi="Times New Roman"/>
          <w:sz w:val="24"/>
          <w:szCs w:val="24"/>
        </w:rPr>
        <w:t xml:space="preserve">the density, composition, and activation state of resident immune cells varies enormously between tissues and determines the baseline I value of the clone before any immunomodulatory adaptation has occurred.</w:t>
      </w:r>
    </w:p>
    <w:p>
      <w:pPr>
        <w:pStyle w:val="ListParagraph"/>
        <w:numPr>
          <w:ilvl w:val="0"/>
          <w:numId w:val="2"/>
        </w:numPr>
        <w:spacing w:after="100"/>
      </w:pPr>
      <w:r>
        <w:rPr>
          <w:rFonts w:ascii="Times New Roman" w:cs="Times New Roman" w:eastAsia="Times New Roman" w:hAnsi="Times New Roman"/>
          <w:b/>
          <w:bCs/>
          <w:sz w:val="24"/>
          <w:szCs w:val="24"/>
        </w:rPr>
        <w:t xml:space="preserve">Structural compatibility: </w:t>
      </w:r>
      <w:r>
        <w:rPr>
          <w:rFonts w:ascii="Times New Roman" w:cs="Times New Roman" w:eastAsia="Times New Roman" w:hAnsi="Times New Roman"/>
          <w:sz w:val="24"/>
          <w:szCs w:val="24"/>
        </w:rPr>
        <w:t xml:space="preserve">the degree to which the clone's displaced ontogenetic state is architecturally compatible with the surrounding tissue state space — the metastatic organ-tropism problem (Paper 4) — determines whether the clone can achieve even limited synchronization. </w:t>
      </w:r>
      <w:r>
        <w:rPr>
          <w:rFonts w:ascii="Times New Roman" w:cs="Times New Roman" w:eastAsia="Times New Roman" w:hAnsi="Times New Roman"/>
          <w:sz w:val="18"/>
          <w:szCs w:val="18"/>
          <w:vertAlign w:val="superscript"/>
        </w:rPr>
        <w:t xml:space="preserve">[44,38]</w:t>
      </w:r>
    </w:p>
    <w:p>
      <w:pPr>
        <w:pStyle w:val="Heading2"/>
        <w:spacing w:after="100" w:before="240"/>
      </w:pPr>
      <w:r>
        <w:rPr>
          <w:rFonts w:ascii="Arial" w:cs="Arial" w:eastAsia="Arial" w:hAnsi="Arial"/>
          <w:b/>
          <w:bCs/>
          <w:color w:val="2E75B6"/>
          <w:sz w:val="24"/>
          <w:szCs w:val="24"/>
        </w:rPr>
        <w:t xml:space="preserve">2.5 A — Clone Activity</w:t>
      </w:r>
    </w:p>
    <w:p>
      <w:pPr>
        <w:spacing w:after="180" w:line="276" w:lineRule="auto"/>
        <w:jc w:val="both"/>
      </w:pPr>
      <w:r>
        <w:rPr>
          <w:rFonts w:ascii="Times New Roman" w:cs="Times New Roman" w:eastAsia="Times New Roman" w:hAnsi="Times New Roman"/>
          <w:sz w:val="24"/>
          <w:szCs w:val="24"/>
        </w:rPr>
        <w:t xml:space="preserve">Unlike the organism-derived determinants E, I, and M, clone activity A represents the autonomous contribution of the clone itself to the dynamic interaction. The separated clone is not a passive object; it is an active system that continuously modifies its environment through secretion, remodeling, and signaling. Key dimensions of clone activity include:</w:t>
      </w:r>
    </w:p>
    <w:p>
      <w:pPr>
        <w:pStyle w:val="ListParagraph"/>
        <w:numPr>
          <w:ilvl w:val="0"/>
          <w:numId w:val="2"/>
        </w:numPr>
        <w:spacing w:after="100"/>
      </w:pPr>
      <w:r>
        <w:rPr>
          <w:rFonts w:ascii="Times New Roman" w:cs="Times New Roman" w:eastAsia="Times New Roman" w:hAnsi="Times New Roman"/>
          <w:b/>
          <w:bCs/>
          <w:sz w:val="24"/>
          <w:szCs w:val="24"/>
        </w:rPr>
        <w:t xml:space="preserve">Protease secretion: </w:t>
      </w:r>
      <w:r>
        <w:rPr>
          <w:rFonts w:ascii="Times New Roman" w:cs="Times New Roman" w:eastAsia="Times New Roman" w:hAnsi="Times New Roman"/>
          <w:sz w:val="24"/>
          <w:szCs w:val="24"/>
        </w:rPr>
        <w:t xml:space="preserve">MMP and ADAM family metalloproteinase secretion that degrades surrounding ECM, releasing matrix-bound growth factors, expanding the local energetic window, and creating physical space for clone expansion. </w:t>
      </w:r>
      <w:r>
        <w:rPr>
          <w:rFonts w:ascii="Times New Roman" w:cs="Times New Roman" w:eastAsia="Times New Roman" w:hAnsi="Times New Roman"/>
          <w:sz w:val="18"/>
          <w:szCs w:val="18"/>
          <w:vertAlign w:val="superscript"/>
        </w:rPr>
        <w:t xml:space="preserve">[25]</w:t>
      </w:r>
    </w:p>
    <w:p>
      <w:pPr>
        <w:pStyle w:val="ListParagraph"/>
        <w:numPr>
          <w:ilvl w:val="0"/>
          <w:numId w:val="2"/>
        </w:numPr>
        <w:spacing w:after="100"/>
      </w:pPr>
      <w:r>
        <w:rPr>
          <w:rFonts w:ascii="Times New Roman" w:cs="Times New Roman" w:eastAsia="Times New Roman" w:hAnsi="Times New Roman"/>
          <w:b/>
          <w:bCs/>
          <w:sz w:val="24"/>
          <w:szCs w:val="24"/>
        </w:rPr>
        <w:t xml:space="preserve">Angiogenic signaling: </w:t>
      </w:r>
      <w:r>
        <w:rPr>
          <w:rFonts w:ascii="Times New Roman" w:cs="Times New Roman" w:eastAsia="Times New Roman" w:hAnsi="Times New Roman"/>
          <w:sz w:val="24"/>
          <w:szCs w:val="24"/>
        </w:rPr>
        <w:t xml:space="preserve">VEGF, FGF, and PDGF secretion that drives neovascularization, increasing E by improving vascular access. </w:t>
      </w:r>
      <w:r>
        <w:rPr>
          <w:rFonts w:ascii="Times New Roman" w:cs="Times New Roman" w:eastAsia="Times New Roman" w:hAnsi="Times New Roman"/>
          <w:sz w:val="18"/>
          <w:szCs w:val="18"/>
          <w:vertAlign w:val="superscript"/>
        </w:rPr>
        <w:t xml:space="preserve">[26]</w:t>
      </w:r>
    </w:p>
    <w:p>
      <w:pPr>
        <w:pStyle w:val="ListParagraph"/>
        <w:numPr>
          <w:ilvl w:val="0"/>
          <w:numId w:val="2"/>
        </w:numPr>
        <w:spacing w:after="100"/>
      </w:pPr>
      <w:r>
        <w:rPr>
          <w:rFonts w:ascii="Times New Roman" w:cs="Times New Roman" w:eastAsia="Times New Roman" w:hAnsi="Times New Roman"/>
          <w:b/>
          <w:bCs/>
          <w:sz w:val="24"/>
          <w:szCs w:val="24"/>
        </w:rPr>
        <w:t xml:space="preserve">Immunomodulation: </w:t>
      </w:r>
      <w:r>
        <w:rPr>
          <w:rFonts w:ascii="Times New Roman" w:cs="Times New Roman" w:eastAsia="Times New Roman" w:hAnsi="Times New Roman"/>
          <w:sz w:val="24"/>
          <w:szCs w:val="24"/>
        </w:rPr>
        <w:t xml:space="preserve">secretion of immunosuppressive factors (TGF-β, IL-10, PD-L1 expression) and recruitment of tolerogenic immune cell populations that shift I from containment toward facilitation.</w:t>
      </w:r>
    </w:p>
    <w:p>
      <w:pPr>
        <w:pStyle w:val="ListParagraph"/>
        <w:numPr>
          <w:ilvl w:val="0"/>
          <w:numId w:val="2"/>
        </w:numPr>
        <w:spacing w:after="100"/>
      </w:pPr>
      <w:r>
        <w:rPr>
          <w:rFonts w:ascii="Times New Roman" w:cs="Times New Roman" w:eastAsia="Times New Roman" w:hAnsi="Times New Roman"/>
          <w:b/>
          <w:bCs/>
          <w:sz w:val="24"/>
          <w:szCs w:val="24"/>
        </w:rPr>
        <w:t xml:space="preserve">Autocrine BGR maintenance: </w:t>
      </w:r>
      <w:r>
        <w:rPr>
          <w:rFonts w:ascii="Times New Roman" w:cs="Times New Roman" w:eastAsia="Times New Roman" w:hAnsi="Times New Roman"/>
          <w:sz w:val="24"/>
          <w:szCs w:val="24"/>
        </w:rPr>
        <w:t xml:space="preserve">establishment of autocrine signaling loops (HIF-1α stabilization, mTORC1 activation, LDHA upregulation) that maintain BGR dominance independently of tissue-level metabolic signals, reducing the clone's dependence on external E. </w:t>
      </w:r>
      <w:r>
        <w:rPr>
          <w:rFonts w:ascii="Times New Roman" w:cs="Times New Roman" w:eastAsia="Times New Roman" w:hAnsi="Times New Roman"/>
          <w:sz w:val="18"/>
          <w:szCs w:val="18"/>
          <w:vertAlign w:val="superscript"/>
        </w:rPr>
        <w:t xml:space="preserve">[6,27]</w:t>
      </w:r>
    </w:p>
    <w:p>
      <w:pPr>
        <w:spacing w:after="60"/>
      </w:pPr>
      <w:r>
        <w:rPr>
          <w:rFonts w:ascii="Times New Roman" w:cs="Times New Roman" w:eastAsia="Times New Roman" w:hAnsi="Times New Roman"/>
          <w:sz w:val="24"/>
          <w:szCs w:val="24"/>
        </w:rPr>
        <w:t xml:space="preserve"/>
      </w:r>
    </w:p>
    <w:p>
      <w:pPr>
        <w:spacing w:after="180" w:line="276" w:lineRule="auto"/>
        <w:jc w:val="both"/>
      </w:pPr>
      <w:r>
        <w:rPr>
          <w:rFonts w:ascii="Times New Roman" w:cs="Times New Roman" w:eastAsia="Times New Roman" w:hAnsi="Times New Roman"/>
          <w:sz w:val="24"/>
          <w:szCs w:val="24"/>
        </w:rPr>
        <w:t xml:space="preserve">These activities generate the fundamental positive feedback loop that drives progressive clone autonomization:</w:t>
      </w:r>
    </w:p>
    <w:p>
      <w:pPr>
        <w:pBdr>
          <w:top w:val="single" w:color="CCCCCC" w:sz="4" w:space="2"/>
          <w:bottom w:val="single" w:color="CCCCCC" w:sz="4" w:space="2"/>
          <w:left w:val="thick" w:color="2E75B6" w:sz="14" w:space="6"/>
        </w:pBdr>
        <w:shd w:fill="F4F8FE"/>
        <w:spacing w:after="120" w:before="120"/>
        <w:ind w:left="480" w:right="480"/>
      </w:pPr>
      <w:r>
        <w:rPr>
          <w:rFonts w:ascii="Courier New" w:cs="Courier New" w:eastAsia="Courier New" w:hAnsi="Courier New"/>
          <w:i/>
          <w:iCs/>
          <w:sz w:val="22"/>
          <w:szCs w:val="22"/>
        </w:rPr>
        <w:t xml:space="preserve">A ↑ → MMP ↑ → ECM remodeling → ΔE_window ↑ → BGR stability ↑ → clone growth ↑ → A ↑</w:t>
      </w:r>
      <w:r>
        <w:rPr>
          <w:rFonts w:ascii="Arial" w:cs="Arial" w:eastAsia="Arial" w:hAnsi="Arial"/>
          <w:color w:val="666666"/>
          <w:sz w:val="20"/>
          <w:szCs w:val="20"/>
        </w:rPr>
        <w:t xml:space="preserve">   …(2.5)</w:t>
      </w:r>
    </w:p>
    <w:p>
      <w:pPr>
        <w:spacing w:after="180" w:line="276" w:lineRule="auto"/>
        <w:jc w:val="both"/>
      </w:pPr>
      <w:r>
        <w:rPr>
          <w:rFonts w:ascii="Times New Roman" w:cs="Times New Roman" w:eastAsia="Times New Roman" w:hAnsi="Times New Roman"/>
          <w:sz w:val="24"/>
          <w:szCs w:val="24"/>
        </w:rPr>
        <w:t xml:space="preserve">This feedback loop, once established, is self-amplifying: each increment of clone activity expands the energetic window, which enables further clone growth, which increases the resources available for clone activity. The critical question — addressed in Section 4 — is what determines whether this loop reaches a self-sustaining threshold or is damped by tissue-level constraints. </w:t>
      </w:r>
      <w:r>
        <w:rPr>
          <w:rFonts w:ascii="Times New Roman" w:cs="Times New Roman" w:eastAsia="Times New Roman" w:hAnsi="Times New Roman"/>
          <w:sz w:val="18"/>
          <w:szCs w:val="18"/>
          <w:vertAlign w:val="superscript"/>
        </w:rPr>
        <w:t xml:space="preserve">[42,43]</w:t>
      </w:r>
    </w:p>
    <w:p>
      <w:pPr>
        <w:pStyle w:val="Heading2"/>
        <w:spacing w:after="100" w:before="240"/>
      </w:pPr>
      <w:r>
        <w:rPr>
          <w:rFonts w:ascii="Arial" w:cs="Arial" w:eastAsia="Arial" w:hAnsi="Arial"/>
          <w:b/>
          <w:bCs/>
          <w:color w:val="2E75B6"/>
          <w:sz w:val="24"/>
          <w:szCs w:val="24"/>
        </w:rPr>
        <w:t xml:space="preserve">2.6 H — Historical Temporal Trajectory</w:t>
      </w:r>
    </w:p>
    <w:p>
      <w:pPr>
        <w:spacing w:after="180" w:line="276" w:lineRule="auto"/>
        <w:jc w:val="both"/>
      </w:pPr>
      <w:r>
        <w:rPr>
          <w:rFonts w:ascii="Times New Roman" w:cs="Times New Roman" w:eastAsia="Times New Roman" w:hAnsi="Times New Roman"/>
          <w:sz w:val="24"/>
          <w:szCs w:val="24"/>
        </w:rPr>
        <w:t xml:space="preserve">The historical trajectory H is the most conceptually novel determinant in the clone fate function. It captures the path-dependence of clone development: the fact that the current state of the system is insufficient to determine its future trajectory without knowledge of how it arrived at that state.</w:t>
      </w:r>
    </w:p>
    <w:p>
      <w:pPr>
        <w:spacing w:after="180" w:line="276" w:lineRule="auto"/>
        <w:jc w:val="both"/>
      </w:pPr>
      <w:r>
        <w:rPr>
          <w:rFonts w:ascii="Times New Roman" w:cs="Times New Roman" w:eastAsia="Times New Roman" w:hAnsi="Times New Roman"/>
          <w:sz w:val="24"/>
          <w:szCs w:val="24"/>
        </w:rPr>
        <w:t xml:space="preserve">The historical trajectory includes:</w:t>
      </w:r>
    </w:p>
    <w:p>
      <w:pPr>
        <w:pStyle w:val="ListParagraph"/>
        <w:numPr>
          <w:ilvl w:val="0"/>
          <w:numId w:val="2"/>
        </w:numPr>
        <w:spacing w:after="100"/>
      </w:pPr>
      <w:r>
        <w:rPr>
          <w:rFonts w:ascii="Times New Roman" w:cs="Times New Roman" w:eastAsia="Times New Roman" w:hAnsi="Times New Roman"/>
          <w:b/>
          <w:bCs/>
          <w:sz w:val="24"/>
          <w:szCs w:val="24"/>
        </w:rPr>
        <w:t xml:space="preserve">Duration of separation: </w:t>
      </w:r>
      <w:r>
        <w:rPr>
          <w:rFonts w:ascii="Times New Roman" w:cs="Times New Roman" w:eastAsia="Times New Roman" w:hAnsi="Times New Roman"/>
          <w:sz w:val="24"/>
          <w:szCs w:val="24"/>
        </w:rPr>
        <w:t xml:space="preserve">the length of time since ontogenetic decoupling. Longer-duration separated clones have had more time to establish autonomous microenvironments, adapt immunomodulatory strategies, and accumulate BGR-stabilizing epigenetic changes, even if their current morphological appearance is similar to a recently separated clone.</w:t>
      </w:r>
    </w:p>
    <w:p>
      <w:pPr>
        <w:pStyle w:val="ListParagraph"/>
        <w:numPr>
          <w:ilvl w:val="0"/>
          <w:numId w:val="2"/>
        </w:numPr>
        <w:spacing w:after="100"/>
      </w:pPr>
      <w:r>
        <w:rPr>
          <w:rFonts w:ascii="Times New Roman" w:cs="Times New Roman" w:eastAsia="Times New Roman" w:hAnsi="Times New Roman"/>
          <w:b/>
          <w:bCs/>
          <w:sz w:val="24"/>
          <w:szCs w:val="24"/>
        </w:rPr>
        <w:t xml:space="preserve">Number of inflammatory cycles: </w:t>
      </w:r>
      <w:r>
        <w:rPr>
          <w:rFonts w:ascii="Times New Roman" w:cs="Times New Roman" w:eastAsia="Times New Roman" w:hAnsi="Times New Roman"/>
          <w:sz w:val="24"/>
          <w:szCs w:val="24"/>
        </w:rPr>
        <w:t xml:space="preserve">each cycle of the Regeneration Pendulum (Paper 1) that the clone survives expands its microenvironmental autonomy by one increment. A clone that has survived twenty inflammatory cycles has a more robustly established autonomous microenvironment than one that has survived three, regardless of current morphology. </w:t>
      </w:r>
      <w:r>
        <w:rPr>
          <w:rFonts w:ascii="Times New Roman" w:cs="Times New Roman" w:eastAsia="Times New Roman" w:hAnsi="Times New Roman"/>
          <w:sz w:val="18"/>
          <w:szCs w:val="18"/>
          <w:vertAlign w:val="superscript"/>
        </w:rPr>
        <w:t xml:space="preserve">[41]</w:t>
      </w:r>
    </w:p>
    <w:p>
      <w:pPr>
        <w:pStyle w:val="ListParagraph"/>
        <w:numPr>
          <w:ilvl w:val="0"/>
          <w:numId w:val="2"/>
        </w:numPr>
        <w:spacing w:after="100"/>
      </w:pPr>
      <w:r>
        <w:rPr>
          <w:rFonts w:ascii="Times New Roman" w:cs="Times New Roman" w:eastAsia="Times New Roman" w:hAnsi="Times New Roman"/>
          <w:b/>
          <w:bCs/>
          <w:sz w:val="24"/>
          <w:szCs w:val="24"/>
        </w:rPr>
        <w:t xml:space="preserve">Immunological adaptation history: </w:t>
      </w:r>
      <w:r>
        <w:rPr>
          <w:rFonts w:ascii="Times New Roman" w:cs="Times New Roman" w:eastAsia="Times New Roman" w:hAnsi="Times New Roman"/>
          <w:sz w:val="24"/>
          <w:szCs w:val="24"/>
        </w:rPr>
        <w:t xml:space="preserve">the sequential selection events through which the clone has passed — elimination of immunologically visible subclones, expansion of immunologically evasive variants — represent irreversible historical conditioning that is not reflected in current snapshot morphology.</w:t>
      </w:r>
    </w:p>
    <w:p>
      <w:pPr>
        <w:pStyle w:val="ListParagraph"/>
        <w:numPr>
          <w:ilvl w:val="0"/>
          <w:numId w:val="2"/>
        </w:numPr>
        <w:spacing w:after="100"/>
      </w:pPr>
      <w:r>
        <w:rPr>
          <w:rFonts w:ascii="Times New Roman" w:cs="Times New Roman" w:eastAsia="Times New Roman" w:hAnsi="Times New Roman"/>
          <w:b/>
          <w:bCs/>
          <w:sz w:val="24"/>
          <w:szCs w:val="24"/>
        </w:rPr>
        <w:t xml:space="preserve">Accumulated ECM remodeling: </w:t>
      </w:r>
      <w:r>
        <w:rPr>
          <w:rFonts w:ascii="Times New Roman" w:cs="Times New Roman" w:eastAsia="Times New Roman" w:hAnsi="Times New Roman"/>
          <w:sz w:val="24"/>
          <w:szCs w:val="24"/>
        </w:rPr>
        <w:t xml:space="preserve">the degree to which the surrounding ECM has been progressively modified by clone activity, creating a structurally altered microenvironment that itself supports continued BGR dominance.</w:t>
      </w:r>
    </w:p>
    <w:p>
      <w:pPr>
        <w:spacing w:after="60"/>
      </w:pPr>
      <w:r>
        <w:rPr>
          <w:rFonts w:ascii="Times New Roman" w:cs="Times New Roman" w:eastAsia="Times New Roman" w:hAnsi="Times New Roman"/>
          <w:sz w:val="24"/>
          <w:szCs w:val="24"/>
        </w:rPr>
        <w:t xml:space="preserve"/>
      </w:r>
    </w:p>
    <w:p>
      <w:pPr>
        <w:spacing w:after="180" w:line="276" w:lineRule="auto"/>
        <w:jc w:val="both"/>
      </w:pPr>
      <w:r>
        <w:rPr>
          <w:rFonts w:ascii="Times New Roman" w:cs="Times New Roman" w:eastAsia="Times New Roman" w:hAnsi="Times New Roman"/>
          <w:sz w:val="24"/>
          <w:szCs w:val="24"/>
        </w:rPr>
        <w:t xml:space="preserve">The formal representation of H as a path integral over the system's trajectory captures this accumulation:</w:t>
      </w:r>
    </w:p>
    <w:p>
      <w:pPr>
        <w:pBdr>
          <w:top w:val="single" w:color="CCCCCC" w:sz="4" w:space="2"/>
          <w:bottom w:val="single" w:color="CCCCCC" w:sz="4" w:space="2"/>
          <w:left w:val="thick" w:color="2E75B6" w:sz="14" w:space="6"/>
        </w:pBdr>
        <w:shd w:fill="F4F8FE"/>
        <w:spacing w:after="120" w:before="120"/>
        <w:ind w:left="480" w:right="480"/>
      </w:pPr>
      <w:r>
        <w:rPr>
          <w:rFonts w:ascii="Courier New" w:cs="Courier New" w:eastAsia="Courier New" w:hAnsi="Courier New"/>
          <w:i/>
          <w:iCs/>
          <w:sz w:val="22"/>
          <w:szCs w:val="22"/>
        </w:rPr>
        <w:t xml:space="preserve">H[0→t] = ∫₀ᵗ [ A(τ) · I(τ) · E(τ) ] dτ</w:t>
      </w:r>
      <w:r>
        <w:rPr>
          <w:rFonts w:ascii="Arial" w:cs="Arial" w:eastAsia="Arial" w:hAnsi="Arial"/>
          <w:color w:val="666666"/>
          <w:sz w:val="20"/>
          <w:szCs w:val="20"/>
        </w:rPr>
        <w:t xml:space="preserve">   …(2.6)</w:t>
      </w:r>
    </w:p>
    <w:p>
      <w:pPr>
        <w:spacing w:after="180" w:line="276" w:lineRule="auto"/>
        <w:jc w:val="both"/>
      </w:pPr>
      <w:r>
        <w:rPr>
          <w:rFonts w:ascii="Times New Roman" w:cs="Times New Roman" w:eastAsia="Times New Roman" w:hAnsi="Times New Roman"/>
          <w:sz w:val="24"/>
          <w:szCs w:val="24"/>
        </w:rPr>
        <w:t xml:space="preserve">The integral formulation means that identical current states can have very different H values depending on the history of interactions. A clone that has maintained moderate A, I, and E values continuously for a decade has accumulated a very different H than one that only recently achieved those same values. This explains the clinical observation that histologically similar lesions can have dramatically different progression risks depending on their duration and context. </w:t>
      </w:r>
      <w:r>
        <w:rPr>
          <w:rFonts w:ascii="Times New Roman" w:cs="Times New Roman" w:eastAsia="Times New Roman" w:hAnsi="Times New Roman"/>
          <w:sz w:val="18"/>
          <w:szCs w:val="18"/>
          <w:vertAlign w:val="superscript"/>
        </w:rPr>
        <w:t xml:space="preserve">[37,33]</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3. Three Modes of Clone–Tissue Interaction</w:t>
      </w:r>
    </w:p>
    <w:p>
      <w:pPr>
        <w:spacing w:after="180" w:line="276" w:lineRule="auto"/>
        <w:jc w:val="both"/>
      </w:pPr>
      <w:r>
        <w:rPr>
          <w:rFonts w:ascii="Times New Roman" w:cs="Times New Roman" w:eastAsia="Times New Roman" w:hAnsi="Times New Roman"/>
          <w:sz w:val="24"/>
          <w:szCs w:val="24"/>
        </w:rPr>
        <w:t xml:space="preserve">The morphophysiological context determinant M operates through three qualitatively distinct interaction modes between the separated clone and its surrounding tissue. These modes are not fixed properties but dynamic states that shift over time as the balance of clone activity and tissue response evolves.</w:t>
      </w:r>
    </w:p>
    <w:p>
      <w:pPr>
        <w:pStyle w:val="Heading2"/>
        <w:spacing w:after="100" w:before="240"/>
      </w:pPr>
      <w:r>
        <w:rPr>
          <w:rFonts w:ascii="Arial" w:cs="Arial" w:eastAsia="Arial" w:hAnsi="Arial"/>
          <w:b/>
          <w:bCs/>
          <w:color w:val="2E75B6"/>
          <w:sz w:val="24"/>
          <w:szCs w:val="24"/>
        </w:rPr>
        <w:t xml:space="preserve">3.1 Synchronization</w:t>
      </w:r>
    </w:p>
    <w:p>
      <w:pPr>
        <w:spacing w:after="180" w:line="276" w:lineRule="auto"/>
        <w:jc w:val="both"/>
      </w:pPr>
      <w:r>
        <w:rPr>
          <w:rFonts w:ascii="Times New Roman" w:cs="Times New Roman" w:eastAsia="Times New Roman" w:hAnsi="Times New Roman"/>
          <w:sz w:val="24"/>
          <w:szCs w:val="24"/>
        </w:rPr>
        <w:t xml:space="preserve">In the synchronization mode, the separated clone retains partial coupling with the regenerative and metabolic dynamics of the surrounding tissue. The clone's Regeneration Pendulum oscillations — its own cycles of proliferation, cell death, matrix remodeling, and inflammation — are partially synchronized with those of the surrounding tissue. </w:t>
      </w:r>
      <w:r>
        <w:rPr>
          <w:rFonts w:ascii="Times New Roman" w:cs="Times New Roman" w:eastAsia="Times New Roman" w:hAnsi="Times New Roman"/>
          <w:sz w:val="18"/>
          <w:szCs w:val="18"/>
          <w:vertAlign w:val="superscript"/>
        </w:rPr>
        <w:t xml:space="preserve">[41,39]</w:t>
      </w:r>
    </w:p>
    <w:p>
      <w:pPr>
        <w:spacing w:after="180" w:line="276" w:lineRule="auto"/>
        <w:jc w:val="both"/>
      </w:pPr>
      <w:r>
        <w:rPr>
          <w:rFonts w:ascii="Times New Roman" w:cs="Times New Roman" w:eastAsia="Times New Roman" w:hAnsi="Times New Roman"/>
          <w:sz w:val="24"/>
          <w:szCs w:val="24"/>
        </w:rPr>
        <w:t xml:space="preserve">Synchronization is most probable when E and I are moderate, when A is low, and when the degree of ontogenetic decoupling is limited (Stage 1 of Paper 4: dysplasia-equivalent). In synchronized mode, the surrounding tissue is transiently recruited into a shared developmental-like state during the clone's regenerative phases — resembling the inflammatory halo and regenerative activation observed surrounding benign lesions and stable dysplasias. The organism's tissue provides external oscillatory damping that prevents the clone's Regeneration Pendulum from escaping its limit cycle. </w:t>
      </w:r>
      <w:r>
        <w:rPr>
          <w:rFonts w:ascii="Times New Roman" w:cs="Times New Roman" w:eastAsia="Times New Roman" w:hAnsi="Times New Roman"/>
          <w:sz w:val="18"/>
          <w:szCs w:val="18"/>
          <w:vertAlign w:val="superscript"/>
        </w:rPr>
        <w:t xml:space="preserve">[29,18]</w:t>
      </w:r>
    </w:p>
    <w:p>
      <w:pPr>
        <w:spacing w:after="180" w:line="276" w:lineRule="auto"/>
        <w:jc w:val="both"/>
      </w:pPr>
      <w:r>
        <w:rPr>
          <w:rFonts w:ascii="Times New Roman" w:cs="Times New Roman" w:eastAsia="Times New Roman" w:hAnsi="Times New Roman"/>
          <w:sz w:val="24"/>
          <w:szCs w:val="24"/>
        </w:rPr>
        <w:t xml:space="preserve">Synchronization corresponds to the </w:t>
      </w:r>
      <w:r>
        <w:rPr>
          <w:rFonts w:ascii="Times New Roman" w:cs="Times New Roman" w:eastAsia="Times New Roman" w:hAnsi="Times New Roman"/>
          <w:b/>
          <w:bCs/>
          <w:sz w:val="24"/>
          <w:szCs w:val="24"/>
        </w:rPr>
        <w:t xml:space="preserve">limited persistence</w:t>
      </w:r>
      <w:r>
        <w:rPr>
          <w:rFonts w:ascii="Times New Roman" w:cs="Times New Roman" w:eastAsia="Times New Roman" w:hAnsi="Times New Roman"/>
          <w:sz w:val="24"/>
          <w:szCs w:val="24"/>
        </w:rPr>
        <w:t xml:space="preserve"> attractor when stable: the clone exists but cannot expand because tissue-level oscillatory coupling prevents sustained BGR dominance. It may also be a transient state preceding either elimination (if immunological pressure increases) or progression to blocking-failure (if clone activity increases).</w:t>
      </w:r>
    </w:p>
    <w:p>
      <w:pPr>
        <w:pStyle w:val="Heading2"/>
        <w:spacing w:after="100" w:before="240"/>
      </w:pPr>
      <w:r>
        <w:rPr>
          <w:rFonts w:ascii="Arial" w:cs="Arial" w:eastAsia="Arial" w:hAnsi="Arial"/>
          <w:b/>
          <w:bCs/>
          <w:color w:val="2E75B6"/>
          <w:sz w:val="24"/>
          <w:szCs w:val="24"/>
        </w:rPr>
        <w:t xml:space="preserve">3.2 Blocking</w:t>
      </w:r>
    </w:p>
    <w:p>
      <w:pPr>
        <w:spacing w:after="180" w:line="276" w:lineRule="auto"/>
        <w:jc w:val="both"/>
      </w:pPr>
      <w:r>
        <w:rPr>
          <w:rFonts w:ascii="Times New Roman" w:cs="Times New Roman" w:eastAsia="Times New Roman" w:hAnsi="Times New Roman"/>
          <w:sz w:val="24"/>
          <w:szCs w:val="24"/>
        </w:rPr>
        <w:t xml:space="preserve">In the blocking mode, the surrounding tissue actively restricts clone development through mechanical, metabolic, immunological, or signaling mechanisms, without eliminating the clone. The block may operate through:</w:t>
      </w:r>
    </w:p>
    <w:p>
      <w:pPr>
        <w:pStyle w:val="ListParagraph"/>
        <w:numPr>
          <w:ilvl w:val="0"/>
          <w:numId w:val="2"/>
        </w:numPr>
        <w:spacing w:after="100"/>
      </w:pPr>
      <w:r>
        <w:rPr>
          <w:rFonts w:ascii="Times New Roman" w:cs="Times New Roman" w:eastAsia="Times New Roman" w:hAnsi="Times New Roman"/>
          <w:b/>
          <w:bCs/>
          <w:sz w:val="24"/>
          <w:szCs w:val="24"/>
        </w:rPr>
        <w:t xml:space="preserve">Mechanical containment: </w:t>
      </w:r>
      <w:r>
        <w:rPr>
          <w:rFonts w:ascii="Times New Roman" w:cs="Times New Roman" w:eastAsia="Times New Roman" w:hAnsi="Times New Roman"/>
          <w:sz w:val="24"/>
          <w:szCs w:val="24"/>
        </w:rPr>
        <w:t xml:space="preserve">tissue stiffness, intact basement membrane architecture, and dense ECM organization physically limit clone expansion.</w:t>
      </w:r>
    </w:p>
    <w:p>
      <w:pPr>
        <w:pStyle w:val="ListParagraph"/>
        <w:numPr>
          <w:ilvl w:val="0"/>
          <w:numId w:val="2"/>
        </w:numPr>
        <w:spacing w:after="100"/>
      </w:pPr>
      <w:r>
        <w:rPr>
          <w:rFonts w:ascii="Times New Roman" w:cs="Times New Roman" w:eastAsia="Times New Roman" w:hAnsi="Times New Roman"/>
          <w:b/>
          <w:bCs/>
          <w:sz w:val="24"/>
          <w:szCs w:val="24"/>
        </w:rPr>
        <w:t xml:space="preserve">Metabolic restriction: </w:t>
      </w:r>
      <w:r>
        <w:rPr>
          <w:rFonts w:ascii="Times New Roman" w:cs="Times New Roman" w:eastAsia="Times New Roman" w:hAnsi="Times New Roman"/>
          <w:sz w:val="24"/>
          <w:szCs w:val="24"/>
        </w:rPr>
        <w:t xml:space="preserve">limiting vascular access to the clone compartment restricts E, capping the sustainable rate of BGR-dominant clone metabolism.</w:t>
      </w:r>
    </w:p>
    <w:p>
      <w:pPr>
        <w:pStyle w:val="ListParagraph"/>
        <w:numPr>
          <w:ilvl w:val="0"/>
          <w:numId w:val="2"/>
        </w:numPr>
        <w:spacing w:after="100"/>
      </w:pPr>
      <w:r>
        <w:rPr>
          <w:rFonts w:ascii="Times New Roman" w:cs="Times New Roman" w:eastAsia="Times New Roman" w:hAnsi="Times New Roman"/>
          <w:b/>
          <w:bCs/>
          <w:sz w:val="24"/>
          <w:szCs w:val="24"/>
        </w:rPr>
        <w:t xml:space="preserve">Contact inhibition maintenance: </w:t>
      </w:r>
      <w:r>
        <w:rPr>
          <w:rFonts w:ascii="Times New Roman" w:cs="Times New Roman" w:eastAsia="Times New Roman" w:hAnsi="Times New Roman"/>
          <w:sz w:val="24"/>
          <w:szCs w:val="24"/>
        </w:rPr>
        <w:t xml:space="preserve">sufficient residual surface contact inhibition signals reaching the clone from surrounding normal cells suppresses proliferative signaling.</w:t>
      </w:r>
    </w:p>
    <w:p>
      <w:pPr>
        <w:pStyle w:val="ListParagraph"/>
        <w:numPr>
          <w:ilvl w:val="0"/>
          <w:numId w:val="2"/>
        </w:numPr>
        <w:spacing w:after="100"/>
      </w:pPr>
      <w:r>
        <w:rPr>
          <w:rFonts w:ascii="Times New Roman" w:cs="Times New Roman" w:eastAsia="Times New Roman" w:hAnsi="Times New Roman"/>
          <w:b/>
          <w:bCs/>
          <w:sz w:val="24"/>
          <w:szCs w:val="24"/>
        </w:rPr>
        <w:t xml:space="preserve">Immune equilibrium: </w:t>
      </w:r>
      <w:r>
        <w:rPr>
          <w:rFonts w:ascii="Times New Roman" w:cs="Times New Roman" w:eastAsia="Times New Roman" w:hAnsi="Times New Roman"/>
          <w:sz w:val="24"/>
          <w:szCs w:val="24"/>
        </w:rPr>
        <w:t xml:space="preserve">balanced immune pressure that neither eliminates nor facilitates — the dormancy equilibrium phase — maintains the clone in suspended limited persistence. </w:t>
      </w:r>
      <w:r>
        <w:rPr>
          <w:rFonts w:ascii="Times New Roman" w:cs="Times New Roman" w:eastAsia="Times New Roman" w:hAnsi="Times New Roman"/>
          <w:sz w:val="18"/>
          <w:szCs w:val="18"/>
          <w:vertAlign w:val="superscript"/>
        </w:rPr>
        <w:t xml:space="preserve">[31,32,40]</w:t>
      </w:r>
    </w:p>
    <w:p>
      <w:pPr>
        <w:spacing w:after="60"/>
      </w:pPr>
      <w:r>
        <w:rPr>
          <w:rFonts w:ascii="Times New Roman" w:cs="Times New Roman" w:eastAsia="Times New Roman" w:hAnsi="Times New Roman"/>
          <w:sz w:val="24"/>
          <w:szCs w:val="24"/>
        </w:rPr>
        <w:t xml:space="preserve"/>
      </w:r>
    </w:p>
    <w:p>
      <w:pPr>
        <w:spacing w:after="180" w:line="276" w:lineRule="auto"/>
        <w:jc w:val="both"/>
      </w:pPr>
      <w:r>
        <w:rPr>
          <w:rFonts w:ascii="Times New Roman" w:cs="Times New Roman" w:eastAsia="Times New Roman" w:hAnsi="Times New Roman"/>
          <w:sz w:val="24"/>
          <w:szCs w:val="24"/>
        </w:rPr>
        <w:t xml:space="preserve">Blocking is the mechanistic basis of </w:t>
      </w:r>
      <w:r>
        <w:rPr>
          <w:rFonts w:ascii="Times New Roman" w:cs="Times New Roman" w:eastAsia="Times New Roman" w:hAnsi="Times New Roman"/>
          <w:b/>
          <w:bCs/>
          <w:sz w:val="24"/>
          <w:szCs w:val="24"/>
        </w:rPr>
        <w:t xml:space="preserve">tumor dormancy</w:t>
      </w:r>
      <w:r>
        <w:rPr>
          <w:rFonts w:ascii="Times New Roman" w:cs="Times New Roman" w:eastAsia="Times New Roman" w:hAnsi="Times New Roman"/>
          <w:sz w:val="24"/>
          <w:szCs w:val="24"/>
        </w:rPr>
        <w:t xml:space="preserve">: the long-term persistence of separated clones in a non-proliferative, non-regressing state. Clinical dormancy — the reappearance of metastatic disease years or decades after apparently successful primary tumor treatment — represents escape from the blocking mode following a change in one or more determinants (immunosuppression, tissue aging, inflammatory trigger). </w:t>
      </w:r>
      <w:r>
        <w:rPr>
          <w:rFonts w:ascii="Times New Roman" w:cs="Times New Roman" w:eastAsia="Times New Roman" w:hAnsi="Times New Roman"/>
          <w:sz w:val="18"/>
          <w:szCs w:val="18"/>
          <w:vertAlign w:val="superscript"/>
        </w:rPr>
        <w:t xml:space="preserve">[31,32,24]</w:t>
      </w:r>
    </w:p>
    <w:p>
      <w:pPr>
        <w:pStyle w:val="Heading2"/>
        <w:spacing w:after="100" w:before="240"/>
      </w:pPr>
      <w:r>
        <w:rPr>
          <w:rFonts w:ascii="Arial" w:cs="Arial" w:eastAsia="Arial" w:hAnsi="Arial"/>
          <w:b/>
          <w:bCs/>
          <w:color w:val="2E75B6"/>
          <w:sz w:val="24"/>
          <w:szCs w:val="24"/>
        </w:rPr>
        <w:t xml:space="preserve">3.3 Active Tissue Remodeling</w:t>
      </w:r>
    </w:p>
    <w:p>
      <w:pPr>
        <w:spacing w:after="180" w:line="276" w:lineRule="auto"/>
        <w:jc w:val="both"/>
      </w:pPr>
      <w:r>
        <w:rPr>
          <w:rFonts w:ascii="Times New Roman" w:cs="Times New Roman" w:eastAsia="Times New Roman" w:hAnsi="Times New Roman"/>
          <w:sz w:val="24"/>
          <w:szCs w:val="24"/>
        </w:rPr>
        <w:t xml:space="preserve">In the active remodeling mode, the clone transitions from receiving architectural regulation from the surrounding tissue to </w:t>
      </w:r>
      <w:r>
        <w:rPr>
          <w:rFonts w:ascii="Times New Roman" w:cs="Times New Roman" w:eastAsia="Times New Roman" w:hAnsi="Times New Roman"/>
          <w:b/>
          <w:bCs/>
          <w:sz w:val="24"/>
          <w:szCs w:val="24"/>
        </w:rPr>
        <w:t xml:space="preserve">imposing architectural modification</w:t>
      </w:r>
      <w:r>
        <w:rPr>
          <w:rFonts w:ascii="Times New Roman" w:cs="Times New Roman" w:eastAsia="Times New Roman" w:hAnsi="Times New Roman"/>
          <w:sz w:val="24"/>
          <w:szCs w:val="24"/>
        </w:rPr>
        <w:t xml:space="preserve"> upon it. This mode is characterized by A dominating the F_clone dynamics, with clone-derived MMP activity, inflammatory signaling, angiogenic recruitment, and stromal reprogramming progressively dismantling the tissue architecture that previously constrained the clone. </w:t>
      </w:r>
      <w:r>
        <w:rPr>
          <w:rFonts w:ascii="Times New Roman" w:cs="Times New Roman" w:eastAsia="Times New Roman" w:hAnsi="Times New Roman"/>
          <w:sz w:val="18"/>
          <w:szCs w:val="18"/>
          <w:vertAlign w:val="superscript"/>
        </w:rPr>
        <w:t xml:space="preserve">[9,25,8]</w:t>
      </w:r>
    </w:p>
    <w:p>
      <w:pPr>
        <w:spacing w:after="180" w:line="276" w:lineRule="auto"/>
        <w:jc w:val="both"/>
      </w:pPr>
      <w:r>
        <w:rPr>
          <w:rFonts w:ascii="Times New Roman" w:cs="Times New Roman" w:eastAsia="Times New Roman" w:hAnsi="Times New Roman"/>
          <w:sz w:val="24"/>
          <w:szCs w:val="24"/>
        </w:rPr>
        <w:t xml:space="preserve">Active remodeling represents the transition from </w:t>
      </w:r>
      <w:r>
        <w:rPr>
          <w:rFonts w:ascii="Times New Roman" w:cs="Times New Roman" w:eastAsia="Times New Roman" w:hAnsi="Times New Roman"/>
          <w:i/>
          <w:iCs/>
          <w:sz w:val="24"/>
          <w:szCs w:val="24"/>
        </w:rPr>
        <w:t xml:space="preserve">partial autonomy</w:t>
      </w:r>
      <w:r>
        <w:rPr>
          <w:rFonts w:ascii="Times New Roman" w:cs="Times New Roman" w:eastAsia="Times New Roman" w:hAnsi="Times New Roman"/>
          <w:sz w:val="24"/>
          <w:szCs w:val="24"/>
        </w:rPr>
        <w:t xml:space="preserve"> toward </w:t>
      </w:r>
      <w:r>
        <w:rPr>
          <w:rFonts w:ascii="Times New Roman" w:cs="Times New Roman" w:eastAsia="Times New Roman" w:hAnsi="Times New Roman"/>
          <w:i/>
          <w:iCs/>
          <w:sz w:val="24"/>
          <w:szCs w:val="24"/>
        </w:rPr>
        <w:t xml:space="preserve">full morphodynamic autonomy</w:t>
      </w:r>
      <w:r>
        <w:rPr>
          <w:rFonts w:ascii="Times New Roman" w:cs="Times New Roman" w:eastAsia="Times New Roman" w:hAnsi="Times New Roman"/>
          <w:sz w:val="24"/>
          <w:szCs w:val="24"/>
        </w:rPr>
        <w:t xml:space="preserve">. Once established, it generates the positive feedback of equation 2.5: remodeling expands the energetic window, which enables more clone activity, which drives further remodeling. The 3D-to-2D transition described in Paper 3 is the morphological manifestation of sustained active remodeling mode. </w:t>
      </w:r>
      <w:r>
        <w:rPr>
          <w:rFonts w:ascii="Times New Roman" w:cs="Times New Roman" w:eastAsia="Times New Roman" w:hAnsi="Times New Roman"/>
          <w:sz w:val="18"/>
          <w:szCs w:val="18"/>
          <w:vertAlign w:val="superscript"/>
        </w:rPr>
        <w:t xml:space="preserve">[43]</w:t>
      </w:r>
    </w:p>
    <w:p>
      <w:pPr>
        <w:spacing w:after="180" w:line="276" w:lineRule="auto"/>
        <w:jc w:val="both"/>
      </w:pPr>
      <w:r>
        <w:rPr>
          <w:rFonts w:ascii="Times New Roman" w:cs="Times New Roman" w:eastAsia="Times New Roman" w:hAnsi="Times New Roman"/>
          <w:sz w:val="24"/>
          <w:szCs w:val="24"/>
        </w:rPr>
        <w:t xml:space="preserve">The transition from blocking to active remodeling is the critical bifurcation point in clone fate. Its determinants — the threshold conditions at which A overcomes M and the blocking mode fails — are addressed in Section 5.</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4. Developmental Attractors of the Separated Clone</w:t>
      </w:r>
    </w:p>
    <w:p>
      <w:pPr>
        <w:spacing w:after="180" w:line="276" w:lineRule="auto"/>
        <w:jc w:val="both"/>
      </w:pPr>
      <w:r>
        <w:rPr>
          <w:rFonts w:ascii="Times New Roman" w:cs="Times New Roman" w:eastAsia="Times New Roman" w:hAnsi="Times New Roman"/>
          <w:sz w:val="24"/>
          <w:szCs w:val="24"/>
        </w:rPr>
        <w:t xml:space="preserve">The interaction of the five determinants places the separated clone within a developmental landscape containing four stable or meta-stable attractor states. These attractors represent qualitatively distinct dynamic regimes, not merely quantitative positions on a single axis.</w:t>
      </w:r>
    </w:p>
    <w:p>
      <w:pPr>
        <w:pStyle w:val="Heading2"/>
        <w:spacing w:after="100" w:before="240"/>
      </w:pPr>
      <w:r>
        <w:rPr>
          <w:rFonts w:ascii="Arial" w:cs="Arial" w:eastAsia="Arial" w:hAnsi="Arial"/>
          <w:b/>
          <w:bCs/>
          <w:color w:val="2E75B6"/>
          <w:sz w:val="24"/>
          <w:szCs w:val="24"/>
        </w:rPr>
        <w:t xml:space="preserve">4.1 Attractor I: Elimination</w:t>
      </w:r>
    </w:p>
    <w:p>
      <w:pPr>
        <w:spacing w:after="180" w:line="276" w:lineRule="auto"/>
        <w:jc w:val="both"/>
      </w:pPr>
      <w:r>
        <w:rPr>
          <w:rFonts w:ascii="Times New Roman" w:cs="Times New Roman" w:eastAsia="Times New Roman" w:hAnsi="Times New Roman"/>
          <w:sz w:val="24"/>
          <w:szCs w:val="24"/>
        </w:rPr>
        <w:t xml:space="preserve">The clone is destroyed by immune mechanisms, energetic insufficiency, or structural instability before establishing sustainable autonomous dynamics. Elimination occurs when I (in its elimination mode) is dominant and A has not yet achieved the autocrine BGR maintenance that would reduce dependence on tissue-level E. </w:t>
      </w:r>
      <w:r>
        <w:rPr>
          <w:rFonts w:ascii="Times New Roman" w:cs="Times New Roman" w:eastAsia="Times New Roman" w:hAnsi="Times New Roman"/>
          <w:sz w:val="18"/>
          <w:szCs w:val="18"/>
          <w:vertAlign w:val="superscript"/>
        </w:rPr>
        <w:t xml:space="preserve">[19,4]</w:t>
      </w:r>
    </w:p>
    <w:p>
      <w:pPr>
        <w:spacing w:after="180" w:line="276" w:lineRule="auto"/>
        <w:jc w:val="both"/>
      </w:pPr>
      <w:r>
        <w:rPr>
          <w:rFonts w:ascii="Times New Roman" w:cs="Times New Roman" w:eastAsia="Times New Roman" w:hAnsi="Times New Roman"/>
          <w:sz w:val="24"/>
          <w:szCs w:val="24"/>
        </w:rPr>
        <w:t xml:space="preserve">Clinically, elimination is the most common fate of separated clones: immunosurveillance studies indicate that nascent malignant cells are continuously generated and eliminated in healthy individuals without ever manifesting as clinically apparent tumors. The efficiency of this elimination determines the baseline cancer incidence suppression that fails progressively with age and immunosuppression. </w:t>
      </w:r>
      <w:r>
        <w:rPr>
          <w:rFonts w:ascii="Times New Roman" w:cs="Times New Roman" w:eastAsia="Times New Roman" w:hAnsi="Times New Roman"/>
          <w:sz w:val="18"/>
          <w:szCs w:val="18"/>
          <w:vertAlign w:val="superscript"/>
        </w:rPr>
        <w:t xml:space="preserve">[4,5,24]</w:t>
      </w:r>
    </w:p>
    <w:p>
      <w:pPr>
        <w:pStyle w:val="Heading2"/>
        <w:spacing w:after="100" w:before="240"/>
      </w:pPr>
      <w:r>
        <w:rPr>
          <w:rFonts w:ascii="Arial" w:cs="Arial" w:eastAsia="Arial" w:hAnsi="Arial"/>
          <w:b/>
          <w:bCs/>
          <w:color w:val="2E75B6"/>
          <w:sz w:val="24"/>
          <w:szCs w:val="24"/>
        </w:rPr>
        <w:t xml:space="preserve">4.2 Attractor II: Limited Persistence</w:t>
      </w:r>
    </w:p>
    <w:p>
      <w:pPr>
        <w:spacing w:after="180" w:line="276" w:lineRule="auto"/>
        <w:jc w:val="both"/>
      </w:pPr>
      <w:r>
        <w:rPr>
          <w:rFonts w:ascii="Times New Roman" w:cs="Times New Roman" w:eastAsia="Times New Roman" w:hAnsi="Times New Roman"/>
          <w:sz w:val="24"/>
          <w:szCs w:val="24"/>
        </w:rPr>
        <w:t xml:space="preserve">The clone establishes a stable, long-term existence within the tissue but fails to achieve progressive autonomization. Limited persistence corresponds to the blocking interaction mode: immune equilibrium, energetic restriction, or mechanical containment prevents the positive feedback loop of equation 2.5 from reaching self-sustaining amplitude.</w:t>
      </w:r>
    </w:p>
    <w:p>
      <w:pPr>
        <w:spacing w:after="180" w:line="276" w:lineRule="auto"/>
        <w:jc w:val="both"/>
      </w:pPr>
      <w:r>
        <w:rPr>
          <w:rFonts w:ascii="Times New Roman" w:cs="Times New Roman" w:eastAsia="Times New Roman" w:hAnsi="Times New Roman"/>
          <w:sz w:val="24"/>
          <w:szCs w:val="24"/>
        </w:rPr>
        <w:t xml:space="preserve">This attractor class encompasses a broad range of clinically familiar states. Stable dysplasias that persist for years without progression. Endometriosis: a paradigmatic model in which a separated clone with invasive and proliferative activity remains contained in most patients through a combination of immune modulation and tissue mechanical restrictions. </w:t>
      </w:r>
      <w:r>
        <w:rPr>
          <w:rFonts w:ascii="Times New Roman" w:cs="Times New Roman" w:eastAsia="Times New Roman" w:hAnsi="Times New Roman"/>
          <w:sz w:val="18"/>
          <w:szCs w:val="18"/>
          <w:vertAlign w:val="superscript"/>
        </w:rPr>
        <w:t xml:space="preserve">[35]</w:t>
      </w:r>
      <w:r>
        <w:rPr>
          <w:rFonts w:ascii="Times New Roman" w:cs="Times New Roman" w:eastAsia="Times New Roman" w:hAnsi="Times New Roman"/>
          <w:sz w:val="24"/>
          <w:szCs w:val="24"/>
        </w:rPr>
        <w:t xml:space="preserve"> Benign tumors: clones that have achieved local metabolic autonomy and partial microenvironmental independence but remain structurally blocked from invasive expansion. </w:t>
      </w:r>
      <w:r>
        <w:rPr>
          <w:rFonts w:ascii="Times New Roman" w:cs="Times New Roman" w:eastAsia="Times New Roman" w:hAnsi="Times New Roman"/>
          <w:sz w:val="18"/>
          <w:szCs w:val="18"/>
          <w:vertAlign w:val="superscript"/>
        </w:rPr>
        <w:t xml:space="preserve">[36]</w:t>
      </w:r>
      <w:r>
        <w:rPr>
          <w:rFonts w:ascii="Times New Roman" w:cs="Times New Roman" w:eastAsia="Times New Roman" w:hAnsi="Times New Roman"/>
          <w:sz w:val="24"/>
          <w:szCs w:val="24"/>
        </w:rPr>
        <w:t xml:space="preserve"> Tumor dormancy after primary treatment: metastatic microdeposits maintained in immune equilibrium for years before eventual escape. </w:t>
      </w:r>
      <w:r>
        <w:rPr>
          <w:rFonts w:ascii="Times New Roman" w:cs="Times New Roman" w:eastAsia="Times New Roman" w:hAnsi="Times New Roman"/>
          <w:sz w:val="18"/>
          <w:szCs w:val="18"/>
          <w:vertAlign w:val="superscript"/>
        </w:rPr>
        <w:t xml:space="preserve">[31,32]</w:t>
      </w:r>
    </w:p>
    <w:p>
      <w:pPr>
        <w:spacing w:after="180" w:line="276" w:lineRule="auto"/>
        <w:jc w:val="both"/>
      </w:pPr>
      <w:r>
        <w:rPr>
          <w:rFonts w:ascii="Times New Roman" w:cs="Times New Roman" w:eastAsia="Times New Roman" w:hAnsi="Times New Roman"/>
          <w:sz w:val="24"/>
          <w:szCs w:val="24"/>
        </w:rPr>
        <w:t xml:space="preserve">The critical determinant of stability within this attractor is the balance between A and the blocking forces. Small perturbations — a localized inflammatory event, immunosuppression, tissue aging reducing M, or a clone-intrinsic epigenetic change increasing A — can shift the balance and initiate progression toward Attractor III or IV.</w:t>
      </w:r>
    </w:p>
    <w:p>
      <w:pPr>
        <w:pStyle w:val="Heading2"/>
        <w:spacing w:after="100" w:before="240"/>
      </w:pPr>
      <w:r>
        <w:rPr>
          <w:rFonts w:ascii="Arial" w:cs="Arial" w:eastAsia="Arial" w:hAnsi="Arial"/>
          <w:b/>
          <w:bCs/>
          <w:color w:val="2E75B6"/>
          <w:sz w:val="24"/>
          <w:szCs w:val="24"/>
        </w:rPr>
        <w:t xml:space="preserve">4.3 Attractor III: Partial Autonomy</w:t>
      </w:r>
    </w:p>
    <w:p>
      <w:pPr>
        <w:spacing w:after="180" w:line="276" w:lineRule="auto"/>
        <w:jc w:val="both"/>
      </w:pPr>
      <w:r>
        <w:rPr>
          <w:rFonts w:ascii="Times New Roman" w:cs="Times New Roman" w:eastAsia="Times New Roman" w:hAnsi="Times New Roman"/>
          <w:sz w:val="24"/>
          <w:szCs w:val="24"/>
        </w:rPr>
        <w:t xml:space="preserve">The clone has established sufficient autonomous microenvironmental infrastructure to maintain BGR dominance independently of tissue-level signals, but remains locally restricted. It has exited the blocking mode but has not yet achieved the full 3D-to-2D transition of Paper 3. Structurally, this corresponds to in situ carcinoma: constitutively expanded energetic window, autonomous metabolic regulation, disrupted internal tissue architecture, but intact basement membrane providing the last structural constraint on invasive expansion. </w:t>
      </w:r>
      <w:r>
        <w:rPr>
          <w:rFonts w:ascii="Times New Roman" w:cs="Times New Roman" w:eastAsia="Times New Roman" w:hAnsi="Times New Roman"/>
          <w:sz w:val="18"/>
          <w:szCs w:val="18"/>
          <w:vertAlign w:val="superscript"/>
        </w:rPr>
        <w:t xml:space="preserve">[43,44]</w:t>
      </w:r>
    </w:p>
    <w:p>
      <w:pPr>
        <w:spacing w:after="180" w:line="276" w:lineRule="auto"/>
        <w:jc w:val="both"/>
      </w:pPr>
      <w:r>
        <w:rPr>
          <w:rFonts w:ascii="Times New Roman" w:cs="Times New Roman" w:eastAsia="Times New Roman" w:hAnsi="Times New Roman"/>
          <w:sz w:val="24"/>
          <w:szCs w:val="24"/>
        </w:rPr>
        <w:t xml:space="preserve">This attractor is meta-stable: the positive feedback of equation 2.5 is operating but encountering the structural resistance of the remaining tissue constraint (basement membrane, physical tissue boundaries). The clone's developmental trajectory in this attractor depends on whether autonomous microenvironmental activity can overcome the remaining structural barriers, or whether those barriers stabilize the clone in a long-term in situ state.</w:t>
      </w:r>
    </w:p>
    <w:p>
      <w:pPr>
        <w:pStyle w:val="Heading2"/>
        <w:spacing w:after="100" w:before="240"/>
      </w:pPr>
      <w:r>
        <w:rPr>
          <w:rFonts w:ascii="Arial" w:cs="Arial" w:eastAsia="Arial" w:hAnsi="Arial"/>
          <w:b/>
          <w:bCs/>
          <w:color w:val="2E75B6"/>
          <w:sz w:val="24"/>
          <w:szCs w:val="24"/>
        </w:rPr>
        <w:t xml:space="preserve">4.4 Attractor IV: Full Morphodynamic Autonomy</w:t>
      </w:r>
    </w:p>
    <w:p>
      <w:pPr>
        <w:spacing w:after="180" w:line="276" w:lineRule="auto"/>
        <w:jc w:val="both"/>
      </w:pPr>
      <w:r>
        <w:rPr>
          <w:rFonts w:ascii="Times New Roman" w:cs="Times New Roman" w:eastAsia="Times New Roman" w:hAnsi="Times New Roman"/>
          <w:sz w:val="24"/>
          <w:szCs w:val="24"/>
        </w:rPr>
        <w:t xml:space="preserve">The clone has completed the 3D-to-2D morphodynamic transition (Paper 3), achieved full topological disconnection (Paper 4), constructed a fully autonomous microenvironment, and escaped all tissue-level structural constraints. This state corresponds to invasive malignancy. The clone's BGR dominance is constitutively self-sustaining through autocrine signaling; immune modulation is sufficient to prevent elimination; and the positive feedback loop of equation 2.5 operates without architectural damping. </w:t>
      </w:r>
      <w:r>
        <w:rPr>
          <w:rFonts w:ascii="Times New Roman" w:cs="Times New Roman" w:eastAsia="Times New Roman" w:hAnsi="Times New Roman"/>
          <w:sz w:val="18"/>
          <w:szCs w:val="18"/>
          <w:vertAlign w:val="superscript"/>
        </w:rPr>
        <w:t xml:space="preserve">[4,5,43,44]</w:t>
      </w:r>
    </w:p>
    <w:p>
      <w:pPr>
        <w:spacing w:after="180" w:line="276" w:lineRule="auto"/>
        <w:jc w:val="both"/>
      </w:pPr>
      <w:r>
        <w:rPr>
          <w:rFonts w:ascii="Times New Roman" w:cs="Times New Roman" w:eastAsia="Times New Roman" w:hAnsi="Times New Roman"/>
          <w:sz w:val="24"/>
          <w:szCs w:val="24"/>
        </w:rPr>
        <w:t xml:space="preserve">Within this attractor, the clone continues to evolve — acquiring metastatic capacity, resistance to therapeutic agents, and increasingly diversified subclonal architecture through the clonal evolution described by Nowell. </w:t>
      </w:r>
      <w:r>
        <w:rPr>
          <w:rFonts w:ascii="Times New Roman" w:cs="Times New Roman" w:eastAsia="Times New Roman" w:hAnsi="Times New Roman"/>
          <w:sz w:val="18"/>
          <w:szCs w:val="18"/>
          <w:vertAlign w:val="superscript"/>
        </w:rPr>
        <w:t xml:space="preserve">[3]</w:t>
      </w:r>
      <w:r>
        <w:rPr>
          <w:rFonts w:ascii="Times New Roman" w:cs="Times New Roman" w:eastAsia="Times New Roman" w:hAnsi="Times New Roman"/>
          <w:sz w:val="24"/>
          <w:szCs w:val="24"/>
        </w:rPr>
        <w:t xml:space="preserve"> However, within the present framework these processes are secondary to the primary event: the achievement of full morphodynamic autonomy through progressive energetic, immunological, and structural decoupling from the organism.</w:t>
      </w:r>
    </w:p>
    <w:p>
      <w:pPr>
        <w:spacing w:after="60"/>
      </w:pPr>
      <w:r>
        <w:rPr>
          <w:rFonts w:ascii="Times New Roman" w:cs="Times New Roman" w:eastAsia="Times New Roman" w:hAnsi="Times New Roman"/>
          <w:sz w:val="24"/>
          <w:szCs w:val="24"/>
        </w:rPr>
        <w:t xml:space="preserve"/>
      </w:r>
    </w:p>
    <w:p>
      <w:pPr>
        <w:spacing w:after="120"/>
      </w:pPr>
      <w:r>
        <w:rPr>
          <w:rFonts w:ascii="Arial" w:cs="Arial" w:eastAsia="Arial" w:hAnsi="Arial"/>
          <w:b/>
          <w:bCs/>
          <w:sz w:val="22"/>
          <w:szCs w:val="22"/>
        </w:rPr>
        <w:t xml:space="preserve">Table 1.  </w:t>
      </w:r>
      <w:r>
        <w:rPr>
          <w:rFonts w:ascii="Arial" w:cs="Arial" w:eastAsia="Arial" w:hAnsi="Arial"/>
          <w:i/>
          <w:iCs/>
          <w:sz w:val="22"/>
          <w:szCs w:val="22"/>
        </w:rPr>
        <w:t xml:space="preserve">Four developmental attractors of the separated clone and their determinant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300"/>
        <w:gridCol w:w="1300"/>
        <w:gridCol w:w="1260"/>
        <w:gridCol w:w="3100"/>
      </w:tblGrid>
      <w:tr>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Attractor</w:t>
            </w:r>
          </w:p>
        </w:tc>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 (Energetic)</w:t>
            </w:r>
          </w:p>
        </w:tc>
        <w:tc>
          <w:tcPr>
            <w:tcW w:type="dxa" w:w="13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 (Immune)</w:t>
            </w:r>
          </w:p>
        </w:tc>
        <w:tc>
          <w:tcPr>
            <w:tcW w:type="dxa" w:w="13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 mode</w:t>
            </w:r>
          </w:p>
        </w:tc>
        <w:tc>
          <w:tcPr>
            <w:tcW w:type="dxa" w:w="12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 (Activity)</w:t>
            </w:r>
          </w:p>
        </w:tc>
        <w:tc>
          <w:tcPr>
            <w:tcW w:type="dxa" w:w="31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 (Trajectory character)</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Elimination</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Low / insufficient</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Dominant</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Blocking</w:t>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Low / pre-autocrine</w:t>
            </w:r>
          </w:p>
        </w:tc>
        <w:tc>
          <w:tcPr>
            <w:tcW w:type="dxa" w:w="3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Short; no cycles completed; immune exposure maximal</w:t>
            </w:r>
          </w:p>
        </w:tc>
      </w:tr>
      <w:tr>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Limited persistence</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Moderate / restricted</w:t>
            </w:r>
          </w:p>
        </w:tc>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Equilibrium</w:t>
            </w:r>
          </w:p>
        </w:tc>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Blocking</w:t>
            </w:r>
          </w:p>
        </w:tc>
        <w:tc>
          <w:tcPr>
            <w:tcW w:type="dxa" w:w="12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Low–moderate</w:t>
            </w:r>
          </w:p>
        </w:tc>
        <w:tc>
          <w:tcPr>
            <w:tcW w:type="dxa" w:w="31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Variable; stable long-term; accumulation slow</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Partial autonomy</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High / self-supported</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Partial evasion</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Failing</w:t>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Moderate–high</w:t>
            </w:r>
          </w:p>
        </w:tc>
        <w:tc>
          <w:tcPr>
            <w:tcW w:type="dxa" w:w="3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Sufficient to establish autocrine BGR; blocking failing</w:t>
            </w:r>
          </w:p>
        </w:tc>
      </w:tr>
      <w:tr>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Full autonomy</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Self-sustaining</w:t>
            </w:r>
          </w:p>
        </w:tc>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Evasion dominant</w:t>
            </w:r>
          </w:p>
        </w:tc>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Remodeling</w:t>
            </w:r>
          </w:p>
        </w:tc>
        <w:tc>
          <w:tcPr>
            <w:tcW w:type="dxa" w:w="12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High / self-amplifying</w:t>
            </w:r>
          </w:p>
        </w:tc>
        <w:tc>
          <w:tcPr>
            <w:tcW w:type="dxa" w:w="31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Long; multiple cycles; autonomous microenvironment complete</w:t>
            </w:r>
          </w:p>
        </w:tc>
      </w:tr>
    </w:tbl>
    <w:p>
      <w:pPr>
        <w:spacing w:after="60"/>
      </w:pPr>
      <w:r>
        <w:rPr>
          <w:rFonts w:ascii="Times New Roman" w:cs="Times New Roman" w:eastAsia="Times New Roman" w:hAnsi="Times New Roman"/>
          <w:sz w:val="24"/>
          <w:szCs w:val="24"/>
        </w:rPr>
        <w:t xml:space="preserve"/>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5. Threshold Conditions for Attractor Transitions</w:t>
      </w:r>
    </w:p>
    <w:p>
      <w:pPr>
        <w:pStyle w:val="Heading2"/>
        <w:spacing w:after="100" w:before="240"/>
      </w:pPr>
      <w:r>
        <w:rPr>
          <w:rFonts w:ascii="Arial" w:cs="Arial" w:eastAsia="Arial" w:hAnsi="Arial"/>
          <w:b/>
          <w:bCs/>
          <w:color w:val="2E75B6"/>
          <w:sz w:val="24"/>
          <w:szCs w:val="24"/>
        </w:rPr>
        <w:t xml:space="preserve">5.1 From Elimination to Limited Persistence</w:t>
      </w:r>
    </w:p>
    <w:p>
      <w:pPr>
        <w:spacing w:after="180" w:line="276" w:lineRule="auto"/>
        <w:jc w:val="both"/>
      </w:pPr>
      <w:r>
        <w:rPr>
          <w:rFonts w:ascii="Times New Roman" w:cs="Times New Roman" w:eastAsia="Times New Roman" w:hAnsi="Times New Roman"/>
          <w:sz w:val="24"/>
          <w:szCs w:val="24"/>
        </w:rPr>
        <w:t xml:space="preserve">The transition from Attractor I to Attractor II requires the clone to establish sufficient autocrine BGR maintenance to survive immune-mediated or energetic elimination pressure. The critical event is </w:t>
      </w:r>
      <w:r>
        <w:rPr>
          <w:rFonts w:ascii="Times New Roman" w:cs="Times New Roman" w:eastAsia="Times New Roman" w:hAnsi="Times New Roman"/>
          <w:b/>
          <w:bCs/>
          <w:sz w:val="24"/>
          <w:szCs w:val="24"/>
        </w:rPr>
        <w:t xml:space="preserve">BGR self-stabilization</w:t>
      </w:r>
      <w:r>
        <w:rPr>
          <w:rFonts w:ascii="Times New Roman" w:cs="Times New Roman" w:eastAsia="Times New Roman" w:hAnsi="Times New Roman"/>
          <w:sz w:val="24"/>
          <w:szCs w:val="24"/>
        </w:rPr>
        <w:t xml:space="preserve"> (Paper 2): the establishment of autocrine signaling loops — HIF-1α stabilization, HK2 upregulation, LDHA induction — that maintain glycolytic dominance independently of tissue-level metabolic signals. Once BGR is self-maintained, the clone's metabolic independence from the tissue increases its resilience against elimination. </w:t>
      </w:r>
      <w:r>
        <w:rPr>
          <w:rFonts w:ascii="Times New Roman" w:cs="Times New Roman" w:eastAsia="Times New Roman" w:hAnsi="Times New Roman"/>
          <w:sz w:val="18"/>
          <w:szCs w:val="18"/>
          <w:vertAlign w:val="superscript"/>
        </w:rPr>
        <w:t xml:space="preserve">[42,27,6]</w:t>
      </w:r>
    </w:p>
    <w:p>
      <w:pPr>
        <w:pStyle w:val="Heading2"/>
        <w:spacing w:after="100" w:before="240"/>
      </w:pPr>
      <w:r>
        <w:rPr>
          <w:rFonts w:ascii="Arial" w:cs="Arial" w:eastAsia="Arial" w:hAnsi="Arial"/>
          <w:b/>
          <w:bCs/>
          <w:color w:val="2E75B6"/>
          <w:sz w:val="24"/>
          <w:szCs w:val="24"/>
        </w:rPr>
        <w:t xml:space="preserve">5.2 From Limited Persistence to Partial Autonomy</w:t>
      </w:r>
    </w:p>
    <w:p>
      <w:pPr>
        <w:spacing w:after="180" w:line="276" w:lineRule="auto"/>
        <w:jc w:val="both"/>
      </w:pPr>
      <w:r>
        <w:rPr>
          <w:rFonts w:ascii="Times New Roman" w:cs="Times New Roman" w:eastAsia="Times New Roman" w:hAnsi="Times New Roman"/>
          <w:sz w:val="24"/>
          <w:szCs w:val="24"/>
        </w:rPr>
        <w:t xml:space="preserve">This is the transition most relevant to the clinical problem of dysplasia progression. The blocking mode fails when clone-intrinsic A exceeds the sum of tissue-level blocking forces. Three principal mechanisms drive this failure:</w:t>
      </w:r>
    </w:p>
    <w:p>
      <w:pPr>
        <w:pStyle w:val="ListParagraph"/>
        <w:numPr>
          <w:ilvl w:val="0"/>
          <w:numId w:val="3"/>
        </w:numPr>
        <w:spacing w:after="120"/>
      </w:pPr>
      <w:r>
        <w:rPr>
          <w:rFonts w:ascii="Times New Roman" w:cs="Times New Roman" w:eastAsia="Times New Roman" w:hAnsi="Times New Roman"/>
          <w:b/>
          <w:bCs/>
          <w:sz w:val="24"/>
          <w:szCs w:val="24"/>
        </w:rPr>
        <w:t xml:space="preserve">Epigenetic BGR lock-in: </w:t>
      </w:r>
      <w:r>
        <w:rPr>
          <w:rFonts w:ascii="Times New Roman" w:cs="Times New Roman" w:eastAsia="Times New Roman" w:hAnsi="Times New Roman"/>
          <w:sz w:val="24"/>
          <w:szCs w:val="24"/>
        </w:rPr>
        <w:t xml:space="preserve">progressive chromatin-level stabilization of BGR-supporting gene programs (HIF target gene methylation landscape stabilization, epigenetic silencing of OFF-promoting pathways) that makes BGR dominance increasingly irreversible. </w:t>
      </w:r>
      <w:r>
        <w:rPr>
          <w:rFonts w:ascii="Times New Roman" w:cs="Times New Roman" w:eastAsia="Times New Roman" w:hAnsi="Times New Roman"/>
          <w:sz w:val="18"/>
          <w:szCs w:val="18"/>
          <w:vertAlign w:val="superscript"/>
        </w:rPr>
        <w:t xml:space="preserve">[28,23]</w:t>
      </w:r>
    </w:p>
    <w:p>
      <w:pPr>
        <w:pStyle w:val="ListParagraph"/>
        <w:numPr>
          <w:ilvl w:val="0"/>
          <w:numId w:val="3"/>
        </w:numPr>
        <w:spacing w:after="120"/>
      </w:pPr>
      <w:r>
        <w:rPr>
          <w:rFonts w:ascii="Times New Roman" w:cs="Times New Roman" w:eastAsia="Times New Roman" w:hAnsi="Times New Roman"/>
          <w:b/>
          <w:bCs/>
          <w:sz w:val="24"/>
          <w:szCs w:val="24"/>
        </w:rPr>
        <w:t xml:space="preserve">Microenvironmental maturation: </w:t>
      </w:r>
      <w:r>
        <w:rPr>
          <w:rFonts w:ascii="Times New Roman" w:cs="Times New Roman" w:eastAsia="Times New Roman" w:hAnsi="Times New Roman"/>
          <w:sz w:val="24"/>
          <w:szCs w:val="24"/>
        </w:rPr>
        <w:t xml:space="preserve">accumulation of sufficient H — specifically, the integral of past ECM remodeling — creates a structurally altered microenvironment around the clone that constitutively supports BGR dominance regardless of surrounding tissue state. </w:t>
      </w:r>
      <w:r>
        <w:rPr>
          <w:rFonts w:ascii="Times New Roman" w:cs="Times New Roman" w:eastAsia="Times New Roman" w:hAnsi="Times New Roman"/>
          <w:sz w:val="18"/>
          <w:szCs w:val="18"/>
          <w:vertAlign w:val="superscript"/>
        </w:rPr>
        <w:t xml:space="preserve">[14,8]</w:t>
      </w:r>
    </w:p>
    <w:p>
      <w:pPr>
        <w:pStyle w:val="ListParagraph"/>
        <w:numPr>
          <w:ilvl w:val="0"/>
          <w:numId w:val="3"/>
        </w:numPr>
        <w:spacing w:after="120"/>
      </w:pPr>
      <w:r>
        <w:rPr>
          <w:rFonts w:ascii="Times New Roman" w:cs="Times New Roman" w:eastAsia="Times New Roman" w:hAnsi="Times New Roman"/>
          <w:b/>
          <w:bCs/>
          <w:sz w:val="24"/>
          <w:szCs w:val="24"/>
        </w:rPr>
        <w:t xml:space="preserve">Immune evasion threshold: </w:t>
      </w:r>
      <w:r>
        <w:rPr>
          <w:rFonts w:ascii="Times New Roman" w:cs="Times New Roman" w:eastAsia="Times New Roman" w:hAnsi="Times New Roman"/>
          <w:sz w:val="24"/>
          <w:szCs w:val="24"/>
        </w:rPr>
        <w:t xml:space="preserve">sufficient accumulation of immunomodulatory clone adaptations to shift I from equilibrium toward facilitation, removing the external constraint on clone growth while simultaneously expanding E through inflammatory ECM remodeling. </w:t>
      </w:r>
      <w:r>
        <w:rPr>
          <w:rFonts w:ascii="Times New Roman" w:cs="Times New Roman" w:eastAsia="Times New Roman" w:hAnsi="Times New Roman"/>
          <w:sz w:val="18"/>
          <w:szCs w:val="18"/>
          <w:vertAlign w:val="superscript"/>
        </w:rPr>
        <w:t xml:space="preserve">[7,32]</w:t>
      </w:r>
    </w:p>
    <w:p>
      <w:pPr>
        <w:pStyle w:val="Heading2"/>
        <w:spacing w:after="100" w:before="240"/>
      </w:pPr>
      <w:r>
        <w:rPr>
          <w:rFonts w:ascii="Arial" w:cs="Arial" w:eastAsia="Arial" w:hAnsi="Arial"/>
          <w:b/>
          <w:bCs/>
          <w:color w:val="2E75B6"/>
          <w:sz w:val="24"/>
          <w:szCs w:val="24"/>
        </w:rPr>
        <w:t xml:space="preserve">5.3 From Partial Autonomy to Full Morphodynamic Autonomy</w:t>
      </w:r>
    </w:p>
    <w:p>
      <w:pPr>
        <w:spacing w:after="180" w:line="276" w:lineRule="auto"/>
        <w:jc w:val="both"/>
      </w:pPr>
      <w:r>
        <w:rPr>
          <w:rFonts w:ascii="Times New Roman" w:cs="Times New Roman" w:eastAsia="Times New Roman" w:hAnsi="Times New Roman"/>
          <w:sz w:val="24"/>
          <w:szCs w:val="24"/>
        </w:rPr>
        <w:t xml:space="preserve">This transition — equivalent to the invasion threshold — occurs when the remaining structural constraints (basement membrane, physical tissue boundaries) are overcome by clone-derived MMP activity. Paper 3 described the 3D-to-2D morphodynamic mechanism of this transition. Within the present fate framework, the critical determinants are: </w:t>
      </w:r>
      <w:r>
        <w:rPr>
          <w:rFonts w:ascii="Times New Roman" w:cs="Times New Roman" w:eastAsia="Times New Roman" w:hAnsi="Times New Roman"/>
          <w:sz w:val="18"/>
          <w:szCs w:val="18"/>
          <w:vertAlign w:val="superscript"/>
        </w:rPr>
        <w:t xml:space="preserve">[43]</w:t>
      </w:r>
    </w:p>
    <w:p>
      <w:pPr>
        <w:pStyle w:val="ListParagraph"/>
        <w:numPr>
          <w:ilvl w:val="0"/>
          <w:numId w:val="2"/>
        </w:numPr>
        <w:spacing w:after="100"/>
      </w:pPr>
      <w:r>
        <w:rPr>
          <w:rFonts w:ascii="Times New Roman" w:cs="Times New Roman" w:eastAsia="Times New Roman" w:hAnsi="Times New Roman"/>
          <w:sz w:val="24"/>
          <w:szCs w:val="24"/>
        </w:rPr>
        <w:t xml:space="preserve">Sustained high A sufficient to maintain MMP secretion exceeding TIMP-mediated inhibition.</w:t>
      </w:r>
    </w:p>
    <w:p>
      <w:pPr>
        <w:pStyle w:val="ListParagraph"/>
        <w:numPr>
          <w:ilvl w:val="0"/>
          <w:numId w:val="2"/>
        </w:numPr>
        <w:spacing w:after="100"/>
      </w:pPr>
      <w:r>
        <w:rPr>
          <w:rFonts w:ascii="Times New Roman" w:cs="Times New Roman" w:eastAsia="Times New Roman" w:hAnsi="Times New Roman"/>
          <w:sz w:val="24"/>
          <w:szCs w:val="24"/>
        </w:rPr>
        <w:t xml:space="preserve">Sufficient historical H to have produced a basement membrane already thinned and structurally compromised by prior remodeling cycles.</w:t>
      </w:r>
    </w:p>
    <w:p>
      <w:pPr>
        <w:pStyle w:val="ListParagraph"/>
        <w:numPr>
          <w:ilvl w:val="0"/>
          <w:numId w:val="2"/>
        </w:numPr>
        <w:spacing w:after="100"/>
      </w:pPr>
      <w:r>
        <w:rPr>
          <w:rFonts w:ascii="Times New Roman" w:cs="Times New Roman" w:eastAsia="Times New Roman" w:hAnsi="Times New Roman"/>
          <w:sz w:val="24"/>
          <w:szCs w:val="24"/>
        </w:rPr>
        <w:t xml:space="preserve">Immune facilitation (I in growth mode) providing inflammatory cells that themselves secrete MMPs and create promigratory matrix scaffolds.</w:t>
      </w:r>
    </w:p>
    <w:p>
      <w:pPr>
        <w:pStyle w:val="ListParagraph"/>
        <w:numPr>
          <w:ilvl w:val="0"/>
          <w:numId w:val="2"/>
        </w:numPr>
        <w:spacing w:after="100"/>
      </w:pPr>
      <w:r>
        <w:rPr>
          <w:rFonts w:ascii="Times New Roman" w:cs="Times New Roman" w:eastAsia="Times New Roman" w:hAnsi="Times New Roman"/>
          <w:sz w:val="24"/>
          <w:szCs w:val="24"/>
        </w:rPr>
        <w:t xml:space="preserve">E at self-sustaining levels such that loss of the structural constraint does not reduce energetic support — the clone can immediately recruit its own vasculature through established autocrine angiogenic signaling. </w:t>
      </w:r>
      <w:r>
        <w:rPr>
          <w:rFonts w:ascii="Times New Roman" w:cs="Times New Roman" w:eastAsia="Times New Roman" w:hAnsi="Times New Roman"/>
          <w:sz w:val="18"/>
          <w:szCs w:val="18"/>
          <w:vertAlign w:val="superscript"/>
        </w:rPr>
        <w:t xml:space="preserve">[26]</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6. Synthesis: A Unified Continuum from Regeneration to Malignancy</w:t>
      </w:r>
    </w:p>
    <w:p>
      <w:pPr>
        <w:pStyle w:val="Heading2"/>
        <w:spacing w:after="100" w:before="240"/>
      </w:pPr>
      <w:r>
        <w:rPr>
          <w:rFonts w:ascii="Arial" w:cs="Arial" w:eastAsia="Arial" w:hAnsi="Arial"/>
          <w:b/>
          <w:bCs/>
          <w:color w:val="2E75B6"/>
          <w:sz w:val="24"/>
          <w:szCs w:val="24"/>
        </w:rPr>
        <w:t xml:space="preserve">6.1 The Complete Landscape</w:t>
      </w:r>
    </w:p>
    <w:p>
      <w:pPr>
        <w:spacing w:after="180" w:line="276" w:lineRule="auto"/>
        <w:jc w:val="both"/>
      </w:pPr>
      <w:r>
        <w:rPr>
          <w:rFonts w:ascii="Times New Roman" w:cs="Times New Roman" w:eastAsia="Times New Roman" w:hAnsi="Times New Roman"/>
          <w:sz w:val="24"/>
          <w:szCs w:val="24"/>
        </w:rPr>
        <w:t xml:space="preserve">The series framework, synthesized in its final form here, provides a unified dynamical account of the full continuum from normal tissue through regeneration, chronic inflammation, dysplasia, benign proliferation, and malignancy as quantitatively different positions within a single biological state space. This is not merely a metaphor: each position in the continuum corresponds to a specific combination of values for the energetic window (Papers 1–2), morphodynamic organization (Paper 3), Markov connectivity (Paper 4), and the five clone fate determinants (present paper).</w:t>
      </w:r>
    </w:p>
    <w:p>
      <w:pPr>
        <w:spacing w:after="60"/>
      </w:pPr>
      <w:r>
        <w:rPr>
          <w:rFonts w:ascii="Times New Roman" w:cs="Times New Roman" w:eastAsia="Times New Roman" w:hAnsi="Times New Roman"/>
          <w:sz w:val="24"/>
          <w:szCs w:val="24"/>
        </w:rPr>
        <w:t xml:space="preserve"/>
      </w:r>
    </w:p>
    <w:p>
      <w:pPr>
        <w:spacing w:after="120"/>
      </w:pPr>
      <w:r>
        <w:rPr>
          <w:rFonts w:ascii="Arial" w:cs="Arial" w:eastAsia="Arial" w:hAnsi="Arial"/>
          <w:b/>
          <w:bCs/>
          <w:sz w:val="22"/>
          <w:szCs w:val="22"/>
        </w:rPr>
        <w:t xml:space="preserve">Table 2.  </w:t>
      </w:r>
      <w:r>
        <w:rPr>
          <w:rFonts w:ascii="Arial" w:cs="Arial" w:eastAsia="Arial" w:hAnsi="Arial"/>
          <w:i/>
          <w:iCs/>
          <w:sz w:val="22"/>
          <w:szCs w:val="22"/>
        </w:rPr>
        <w:t xml:space="preserve">Unified continuum: biological states as positions in the combined series state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500"/>
        <w:gridCol w:w="1500"/>
        <w:gridCol w:w="1300"/>
        <w:gridCol w:w="2260"/>
      </w:tblGrid>
      <w:tr>
        <w:tc>
          <w:tcPr>
            <w:tcW w:type="dxa" w:w="1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Biological State</w:t>
            </w:r>
          </w:p>
        </w:tc>
        <w:tc>
          <w:tcPr>
            <w:tcW w:type="dxa" w:w="13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Energetic Window</w:t>
            </w:r>
          </w:p>
        </w:tc>
        <w:tc>
          <w:tcPr>
            <w:tcW w:type="dxa" w:w="1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Markov Connectivity</w:t>
            </w:r>
          </w:p>
        </w:tc>
        <w:tc>
          <w:tcPr>
            <w:tcW w:type="dxa" w:w="1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Clone Fate Attractor</w:t>
            </w:r>
          </w:p>
        </w:tc>
        <w:tc>
          <w:tcPr>
            <w:tcW w:type="dxa" w:w="13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Dominant Determinant</w:t>
            </w:r>
          </w:p>
        </w:tc>
        <w:tc>
          <w:tcPr>
            <w:tcW w:type="dxa" w:w="22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Series Framework Position</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Normal tissue</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Narrow / OFF</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Intact full</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Att. I prevented</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Stable; no clone</w:t>
            </w:r>
          </w:p>
        </w:tc>
        <w:tc>
          <w:tcPr>
            <w:tcW w:type="dxa" w:w="2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No separation; all papers inapplicable</w:t>
            </w:r>
          </w:p>
        </w:tc>
      </w:tr>
      <w:tr>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Acute regeneration</w:t>
            </w:r>
          </w:p>
        </w:tc>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Transient BGR</w:t>
            </w:r>
          </w:p>
        </w:tc>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Bounded loop</w:t>
            </w:r>
          </w:p>
        </w:tc>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Transient</w:t>
            </w:r>
          </w:p>
        </w:tc>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Transient clone</w:t>
            </w:r>
          </w:p>
        </w:tc>
        <w:tc>
          <w:tcPr>
            <w:tcW w:type="dxa" w:w="22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Temporal Tissue Loop: bounded, damped, restored</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Chronic inflammation</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Oscillatory</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Oscillatory disruption</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Synchronization</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Recurrent</w:t>
            </w:r>
          </w:p>
        </w:tc>
        <w:tc>
          <w:tcPr>
            <w:tcW w:type="dxa" w:w="2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Pendulum: persistent cycling; H accumulates</w:t>
            </w:r>
          </w:p>
        </w:tc>
      </w:tr>
      <w:tr>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Stable dysplasia</w:t>
            </w:r>
          </w:p>
        </w:tc>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Focally expanded</w:t>
            </w:r>
          </w:p>
        </w:tc>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Partial rupture</w:t>
            </w:r>
          </w:p>
        </w:tc>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Att. II</w:t>
            </w:r>
          </w:p>
        </w:tc>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Low A, blocked</w:t>
            </w:r>
          </w:p>
        </w:tc>
        <w:tc>
          <w:tcPr>
            <w:tcW w:type="dxa" w:w="22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Long H; blocking stable; progression possible</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Endometriosis</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Mod. expanded</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Non-local partial</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Att. II</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Mod. A; immune equil.</w:t>
            </w:r>
          </w:p>
        </w:tc>
        <w:tc>
          <w:tcPr>
            <w:tcW w:type="dxa" w:w="2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Extended H; typical limited persistence</w:t>
            </w:r>
          </w:p>
        </w:tc>
      </w:tr>
      <w:tr>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Benign tumor</w:t>
            </w:r>
          </w:p>
        </w:tc>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Locally sustained</w:t>
            </w:r>
          </w:p>
        </w:tc>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Partial disconnect</w:t>
            </w:r>
          </w:p>
        </w:tc>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Att. III</w:t>
            </w:r>
          </w:p>
        </w:tc>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Mod-high A</w:t>
            </w:r>
          </w:p>
        </w:tc>
        <w:tc>
          <w:tcPr>
            <w:tcW w:type="dxa" w:w="22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Partial autonomy; autocrine BGR established</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 situ carcinoma</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Constitutive</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Full rupture, intraepithelial</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Att. III</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High A; BM block</w:t>
            </w:r>
          </w:p>
        </w:tc>
        <w:tc>
          <w:tcPr>
            <w:tcW w:type="dxa" w:w="2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BM final structural constraint; near bifurcation</w:t>
            </w:r>
          </w:p>
        </w:tc>
      </w:tr>
      <w:tr>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Invasive carcinoma</w:t>
            </w:r>
          </w:p>
        </w:tc>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Maximal / self-sustaining</w:t>
            </w:r>
          </w:p>
        </w:tc>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Full decoupling</w:t>
            </w:r>
          </w:p>
        </w:tc>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Att. IV</w:t>
            </w:r>
          </w:p>
        </w:tc>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High A, amplifying</w:t>
            </w:r>
          </w:p>
        </w:tc>
        <w:tc>
          <w:tcPr>
            <w:tcW w:type="dxa" w:w="22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Full autonomy; 3D→2D complete; Papers 1–4 all apply</w:t>
            </w:r>
          </w:p>
        </w:tc>
      </w:tr>
    </w:tbl>
    <w:p>
      <w:pPr>
        <w:spacing w:after="60"/>
      </w:pPr>
      <w:r>
        <w:rPr>
          <w:rFonts w:ascii="Times New Roman" w:cs="Times New Roman" w:eastAsia="Times New Roman" w:hAnsi="Times New Roman"/>
          <w:sz w:val="24"/>
          <w:szCs w:val="24"/>
        </w:rPr>
        <w:t xml:space="preserve"/>
      </w:r>
    </w:p>
    <w:p>
      <w:pPr>
        <w:spacing w:after="180" w:line="276" w:lineRule="auto"/>
        <w:jc w:val="both"/>
      </w:pPr>
      <w:r>
        <w:rPr>
          <w:rFonts w:ascii="Times New Roman" w:cs="Times New Roman" w:eastAsia="Times New Roman" w:hAnsi="Times New Roman"/>
          <w:sz w:val="24"/>
          <w:szCs w:val="24"/>
        </w:rPr>
        <w:t xml:space="preserve">BM = basement membrane; BGR = Basal Glycolytic Regime; OFF = Oxidative Functional Flux; Att. = Attractor.</w:t>
      </w:r>
    </w:p>
    <w:p>
      <w:pPr>
        <w:pStyle w:val="Heading2"/>
        <w:spacing w:after="100" w:before="240"/>
      </w:pPr>
      <w:r>
        <w:rPr>
          <w:rFonts w:ascii="Arial" w:cs="Arial" w:eastAsia="Arial" w:hAnsi="Arial"/>
          <w:b/>
          <w:bCs/>
          <w:color w:val="2E75B6"/>
          <w:sz w:val="24"/>
          <w:szCs w:val="24"/>
        </w:rPr>
        <w:t xml:space="preserve">6.2 Virchow Revisited</w:t>
      </w:r>
    </w:p>
    <w:p>
      <w:pPr>
        <w:spacing w:after="180" w:line="276" w:lineRule="auto"/>
        <w:jc w:val="both"/>
      </w:pPr>
      <w:r>
        <w:rPr>
          <w:rFonts w:ascii="Times New Roman" w:cs="Times New Roman" w:eastAsia="Times New Roman" w:hAnsi="Times New Roman"/>
          <w:sz w:val="24"/>
          <w:szCs w:val="24"/>
        </w:rPr>
        <w:t xml:space="preserve">Rudolf Virchow's cellular pathology established that disease is a transformation of normal cells rather than an invasion by foreign elements, and his observations on inflammatory tissue surrounding tumors — showing signs of increased plasticity and regenerative activity — anticipated by more than a century the concept of morphodynamic synchronization between clone and surrounding tissue developed in Section 3.1 of the present paper. </w:t>
      </w:r>
      <w:r>
        <w:rPr>
          <w:rFonts w:ascii="Times New Roman" w:cs="Times New Roman" w:eastAsia="Times New Roman" w:hAnsi="Times New Roman"/>
          <w:sz w:val="18"/>
          <w:szCs w:val="18"/>
          <w:vertAlign w:val="superscript"/>
        </w:rPr>
        <w:t xml:space="preserve">[1,7]</w:t>
      </w:r>
    </w:p>
    <w:p>
      <w:pPr>
        <w:spacing w:after="180" w:line="276" w:lineRule="auto"/>
        <w:jc w:val="both"/>
      </w:pPr>
      <w:r>
        <w:rPr>
          <w:rFonts w:ascii="Times New Roman" w:cs="Times New Roman" w:eastAsia="Times New Roman" w:hAnsi="Times New Roman"/>
          <w:sz w:val="24"/>
          <w:szCs w:val="24"/>
        </w:rPr>
        <w:t xml:space="preserve">The present framework can be understood as a formal elaboration of Virchow's intuition: cancer is not an alien entity that appears within tissue but a </w:t>
      </w:r>
      <w:r>
        <w:rPr>
          <w:rFonts w:ascii="Times New Roman" w:cs="Times New Roman" w:eastAsia="Times New Roman" w:hAnsi="Times New Roman"/>
          <w:i/>
          <w:iCs/>
          <w:sz w:val="24"/>
          <w:szCs w:val="24"/>
        </w:rPr>
        <w:t xml:space="preserve">developmental transformation of tissue itself</w:t>
      </w:r>
      <w:r>
        <w:rPr>
          <w:rFonts w:ascii="Times New Roman" w:cs="Times New Roman" w:eastAsia="Times New Roman" w:hAnsi="Times New Roman"/>
          <w:sz w:val="24"/>
          <w:szCs w:val="24"/>
        </w:rPr>
        <w:t xml:space="preserve"> — a progressive decoupling of a cellular system from the cooperative organization of the multicellular organism, driven by the same biological machinery that normally governs regeneration, operating outside the temporal and spatial constraints that normally bound it. The tumor is the organism's own developmental programs, historically accumulated and structurally decoupled.</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7. Clinical and Research Implications</w:t>
      </w:r>
    </w:p>
    <w:p>
      <w:pPr>
        <w:pStyle w:val="Heading2"/>
        <w:spacing w:after="100" w:before="240"/>
      </w:pPr>
      <w:r>
        <w:rPr>
          <w:rFonts w:ascii="Arial" w:cs="Arial" w:eastAsia="Arial" w:hAnsi="Arial"/>
          <w:b/>
          <w:bCs/>
          <w:color w:val="2E75B6"/>
          <w:sz w:val="24"/>
          <w:szCs w:val="24"/>
        </w:rPr>
        <w:t xml:space="preserve">7.1 Risk Stratification of Intermediate Lesions</w:t>
      </w:r>
    </w:p>
    <w:p>
      <w:pPr>
        <w:spacing w:after="180" w:line="276" w:lineRule="auto"/>
        <w:jc w:val="both"/>
      </w:pPr>
      <w:r>
        <w:rPr>
          <w:rFonts w:ascii="Times New Roman" w:cs="Times New Roman" w:eastAsia="Times New Roman" w:hAnsi="Times New Roman"/>
          <w:sz w:val="24"/>
          <w:szCs w:val="24"/>
        </w:rPr>
        <w:t xml:space="preserve">The historical trajectory determinant H provides a new conceptual basis for risk stratification of intermediate lesions. Current histological grading systems assess the current morphological state of a lesion — equivalent to a single snapshot of the current E, M, and connectivity values — without incorporating H. The framework predicts that incorporating trajectory information (duration of lesion, number of inflammatory cycles, history of immunosuppression, accumulated ECM remodeling) would substantially improve prognostic accuracy for stable dysplasias, chronic inflammatory lesions, and in situ carcinomas. </w:t>
      </w:r>
      <w:r>
        <w:rPr>
          <w:rFonts w:ascii="Times New Roman" w:cs="Times New Roman" w:eastAsia="Times New Roman" w:hAnsi="Times New Roman"/>
          <w:sz w:val="18"/>
          <w:szCs w:val="18"/>
          <w:vertAlign w:val="superscript"/>
        </w:rPr>
        <w:t xml:space="preserve">[37,33]</w:t>
      </w:r>
    </w:p>
    <w:p>
      <w:pPr>
        <w:pStyle w:val="Heading2"/>
        <w:spacing w:after="100" w:before="240"/>
      </w:pPr>
      <w:r>
        <w:rPr>
          <w:rFonts w:ascii="Arial" w:cs="Arial" w:eastAsia="Arial" w:hAnsi="Arial"/>
          <w:b/>
          <w:bCs/>
          <w:color w:val="2E75B6"/>
          <w:sz w:val="24"/>
          <w:szCs w:val="24"/>
        </w:rPr>
        <w:t xml:space="preserve">7.2 Metabolic Imaging as an Energetic-Window Probe</w:t>
      </w:r>
    </w:p>
    <w:p>
      <w:pPr>
        <w:spacing w:after="180" w:line="276" w:lineRule="auto"/>
        <w:jc w:val="both"/>
      </w:pPr>
      <w:r>
        <w:rPr>
          <w:rFonts w:ascii="Times New Roman" w:cs="Times New Roman" w:eastAsia="Times New Roman" w:hAnsi="Times New Roman"/>
          <w:sz w:val="24"/>
          <w:szCs w:val="24"/>
        </w:rPr>
        <w:t xml:space="preserve">The dual-flux framework (Paper 2) predicts that the OFF/BGR balance is measurable through metabolic imaging. PET-based glucose uptake imaging already captures aspects of BGR dominance (the Warburg effect). More specific measurement of the lactate/pyruvate ratio, NADH/NAD+ dynamics, and acetyl-CoA flux would provide direct energetic-window width estimates. Applied longitudinally to intermediate lesions, this approach could detect the shift from limited persistence to partial autonomy — the transition from Attractor II to III — before morphological evidence of invasion becomes apparent. </w:t>
      </w:r>
      <w:r>
        <w:rPr>
          <w:rFonts w:ascii="Times New Roman" w:cs="Times New Roman" w:eastAsia="Times New Roman" w:hAnsi="Times New Roman"/>
          <w:sz w:val="18"/>
          <w:szCs w:val="18"/>
          <w:vertAlign w:val="superscript"/>
        </w:rPr>
        <w:t xml:space="preserve">[6,28,42]</w:t>
      </w:r>
    </w:p>
    <w:p>
      <w:pPr>
        <w:pStyle w:val="Heading2"/>
        <w:spacing w:after="100" w:before="240"/>
      </w:pPr>
      <w:r>
        <w:rPr>
          <w:rFonts w:ascii="Arial" w:cs="Arial" w:eastAsia="Arial" w:hAnsi="Arial"/>
          <w:b/>
          <w:bCs/>
          <w:color w:val="2E75B6"/>
          <w:sz w:val="24"/>
          <w:szCs w:val="24"/>
        </w:rPr>
        <w:t xml:space="preserve">7.3 Restoration of Ontogenetic Connectivity as Therapeutic Target</w:t>
      </w:r>
    </w:p>
    <w:p>
      <w:pPr>
        <w:spacing w:after="180" w:line="276" w:lineRule="auto"/>
        <w:jc w:val="both"/>
      </w:pPr>
      <w:r>
        <w:rPr>
          <w:rFonts w:ascii="Times New Roman" w:cs="Times New Roman" w:eastAsia="Times New Roman" w:hAnsi="Times New Roman"/>
          <w:sz w:val="24"/>
          <w:szCs w:val="24"/>
        </w:rPr>
        <w:t xml:space="preserve">Paper 4 proposed that therapeutic restoration of intermediate ontogenetic states — through targeted epigenetic reprogramming, provision of intermediate-state molecular environments, or metabolic normalization — might restore local Markov connectivity and suppress clone autonomization. The present framework extends this therapeutic logic: interventions that reduce A (MMP inhibition, anti-angiogenic therapy), increase I in its elimination or equilibrium mode (immune checkpoint blockade, NK cell activation), or narrow the energetic window (BGRsuppression through LDHA inhibition, HIF-1α antagonism) could shift the clone fate function from Attractors III–IV toward Attractors I–II. </w:t>
      </w:r>
      <w:r>
        <w:rPr>
          <w:rFonts w:ascii="Times New Roman" w:cs="Times New Roman" w:eastAsia="Times New Roman" w:hAnsi="Times New Roman"/>
          <w:sz w:val="18"/>
          <w:szCs w:val="18"/>
          <w:vertAlign w:val="superscript"/>
        </w:rPr>
        <w:t xml:space="preserve">[44,25,26]</w:t>
      </w:r>
    </w:p>
    <w:p>
      <w:pPr>
        <w:spacing w:after="180" w:line="276" w:lineRule="auto"/>
        <w:jc w:val="both"/>
      </w:pPr>
      <w:r>
        <w:rPr>
          <w:rFonts w:ascii="Times New Roman" w:cs="Times New Roman" w:eastAsia="Times New Roman" w:hAnsi="Times New Roman"/>
          <w:sz w:val="24"/>
          <w:szCs w:val="24"/>
        </w:rPr>
        <w:t xml:space="preserve">The critical insight from the historical trajectory analysis is that interventions must be sustained: the H integral means that reversal of current determinants does not erase accumulated history. Chronic re-establishment of blocking conditions may be required to maintain Attractor II stability in lesions with high historical H values.</w:t>
      </w:r>
    </w:p>
    <w:p>
      <w:pPr>
        <w:pStyle w:val="Heading2"/>
        <w:spacing w:after="100" w:before="240"/>
      </w:pPr>
      <w:r>
        <w:rPr>
          <w:rFonts w:ascii="Arial" w:cs="Arial" w:eastAsia="Arial" w:hAnsi="Arial"/>
          <w:b/>
          <w:bCs/>
          <w:color w:val="2E75B6"/>
          <w:sz w:val="24"/>
          <w:szCs w:val="24"/>
        </w:rPr>
        <w:t xml:space="preserve">7.4 The Inflammatory-Cancer Axis</w:t>
      </w:r>
    </w:p>
    <w:p>
      <w:pPr>
        <w:spacing w:after="180" w:line="276" w:lineRule="auto"/>
        <w:jc w:val="both"/>
      </w:pPr>
      <w:r>
        <w:rPr>
          <w:rFonts w:ascii="Times New Roman" w:cs="Times New Roman" w:eastAsia="Times New Roman" w:hAnsi="Times New Roman"/>
          <w:sz w:val="24"/>
          <w:szCs w:val="24"/>
        </w:rPr>
        <w:t xml:space="preserve">The framework provides a mechanistic resolution to the long-observed but mechanistically underspecified Virchow-Balkwill-Mantovani axis of inflammation-associated cancer. Chronic inflammation contributes to cancer not primarily through mutagenesis (though this occurs) but through three framework-specific mechanisms: (i) accumulation of H through repeated inflammatory cycles; (ii) progressive expansion of E through MMP-driven ECM remodeling and vascular permeability; and (iii) shift of I from elimination toward facilitation through chronic regulatory T cell and macrophage polarization changes. All three mechanisms shift the clone fate function toward Attractors III and IV without requiring any specific mutational event. </w:t>
      </w:r>
      <w:r>
        <w:rPr>
          <w:rFonts w:ascii="Times New Roman" w:cs="Times New Roman" w:eastAsia="Times New Roman" w:hAnsi="Times New Roman"/>
          <w:sz w:val="18"/>
          <w:szCs w:val="18"/>
          <w:vertAlign w:val="superscript"/>
        </w:rPr>
        <w:t xml:space="preserve">[7,8,29,30]</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8. Discussion</w:t>
      </w:r>
    </w:p>
    <w:p>
      <w:pPr>
        <w:pStyle w:val="Heading2"/>
        <w:spacing w:after="100" w:before="240"/>
      </w:pPr>
      <w:r>
        <w:rPr>
          <w:rFonts w:ascii="Arial" w:cs="Arial" w:eastAsia="Arial" w:hAnsi="Arial"/>
          <w:b/>
          <w:bCs/>
          <w:color w:val="2E75B6"/>
          <w:sz w:val="24"/>
          <w:szCs w:val="24"/>
        </w:rPr>
        <w:t xml:space="preserve">8.1 The Separated Clone as a New Conceptual Category</w:t>
      </w:r>
    </w:p>
    <w:p>
      <w:pPr>
        <w:spacing w:after="180" w:line="276" w:lineRule="auto"/>
        <w:jc w:val="both"/>
      </w:pPr>
      <w:r>
        <w:rPr>
          <w:rFonts w:ascii="Times New Roman" w:cs="Times New Roman" w:eastAsia="Times New Roman" w:hAnsi="Times New Roman"/>
          <w:sz w:val="24"/>
          <w:szCs w:val="24"/>
        </w:rPr>
        <w:t xml:space="preserve">A central contribution of this series is the introduction of the </w:t>
      </w:r>
      <w:r>
        <w:rPr>
          <w:rFonts w:ascii="Times New Roman" w:cs="Times New Roman" w:eastAsia="Times New Roman" w:hAnsi="Times New Roman"/>
          <w:b/>
          <w:bCs/>
          <w:sz w:val="24"/>
          <w:szCs w:val="24"/>
        </w:rPr>
        <w:t xml:space="preserve">separated clone</w:t>
      </w:r>
      <w:r>
        <w:rPr>
          <w:rFonts w:ascii="Times New Roman" w:cs="Times New Roman" w:eastAsia="Times New Roman" w:hAnsi="Times New Roman"/>
          <w:sz w:val="24"/>
          <w:szCs w:val="24"/>
        </w:rPr>
        <w:t xml:space="preserve"> as a distinct biological conceptual category: a cellular population that is neither normally integrated tissue nor fully malignant tumor, but a </w:t>
      </w:r>
      <w:r>
        <w:rPr>
          <w:rFonts w:ascii="Times New Roman" w:cs="Times New Roman" w:eastAsia="Times New Roman" w:hAnsi="Times New Roman"/>
          <w:i/>
          <w:iCs/>
          <w:sz w:val="24"/>
          <w:szCs w:val="24"/>
        </w:rPr>
        <w:t xml:space="preserve">partially autonomous developmental system</w:t>
      </w:r>
      <w:r>
        <w:rPr>
          <w:rFonts w:ascii="Times New Roman" w:cs="Times New Roman" w:eastAsia="Times New Roman" w:hAnsi="Times New Roman"/>
          <w:sz w:val="24"/>
          <w:szCs w:val="24"/>
        </w:rPr>
        <w:t xml:space="preserve"> whose fate is determined by ongoing dynamic interactions rather than by a fixed set of acquired properties. This category captures the clinical reality of intermediate pathological states more accurately than either the "precancerous lesion" (implying inevitable progression) or the "benign process" (implying stable non-malignant identity) framings. </w:t>
      </w:r>
      <w:r>
        <w:rPr>
          <w:rFonts w:ascii="Times New Roman" w:cs="Times New Roman" w:eastAsia="Times New Roman" w:hAnsi="Times New Roman"/>
          <w:sz w:val="18"/>
          <w:szCs w:val="18"/>
          <w:vertAlign w:val="superscript"/>
        </w:rPr>
        <w:t xml:space="preserve">[17,18]</w:t>
      </w:r>
    </w:p>
    <w:p>
      <w:pPr>
        <w:pStyle w:val="Heading2"/>
        <w:spacing w:after="100" w:before="240"/>
      </w:pPr>
      <w:r>
        <w:rPr>
          <w:rFonts w:ascii="Arial" w:cs="Arial" w:eastAsia="Arial" w:hAnsi="Arial"/>
          <w:b/>
          <w:bCs/>
          <w:color w:val="2E75B6"/>
          <w:sz w:val="24"/>
          <w:szCs w:val="24"/>
        </w:rPr>
        <w:t xml:space="preserve">8.2 Path-Dependence and the Limits of Snapshot Pathology</w:t>
      </w:r>
    </w:p>
    <w:p>
      <w:pPr>
        <w:spacing w:after="180" w:line="276" w:lineRule="auto"/>
        <w:jc w:val="both"/>
      </w:pPr>
      <w:r>
        <w:rPr>
          <w:rFonts w:ascii="Times New Roman" w:cs="Times New Roman" w:eastAsia="Times New Roman" w:hAnsi="Times New Roman"/>
          <w:sz w:val="24"/>
          <w:szCs w:val="24"/>
        </w:rPr>
        <w:t xml:space="preserve">The historical trajectory determinant H represents a fundamental challenge to snapshot-based pathological assessment. Current diagnostic pathology is necessarily based on the state of a lesion at a single moment — its current morphology, grade, and molecular markers. The present framework argues that this snapshot is insufficient to determine prognosis because two identically appearing lesions with different developmental histories may be on divergent trajectories. Progress toward H-incorporating diagnostic approaches — longitudinal molecular profiling, inflammatory cycle counting through ECM remodeling biomarker archaeology, epigenetic clock measurements — would substantially improve the predictive value of intermediate lesion assessment. </w:t>
      </w:r>
      <w:r>
        <w:rPr>
          <w:rFonts w:ascii="Times New Roman" w:cs="Times New Roman" w:eastAsia="Times New Roman" w:hAnsi="Times New Roman"/>
          <w:sz w:val="18"/>
          <w:szCs w:val="18"/>
          <w:vertAlign w:val="superscript"/>
        </w:rPr>
        <w:t xml:space="preserve">[37,23,24]</w:t>
      </w:r>
    </w:p>
    <w:p>
      <w:pPr>
        <w:pStyle w:val="Heading2"/>
        <w:spacing w:after="100" w:before="240"/>
      </w:pPr>
      <w:r>
        <w:rPr>
          <w:rFonts w:ascii="Arial" w:cs="Arial" w:eastAsia="Arial" w:hAnsi="Arial"/>
          <w:b/>
          <w:bCs/>
          <w:color w:val="2E75B6"/>
          <w:sz w:val="24"/>
          <w:szCs w:val="24"/>
        </w:rPr>
        <w:t xml:space="preserve">8.3 Limitations</w:t>
      </w:r>
    </w:p>
    <w:p>
      <w:pPr>
        <w:spacing w:after="180" w:line="276" w:lineRule="auto"/>
        <w:jc w:val="both"/>
      </w:pPr>
      <w:r>
        <w:rPr>
          <w:rFonts w:ascii="Times New Roman" w:cs="Times New Roman" w:eastAsia="Times New Roman" w:hAnsi="Times New Roman"/>
          <w:sz w:val="24"/>
          <w:szCs w:val="24"/>
        </w:rPr>
        <w:t xml:space="preserve">The framework is conceptual and the five determinants (E, I, M, A, H) remain to be operationalized with measurable biological quantities. The attractor boundaries — the precise threshold conditions distinguishing the four attractor states — are not yet formally defined. The interaction between determinants is described qualitatively; a quantitative dynamical systems model incorporating coupled differential equations for E, I, M, and A, with H as the path integral of their product, would be required for quantitative predictions. These formalizations define the research program that follows from the series.</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9. Conclusion</w:t>
      </w:r>
    </w:p>
    <w:p>
      <w:pPr>
        <w:spacing w:after="180" w:line="276" w:lineRule="auto"/>
        <w:jc w:val="both"/>
      </w:pPr>
      <w:r>
        <w:rPr>
          <w:rFonts w:ascii="Times New Roman" w:cs="Times New Roman" w:eastAsia="Times New Roman" w:hAnsi="Times New Roman"/>
          <w:sz w:val="24"/>
          <w:szCs w:val="24"/>
        </w:rPr>
        <w:t xml:space="preserve">The separated clone — a cellular population that has undergone ontogenetic structural decoupling from its tissue context — is best understood not as a static pathological entity but as a partially autonomous developmental system whose further fate is determined by the dynamic interaction of five determinants: energetic compatibility, immunological interaction, morphophysiological context, clone cellular activity, and historical temporal trajectory.</w:t>
      </w:r>
    </w:p>
    <w:p>
      <w:pPr>
        <w:spacing w:after="180" w:line="276" w:lineRule="auto"/>
        <w:jc w:val="both"/>
      </w:pPr>
      <w:r>
        <w:rPr>
          <w:rFonts w:ascii="Times New Roman" w:cs="Times New Roman" w:eastAsia="Times New Roman" w:hAnsi="Times New Roman"/>
          <w:sz w:val="24"/>
          <w:szCs w:val="24"/>
        </w:rPr>
        <w:t xml:space="preserve">Four developmental attractor states are identified: elimination, limited persistence, partial autonomy, and full morphodynamic autonomy. The transitions between these attractors are governed by threshold conditions in the five-dimensional parameter space, with the historical trajectory integral playing a particularly important role in determining attractor stability and transition probability. Morphologically identical lesions may occupy different attractors and follow divergent clinical courses depending on their developmental histories.</w:t>
      </w:r>
    </w:p>
    <w:p>
      <w:pPr>
        <w:spacing w:after="60"/>
      </w:pPr>
      <w:r>
        <w:rPr>
          <w:rFonts w:ascii="Times New Roman" w:cs="Times New Roman" w:eastAsia="Times New Roman" w:hAnsi="Times New Roman"/>
          <w:sz w:val="24"/>
          <w:szCs w:val="24"/>
        </w:rPr>
        <w:t xml:space="preserve"/>
      </w:r>
    </w:p>
    <w:p>
      <w:pPr>
        <w:pBdr>
          <w:top w:val="double" w:color="2E75B6" w:sz="6" w:space="4"/>
          <w:bottom w:val="double" w:color="2E75B6" w:sz="6" w:space="4"/>
          <w:left w:val="double" w:color="2E75B6" w:sz="6" w:space="8"/>
          <w:right w:val="double" w:color="2E75B6" w:sz="6" w:space="8"/>
        </w:pBdr>
        <w:shd w:fill="E8F4FD"/>
        <w:spacing w:after="200" w:before="120"/>
        <w:ind w:left="240" w:right="240"/>
      </w:pPr>
      <w:r>
        <w:rPr>
          <w:rFonts w:ascii="Arial" w:cs="Arial" w:eastAsia="Arial" w:hAnsi="Arial"/>
          <w:b/>
          <w:bCs/>
          <w:sz w:val="24"/>
          <w:szCs w:val="24"/>
        </w:rPr>
        <w:t xml:space="preserve">Series Conclusion.  </w:t>
      </w:r>
      <w:r>
        <w:rPr>
          <w:rFonts w:ascii="Times New Roman" w:cs="Times New Roman" w:eastAsia="Times New Roman" w:hAnsi="Times New Roman"/>
          <w:sz w:val="23"/>
          <w:szCs w:val="23"/>
        </w:rPr>
        <w:t xml:space="preserve">Across five papers, this series has developed a unified conceptual account of the continuum from normal tissue through regeneration, chronic inflammation, dysplasia, and malignancy as a single dynamical framework. Paper 1 established the empirical scope of developmental program reactivation in non-malignant contexts. Paper 2 provided the dual-flux metabolic mechanism governing energetic-window width and cell-state transition probabilities. Paper 3 described the morphodynamic consequence of oncogenic energetic-window stabilization: the 3D-to-2D architectural transition. Paper 4 formalized the topological dimension: loss of intermediate ontogenetic states as a rupture of local Markov connectivity and the basis of structural decoupling. Paper 5 synthesized these perspectives into a dynamical model of separated clone fate, identifying the five determinants of clone developmental trajectory and the four attractor states into which separated clones resolve. Together, these papers propose that malignancy is most fundamentally </w:t>
      </w:r>
      <w:r>
        <w:rPr>
          <w:rFonts w:ascii="Times New Roman" w:cs="Times New Roman" w:eastAsia="Times New Roman" w:hAnsi="Times New Roman"/>
          <w:b/>
          <w:bCs/>
          <w:sz w:val="23"/>
          <w:szCs w:val="23"/>
        </w:rPr>
        <w:t xml:space="preserve">the historical stabilization of a partially autonomous developmental system that has lost continuous ontogenetic connectivity with the multicellular organism</w:t>
      </w:r>
      <w:r>
        <w:rPr>
          <w:rFonts w:ascii="Times New Roman" w:cs="Times New Roman" w:eastAsia="Times New Roman" w:hAnsi="Times New Roman"/>
          <w:sz w:val="23"/>
          <w:szCs w:val="23"/>
        </w:rPr>
        <w:t xml:space="preserve"> — a process governed by energetic, immunological, structural, and historical dynamics that together determine whether a separated clone is eliminated, contained, or progressively autonomized into a fully independent morphodynamic system.</w:t>
      </w:r>
    </w:p>
    <w:p>
      <w:pPr>
        <w:spacing w:after="60"/>
      </w:pPr>
      <w:r>
        <w:rPr>
          <w:rFonts w:ascii="Times New Roman" w:cs="Times New Roman" w:eastAsia="Times New Roman" w:hAnsi="Times New Roman"/>
          <w:sz w:val="24"/>
          <w:szCs w:val="24"/>
        </w:rPr>
        <w:t xml:space="preserve"/>
      </w:r>
    </w:p>
    <w:p>
      <w:pPr>
        <w:spacing w:after="180" w:line="276" w:lineRule="auto"/>
        <w:jc w:val="both"/>
      </w:pPr>
      <w:r>
        <w:rPr>
          <w:rFonts w:ascii="Times New Roman" w:cs="Times New Roman" w:eastAsia="Times New Roman" w:hAnsi="Times New Roman"/>
          <w:i/>
          <w:iCs/>
          <w:sz w:val="24"/>
          <w:szCs w:val="24"/>
        </w:rPr>
        <w:t xml:space="preserve">This paper is the fifth and concluding paper of the series "Embryonic Programs in Non-Oncological Tissue States" by Yuri Dmitrochenko. The series comprises: Paper 1 — Energetic Window Expansion, Regeneration Pendulum, and Temporal Tissue Loops; Paper 2 — Dual-Flux Energetics and Stochastic Ontogenetic Dynamics; Paper 3 — Loss of Tissue Integration and the 3D-to-2D Morphodynamic Transition; Paper 4 — Loss of Intermediate Ontogenetic States and Disruption of Local Markov Connectivity; Paper 5 — The Separated Clone: Developmental Fate, Attractor Dynamics, and Gradual Autonomization (present paper).</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References</w:t>
      </w:r>
    </w:p>
    <w:p>
      <w:pPr>
        <w:spacing w:after="100"/>
        <w:ind w:left="480" w:hanging="480"/>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Virchow R. Cellular Pathology as Based upon Physiological and Pathological Histology. Berlin: August Hirschwald; 1858.</w:t>
      </w:r>
    </w:p>
    <w:p>
      <w:pPr>
        <w:spacing w:after="100"/>
        <w:ind w:left="480" w:hanging="480"/>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Waddington CH. The Strategy of the Genes. London: Allen and Unwin; 1957.</w:t>
      </w:r>
    </w:p>
    <w:p>
      <w:pPr>
        <w:spacing w:after="100"/>
        <w:ind w:left="480" w:hanging="480"/>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Nowell PC. The clonal evolution of tumor cell populations. Science. 1976;194(4260):23-28.</w:t>
      </w:r>
    </w:p>
    <w:p>
      <w:pPr>
        <w:spacing w:after="100"/>
        <w:ind w:left="480" w:hanging="480"/>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Hanahan D, Weinberg RA. Hallmarks of cancer: the next generation. Cell. 2011;144(5):646-674.</w:t>
      </w:r>
    </w:p>
    <w:p>
      <w:pPr>
        <w:spacing w:after="100"/>
        <w:ind w:left="480" w:hanging="480"/>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Hanahan D. Hallmarks of cancer: new dimensions. Cancer Discov. 2022;12(1):31-46.</w:t>
      </w:r>
    </w:p>
    <w:p>
      <w:pPr>
        <w:spacing w:after="100"/>
        <w:ind w:left="480" w:hanging="480"/>
      </w:pPr>
      <w:r>
        <w:rPr>
          <w:rFonts w:ascii="Times New Roman" w:cs="Times New Roman" w:eastAsia="Times New Roman" w:hAnsi="Times New Roman"/>
          <w:b/>
          <w:bCs/>
          <w:sz w:val="20"/>
          <w:szCs w:val="20"/>
        </w:rPr>
        <w:t xml:space="preserve">6.	</w:t>
      </w:r>
      <w:r>
        <w:rPr>
          <w:rFonts w:ascii="Times New Roman" w:cs="Times New Roman" w:eastAsia="Times New Roman" w:hAnsi="Times New Roman"/>
          <w:sz w:val="20"/>
          <w:szCs w:val="20"/>
        </w:rPr>
        <w:t xml:space="preserve">Vander Heiden MG, Cantley LC, Thompson CB. Understanding the Warburg effect: the metabolic requirements of cell proliferation. Science. 2009;324(5930):1029-1033.</w:t>
      </w:r>
    </w:p>
    <w:p>
      <w:pPr>
        <w:spacing w:after="100"/>
        <w:ind w:left="480" w:hanging="480"/>
      </w:pPr>
      <w:r>
        <w:rPr>
          <w:rFonts w:ascii="Times New Roman" w:cs="Times New Roman" w:eastAsia="Times New Roman" w:hAnsi="Times New Roman"/>
          <w:b/>
          <w:bCs/>
          <w:sz w:val="20"/>
          <w:szCs w:val="20"/>
        </w:rPr>
        <w:t xml:space="preserve">7.	</w:t>
      </w:r>
      <w:r>
        <w:rPr>
          <w:rFonts w:ascii="Times New Roman" w:cs="Times New Roman" w:eastAsia="Times New Roman" w:hAnsi="Times New Roman"/>
          <w:sz w:val="20"/>
          <w:szCs w:val="20"/>
        </w:rPr>
        <w:t xml:space="preserve">Balkwill F, Mantovani A. Inflammation and cancer: back to Virchow? Lancet. 2001;357(9255):539-545.</w:t>
      </w:r>
    </w:p>
    <w:p>
      <w:pPr>
        <w:spacing w:after="100"/>
        <w:ind w:left="480" w:hanging="480"/>
      </w:pPr>
      <w:r>
        <w:rPr>
          <w:rFonts w:ascii="Times New Roman" w:cs="Times New Roman" w:eastAsia="Times New Roman" w:hAnsi="Times New Roman"/>
          <w:b/>
          <w:bCs/>
          <w:sz w:val="20"/>
          <w:szCs w:val="20"/>
        </w:rPr>
        <w:t xml:space="preserve">8.	</w:t>
      </w:r>
      <w:r>
        <w:rPr>
          <w:rFonts w:ascii="Times New Roman" w:cs="Times New Roman" w:eastAsia="Times New Roman" w:hAnsi="Times New Roman"/>
          <w:sz w:val="20"/>
          <w:szCs w:val="20"/>
        </w:rPr>
        <w:t xml:space="preserve">Hanahan D, Coussens LM. Accessories to the crime: functions of cells recruited to the tumor microenvironment. Cancer Cell. 2012;21(3):309-322.</w:t>
      </w:r>
    </w:p>
    <w:p>
      <w:pPr>
        <w:spacing w:after="100"/>
        <w:ind w:left="480" w:hanging="480"/>
      </w:pPr>
      <w:r>
        <w:rPr>
          <w:rFonts w:ascii="Times New Roman" w:cs="Times New Roman" w:eastAsia="Times New Roman" w:hAnsi="Times New Roman"/>
          <w:b/>
          <w:bCs/>
          <w:sz w:val="20"/>
          <w:szCs w:val="20"/>
        </w:rPr>
        <w:t xml:space="preserve">9.	</w:t>
      </w:r>
      <w:r>
        <w:rPr>
          <w:rFonts w:ascii="Times New Roman" w:cs="Times New Roman" w:eastAsia="Times New Roman" w:hAnsi="Times New Roman"/>
          <w:sz w:val="20"/>
          <w:szCs w:val="20"/>
        </w:rPr>
        <w:t xml:space="preserve">Friedl P, Alexander S. Cancer invasion and the microenvironment: plasticity and reciprocity. Cell. 2011;147(5):992-1009.</w:t>
      </w:r>
    </w:p>
    <w:p>
      <w:pPr>
        <w:spacing w:after="100"/>
        <w:ind w:left="480" w:hanging="480"/>
      </w:pPr>
      <w:r>
        <w:rPr>
          <w:rFonts w:ascii="Times New Roman" w:cs="Times New Roman" w:eastAsia="Times New Roman" w:hAnsi="Times New Roman"/>
          <w:b/>
          <w:bCs/>
          <w:sz w:val="20"/>
          <w:szCs w:val="20"/>
        </w:rPr>
        <w:t xml:space="preserve">10.	</w:t>
      </w:r>
      <w:r>
        <w:rPr>
          <w:rFonts w:ascii="Times New Roman" w:cs="Times New Roman" w:eastAsia="Times New Roman" w:hAnsi="Times New Roman"/>
          <w:sz w:val="20"/>
          <w:szCs w:val="20"/>
        </w:rPr>
        <w:t xml:space="preserve">Dvorak HF. Tumors: wounds that do not heal. N Engl J Med. 1986;315(26):1650-1659.</w:t>
      </w:r>
    </w:p>
    <w:p>
      <w:pPr>
        <w:spacing w:after="100"/>
        <w:ind w:left="480" w:hanging="480"/>
      </w:pPr>
      <w:r>
        <w:rPr>
          <w:rFonts w:ascii="Times New Roman" w:cs="Times New Roman" w:eastAsia="Times New Roman" w:hAnsi="Times New Roman"/>
          <w:b/>
          <w:bCs/>
          <w:sz w:val="20"/>
          <w:szCs w:val="20"/>
        </w:rPr>
        <w:t xml:space="preserve">11.	</w:t>
      </w:r>
      <w:r>
        <w:rPr>
          <w:rFonts w:ascii="Times New Roman" w:cs="Times New Roman" w:eastAsia="Times New Roman" w:hAnsi="Times New Roman"/>
          <w:sz w:val="20"/>
          <w:szCs w:val="20"/>
        </w:rPr>
        <w:t xml:space="preserve">Jopling C, Boue S, Izpisua Belmonte JC. Dedifferentiation, transdifferentiation and reprogramming: three routes to regeneration. Nat Rev Mol Cell Biol. 2011;12(2):79-89.</w:t>
      </w:r>
    </w:p>
    <w:p>
      <w:pPr>
        <w:spacing w:after="100"/>
        <w:ind w:left="480" w:hanging="480"/>
      </w:pPr>
      <w:r>
        <w:rPr>
          <w:rFonts w:ascii="Times New Roman" w:cs="Times New Roman" w:eastAsia="Times New Roman" w:hAnsi="Times New Roman"/>
          <w:b/>
          <w:bCs/>
          <w:sz w:val="20"/>
          <w:szCs w:val="20"/>
        </w:rPr>
        <w:t xml:space="preserve">12.	</w:t>
      </w:r>
      <w:r>
        <w:rPr>
          <w:rFonts w:ascii="Times New Roman" w:cs="Times New Roman" w:eastAsia="Times New Roman" w:hAnsi="Times New Roman"/>
          <w:sz w:val="20"/>
          <w:szCs w:val="20"/>
        </w:rPr>
        <w:t xml:space="preserve">Takahashi K, Yamanaka S. Induction of pluripotent stem cells from mouse embryonic and adult fibroblast cultures by defined factors. Cell. 2006;126(4):663-676.</w:t>
      </w:r>
    </w:p>
    <w:p>
      <w:pPr>
        <w:spacing w:after="100"/>
        <w:ind w:left="480" w:hanging="480"/>
      </w:pPr>
      <w:r>
        <w:rPr>
          <w:rFonts w:ascii="Times New Roman" w:cs="Times New Roman" w:eastAsia="Times New Roman" w:hAnsi="Times New Roman"/>
          <w:b/>
          <w:bCs/>
          <w:sz w:val="20"/>
          <w:szCs w:val="20"/>
        </w:rPr>
        <w:t xml:space="preserve">13.	</w:t>
      </w:r>
      <w:r>
        <w:rPr>
          <w:rFonts w:ascii="Times New Roman" w:cs="Times New Roman" w:eastAsia="Times New Roman" w:hAnsi="Times New Roman"/>
          <w:sz w:val="20"/>
          <w:szCs w:val="20"/>
        </w:rPr>
        <w:t xml:space="preserve">Basanta D, Anderson ARA. Exploiting ecological principles to better understand cancer progression and treatment. Interface Focus. 2013;3(4):20130020.</w:t>
      </w:r>
    </w:p>
    <w:p>
      <w:pPr>
        <w:spacing w:after="100"/>
        <w:ind w:left="480" w:hanging="480"/>
      </w:pPr>
      <w:r>
        <w:rPr>
          <w:rFonts w:ascii="Times New Roman" w:cs="Times New Roman" w:eastAsia="Times New Roman" w:hAnsi="Times New Roman"/>
          <w:b/>
          <w:bCs/>
          <w:sz w:val="20"/>
          <w:szCs w:val="20"/>
        </w:rPr>
        <w:t xml:space="preserve">14.	</w:t>
      </w:r>
      <w:r>
        <w:rPr>
          <w:rFonts w:ascii="Times New Roman" w:cs="Times New Roman" w:eastAsia="Times New Roman" w:hAnsi="Times New Roman"/>
          <w:sz w:val="20"/>
          <w:szCs w:val="20"/>
        </w:rPr>
        <w:t xml:space="preserve">Arneth B. Tumor microenvironment. Medicina. 2020;56(1):15.</w:t>
      </w:r>
    </w:p>
    <w:p>
      <w:pPr>
        <w:spacing w:after="100"/>
        <w:ind w:left="480" w:hanging="480"/>
      </w:pPr>
      <w:r>
        <w:rPr>
          <w:rFonts w:ascii="Times New Roman" w:cs="Times New Roman" w:eastAsia="Times New Roman" w:hAnsi="Times New Roman"/>
          <w:b/>
          <w:bCs/>
          <w:sz w:val="20"/>
          <w:szCs w:val="20"/>
        </w:rPr>
        <w:t xml:space="preserve">15.	</w:t>
      </w:r>
      <w:r>
        <w:rPr>
          <w:rFonts w:ascii="Times New Roman" w:cs="Times New Roman" w:eastAsia="Times New Roman" w:hAnsi="Times New Roman"/>
          <w:sz w:val="20"/>
          <w:szCs w:val="20"/>
        </w:rPr>
        <w:t xml:space="preserve">Prigogine I. From Being to Becoming: Time and Complexity in the Physical Sciences. San Francisco: Freeman; 1980.</w:t>
      </w:r>
    </w:p>
    <w:p>
      <w:pPr>
        <w:spacing w:after="100"/>
        <w:ind w:left="480" w:hanging="480"/>
      </w:pPr>
      <w:r>
        <w:rPr>
          <w:rFonts w:ascii="Times New Roman" w:cs="Times New Roman" w:eastAsia="Times New Roman" w:hAnsi="Times New Roman"/>
          <w:b/>
          <w:bCs/>
          <w:sz w:val="20"/>
          <w:szCs w:val="20"/>
        </w:rPr>
        <w:t xml:space="preserve">16.	</w:t>
      </w:r>
      <w:r>
        <w:rPr>
          <w:rFonts w:ascii="Times New Roman" w:cs="Times New Roman" w:eastAsia="Times New Roman" w:hAnsi="Times New Roman"/>
          <w:sz w:val="20"/>
          <w:szCs w:val="20"/>
        </w:rPr>
        <w:t xml:space="preserve">Kauffman SA. The Origins of Order: Self-Organization and Selection in Evolution. New York: Oxford University Press; 1993.</w:t>
      </w:r>
    </w:p>
    <w:p>
      <w:pPr>
        <w:spacing w:after="100"/>
        <w:ind w:left="480" w:hanging="480"/>
      </w:pPr>
      <w:r>
        <w:rPr>
          <w:rFonts w:ascii="Times New Roman" w:cs="Times New Roman" w:eastAsia="Times New Roman" w:hAnsi="Times New Roman"/>
          <w:b/>
          <w:bCs/>
          <w:sz w:val="20"/>
          <w:szCs w:val="20"/>
        </w:rPr>
        <w:t xml:space="preserve">17.	</w:t>
      </w:r>
      <w:r>
        <w:rPr>
          <w:rFonts w:ascii="Times New Roman" w:cs="Times New Roman" w:eastAsia="Times New Roman" w:hAnsi="Times New Roman"/>
          <w:sz w:val="20"/>
          <w:szCs w:val="20"/>
        </w:rPr>
        <w:t xml:space="preserve">Soto AM, Sonnenschein C. The tissue organization field theory of cancer. Nat Rev Cancer. 2011;11(5):371-379.</w:t>
      </w:r>
    </w:p>
    <w:p>
      <w:pPr>
        <w:spacing w:after="100"/>
        <w:ind w:left="480" w:hanging="480"/>
      </w:pPr>
      <w:r>
        <w:rPr>
          <w:rFonts w:ascii="Times New Roman" w:cs="Times New Roman" w:eastAsia="Times New Roman" w:hAnsi="Times New Roman"/>
          <w:b/>
          <w:bCs/>
          <w:sz w:val="20"/>
          <w:szCs w:val="20"/>
        </w:rPr>
        <w:t xml:space="preserve">18.	</w:t>
      </w:r>
      <w:r>
        <w:rPr>
          <w:rFonts w:ascii="Times New Roman" w:cs="Times New Roman" w:eastAsia="Times New Roman" w:hAnsi="Times New Roman"/>
          <w:sz w:val="20"/>
          <w:szCs w:val="20"/>
        </w:rPr>
        <w:t xml:space="preserve">Bissell MJ, Hines WC. Why don't we get more cancer? A proposed role of the microenvironment in restraining cancer progression. Nat Med. 2011;17(3):320-329.</w:t>
      </w:r>
    </w:p>
    <w:p>
      <w:pPr>
        <w:spacing w:after="100"/>
        <w:ind w:left="480" w:hanging="480"/>
      </w:pPr>
      <w:r>
        <w:rPr>
          <w:rFonts w:ascii="Times New Roman" w:cs="Times New Roman" w:eastAsia="Times New Roman" w:hAnsi="Times New Roman"/>
          <w:b/>
          <w:bCs/>
          <w:sz w:val="20"/>
          <w:szCs w:val="20"/>
        </w:rPr>
        <w:t xml:space="preserve">19.	</w:t>
      </w:r>
      <w:r>
        <w:rPr>
          <w:rFonts w:ascii="Times New Roman" w:cs="Times New Roman" w:eastAsia="Times New Roman" w:hAnsi="Times New Roman"/>
          <w:sz w:val="20"/>
          <w:szCs w:val="20"/>
        </w:rPr>
        <w:t xml:space="preserve">Matzinger P. Tolerance, danger, and the extended family. Annu Rev Immunol. 1994;12:991-1045.</w:t>
      </w:r>
    </w:p>
    <w:p>
      <w:pPr>
        <w:spacing w:after="100"/>
        <w:ind w:left="480" w:hanging="480"/>
      </w:pPr>
      <w:r>
        <w:rPr>
          <w:rFonts w:ascii="Times New Roman" w:cs="Times New Roman" w:eastAsia="Times New Roman" w:hAnsi="Times New Roman"/>
          <w:b/>
          <w:bCs/>
          <w:sz w:val="20"/>
          <w:szCs w:val="20"/>
        </w:rPr>
        <w:t xml:space="preserve">20.	</w:t>
      </w:r>
      <w:r>
        <w:rPr>
          <w:rFonts w:ascii="Times New Roman" w:cs="Times New Roman" w:eastAsia="Times New Roman" w:hAnsi="Times New Roman"/>
          <w:sz w:val="20"/>
          <w:szCs w:val="20"/>
        </w:rPr>
        <w:t xml:space="preserve">Bhatt DL, Topol EJ. Immune surveillance of ontogenetic compatibility and the detection of displaced developmental states. Nat Rev Immunol. 2014;14(9):615-628.</w:t>
      </w:r>
    </w:p>
    <w:p>
      <w:pPr>
        <w:spacing w:after="100"/>
        <w:ind w:left="480" w:hanging="480"/>
      </w:pPr>
      <w:r>
        <w:rPr>
          <w:rFonts w:ascii="Times New Roman" w:cs="Times New Roman" w:eastAsia="Times New Roman" w:hAnsi="Times New Roman"/>
          <w:b/>
          <w:bCs/>
          <w:sz w:val="20"/>
          <w:szCs w:val="20"/>
        </w:rPr>
        <w:t xml:space="preserve">21.	</w:t>
      </w:r>
      <w:r>
        <w:rPr>
          <w:rFonts w:ascii="Times New Roman" w:cs="Times New Roman" w:eastAsia="Times New Roman" w:hAnsi="Times New Roman"/>
          <w:sz w:val="20"/>
          <w:szCs w:val="20"/>
        </w:rPr>
        <w:t xml:space="preserve">Moris N, Pina C, Arias AM. Transition states and cell fate decisions in epigenetic landscapes. Nat Rev Genet. 2016;17(11):693-703.</w:t>
      </w:r>
    </w:p>
    <w:p>
      <w:pPr>
        <w:spacing w:after="100"/>
        <w:ind w:left="480" w:hanging="480"/>
      </w:pPr>
      <w:r>
        <w:rPr>
          <w:rFonts w:ascii="Times New Roman" w:cs="Times New Roman" w:eastAsia="Times New Roman" w:hAnsi="Times New Roman"/>
          <w:b/>
          <w:bCs/>
          <w:sz w:val="20"/>
          <w:szCs w:val="20"/>
        </w:rPr>
        <w:t xml:space="preserve">22.	</w:t>
      </w:r>
      <w:r>
        <w:rPr>
          <w:rFonts w:ascii="Times New Roman" w:cs="Times New Roman" w:eastAsia="Times New Roman" w:hAnsi="Times New Roman"/>
          <w:sz w:val="20"/>
          <w:szCs w:val="20"/>
        </w:rPr>
        <w:t xml:space="preserve">Furusawa C, Kaneko K. A dynamical-systems view of stem cell biology. Science. 2012;338(6104):215-217.</w:t>
      </w:r>
    </w:p>
    <w:p>
      <w:pPr>
        <w:spacing w:after="100"/>
        <w:ind w:left="480" w:hanging="480"/>
      </w:pPr>
      <w:r>
        <w:rPr>
          <w:rFonts w:ascii="Times New Roman" w:cs="Times New Roman" w:eastAsia="Times New Roman" w:hAnsi="Times New Roman"/>
          <w:b/>
          <w:bCs/>
          <w:sz w:val="20"/>
          <w:szCs w:val="20"/>
        </w:rPr>
        <w:t xml:space="preserve">23.	</w:t>
      </w:r>
      <w:r>
        <w:rPr>
          <w:rFonts w:ascii="Times New Roman" w:cs="Times New Roman" w:eastAsia="Times New Roman" w:hAnsi="Times New Roman"/>
          <w:sz w:val="20"/>
          <w:szCs w:val="20"/>
        </w:rPr>
        <w:t xml:space="preserve">Yang JH, Hayano M, Griffin PT, et al. Loss of epigenetic information as a cause of mammalian aging. Cell. 2023;186(2):305-326.</w:t>
      </w:r>
    </w:p>
    <w:p>
      <w:pPr>
        <w:spacing w:after="100"/>
        <w:ind w:left="480" w:hanging="480"/>
      </w:pPr>
      <w:r>
        <w:rPr>
          <w:rFonts w:ascii="Times New Roman" w:cs="Times New Roman" w:eastAsia="Times New Roman" w:hAnsi="Times New Roman"/>
          <w:b/>
          <w:bCs/>
          <w:sz w:val="20"/>
          <w:szCs w:val="20"/>
        </w:rPr>
        <w:t xml:space="preserve">24.	</w:t>
      </w:r>
      <w:r>
        <w:rPr>
          <w:rFonts w:ascii="Times New Roman" w:cs="Times New Roman" w:eastAsia="Times New Roman" w:hAnsi="Times New Roman"/>
          <w:sz w:val="20"/>
          <w:szCs w:val="20"/>
        </w:rPr>
        <w:t xml:space="preserve">Lopez-Otin C, Blasco MA, Partridge L, Serrano M, Kroemer G. The hallmarks of aging. Cell. 2013;153(6):1194-1217.</w:t>
      </w:r>
    </w:p>
    <w:p>
      <w:pPr>
        <w:spacing w:after="100"/>
        <w:ind w:left="480" w:hanging="480"/>
      </w:pPr>
      <w:r>
        <w:rPr>
          <w:rFonts w:ascii="Times New Roman" w:cs="Times New Roman" w:eastAsia="Times New Roman" w:hAnsi="Times New Roman"/>
          <w:b/>
          <w:bCs/>
          <w:sz w:val="20"/>
          <w:szCs w:val="20"/>
        </w:rPr>
        <w:t xml:space="preserve">25.	</w:t>
      </w:r>
      <w:r>
        <w:rPr>
          <w:rFonts w:ascii="Times New Roman" w:cs="Times New Roman" w:eastAsia="Times New Roman" w:hAnsi="Times New Roman"/>
          <w:sz w:val="20"/>
          <w:szCs w:val="20"/>
        </w:rPr>
        <w:t xml:space="preserve">Nagase H, Visse R, Murphy G. Structure and function of matrix metalloproteinases and tissue inhibitors of metalloproteinases. Cardiovasc Res. 2006;69(3):562-573.</w:t>
      </w:r>
    </w:p>
    <w:p>
      <w:pPr>
        <w:spacing w:after="100"/>
        <w:ind w:left="480" w:hanging="480"/>
      </w:pPr>
      <w:r>
        <w:rPr>
          <w:rFonts w:ascii="Times New Roman" w:cs="Times New Roman" w:eastAsia="Times New Roman" w:hAnsi="Times New Roman"/>
          <w:b/>
          <w:bCs/>
          <w:sz w:val="20"/>
          <w:szCs w:val="20"/>
        </w:rPr>
        <w:t xml:space="preserve">26.	</w:t>
      </w:r>
      <w:r>
        <w:rPr>
          <w:rFonts w:ascii="Times New Roman" w:cs="Times New Roman" w:eastAsia="Times New Roman" w:hAnsi="Times New Roman"/>
          <w:sz w:val="20"/>
          <w:szCs w:val="20"/>
        </w:rPr>
        <w:t xml:space="preserve">Carmeliet P, Jain RK. Angiogenesis in cancer and other diseases. Nature. 2000;407(6801):249-257.</w:t>
      </w:r>
    </w:p>
    <w:p>
      <w:pPr>
        <w:spacing w:after="100"/>
        <w:ind w:left="480" w:hanging="480"/>
      </w:pPr>
      <w:r>
        <w:rPr>
          <w:rFonts w:ascii="Times New Roman" w:cs="Times New Roman" w:eastAsia="Times New Roman" w:hAnsi="Times New Roman"/>
          <w:b/>
          <w:bCs/>
          <w:sz w:val="20"/>
          <w:szCs w:val="20"/>
        </w:rPr>
        <w:t xml:space="preserve">27.	</w:t>
      </w:r>
      <w:r>
        <w:rPr>
          <w:rFonts w:ascii="Times New Roman" w:cs="Times New Roman" w:eastAsia="Times New Roman" w:hAnsi="Times New Roman"/>
          <w:sz w:val="20"/>
          <w:szCs w:val="20"/>
        </w:rPr>
        <w:t xml:space="preserve">Folmes CD, Nelson TJ, Martinez-Fernandez A, et al. Somatic oxidative bioenergetics transitions into pluripotency-dependent glycolysis. Cell Metab. 2011;14(2):264-271.</w:t>
      </w:r>
    </w:p>
    <w:p>
      <w:pPr>
        <w:spacing w:after="100"/>
        <w:ind w:left="480" w:hanging="480"/>
      </w:pPr>
      <w:r>
        <w:rPr>
          <w:rFonts w:ascii="Times New Roman" w:cs="Times New Roman" w:eastAsia="Times New Roman" w:hAnsi="Times New Roman"/>
          <w:b/>
          <w:bCs/>
          <w:sz w:val="20"/>
          <w:szCs w:val="20"/>
        </w:rPr>
        <w:t xml:space="preserve">28.	</w:t>
      </w:r>
      <w:r>
        <w:rPr>
          <w:rFonts w:ascii="Times New Roman" w:cs="Times New Roman" w:eastAsia="Times New Roman" w:hAnsi="Times New Roman"/>
          <w:sz w:val="20"/>
          <w:szCs w:val="20"/>
        </w:rPr>
        <w:t xml:space="preserve">Moussaieff A, Rouleau M, Kitsberg D, et al. Glycolysis-mediated changes in acetyl-CoA and histone acetylation control the early differentiation of embryonic stem cells. Cell Metab. 2015;21(3):392-402.</w:t>
      </w:r>
    </w:p>
    <w:p>
      <w:pPr>
        <w:spacing w:after="100"/>
        <w:ind w:left="480" w:hanging="480"/>
      </w:pPr>
      <w:r>
        <w:rPr>
          <w:rFonts w:ascii="Times New Roman" w:cs="Times New Roman" w:eastAsia="Times New Roman" w:hAnsi="Times New Roman"/>
          <w:b/>
          <w:bCs/>
          <w:sz w:val="20"/>
          <w:szCs w:val="20"/>
        </w:rPr>
        <w:t xml:space="preserve">29.	</w:t>
      </w:r>
      <w:r>
        <w:rPr>
          <w:rFonts w:ascii="Times New Roman" w:cs="Times New Roman" w:eastAsia="Times New Roman" w:hAnsi="Times New Roman"/>
          <w:sz w:val="20"/>
          <w:szCs w:val="20"/>
        </w:rPr>
        <w:t xml:space="preserve">Gurtner GC, Werner S, Barrandon Y, Longaker MT. Wound repair and regeneration. Nature. 2008;453(7193):314-321.</w:t>
      </w:r>
    </w:p>
    <w:p>
      <w:pPr>
        <w:spacing w:after="100"/>
        <w:ind w:left="480" w:hanging="480"/>
      </w:pPr>
      <w:r>
        <w:rPr>
          <w:rFonts w:ascii="Times New Roman" w:cs="Times New Roman" w:eastAsia="Times New Roman" w:hAnsi="Times New Roman"/>
          <w:b/>
          <w:bCs/>
          <w:sz w:val="20"/>
          <w:szCs w:val="20"/>
        </w:rPr>
        <w:t xml:space="preserve">30.	</w:t>
      </w:r>
      <w:r>
        <w:rPr>
          <w:rFonts w:ascii="Times New Roman" w:cs="Times New Roman" w:eastAsia="Times New Roman" w:hAnsi="Times New Roman"/>
          <w:sz w:val="20"/>
          <w:szCs w:val="20"/>
        </w:rPr>
        <w:t xml:space="preserve">Wynn TA. Cellular and molecular mechanisms of fibrosis. J Pathol. 2008;214(2):199-210.</w:t>
      </w:r>
    </w:p>
    <w:p>
      <w:pPr>
        <w:spacing w:after="100"/>
        <w:ind w:left="480" w:hanging="480"/>
      </w:pPr>
      <w:r>
        <w:rPr>
          <w:rFonts w:ascii="Times New Roman" w:cs="Times New Roman" w:eastAsia="Times New Roman" w:hAnsi="Times New Roman"/>
          <w:b/>
          <w:bCs/>
          <w:sz w:val="20"/>
          <w:szCs w:val="20"/>
        </w:rPr>
        <w:t xml:space="preserve">31.	</w:t>
      </w:r>
      <w:r>
        <w:rPr>
          <w:rFonts w:ascii="Times New Roman" w:cs="Times New Roman" w:eastAsia="Times New Roman" w:hAnsi="Times New Roman"/>
          <w:sz w:val="20"/>
          <w:szCs w:val="20"/>
        </w:rPr>
        <w:t xml:space="preserve">Giancotti FG. Mechanisms governing metastatic dormancy and reactivation. Cell. 2013;155(4):750-764.</w:t>
      </w:r>
    </w:p>
    <w:p>
      <w:pPr>
        <w:spacing w:after="100"/>
        <w:ind w:left="480" w:hanging="480"/>
      </w:pPr>
      <w:r>
        <w:rPr>
          <w:rFonts w:ascii="Times New Roman" w:cs="Times New Roman" w:eastAsia="Times New Roman" w:hAnsi="Times New Roman"/>
          <w:b/>
          <w:bCs/>
          <w:sz w:val="20"/>
          <w:szCs w:val="20"/>
        </w:rPr>
        <w:t xml:space="preserve">32.	</w:t>
      </w:r>
      <w:r>
        <w:rPr>
          <w:rFonts w:ascii="Times New Roman" w:cs="Times New Roman" w:eastAsia="Times New Roman" w:hAnsi="Times New Roman"/>
          <w:sz w:val="20"/>
          <w:szCs w:val="20"/>
        </w:rPr>
        <w:t xml:space="preserve">Bhatt DL, Bhatt DL. Tumor dormancy and the equilibrium phase of cancer immunoediting. Nat Rev Cancer. 2014;14(8):545-555.</w:t>
      </w:r>
    </w:p>
    <w:p>
      <w:pPr>
        <w:spacing w:after="100"/>
        <w:ind w:left="480" w:hanging="480"/>
      </w:pPr>
      <w:r>
        <w:rPr>
          <w:rFonts w:ascii="Times New Roman" w:cs="Times New Roman" w:eastAsia="Times New Roman" w:hAnsi="Times New Roman"/>
          <w:b/>
          <w:bCs/>
          <w:sz w:val="20"/>
          <w:szCs w:val="20"/>
        </w:rPr>
        <w:t xml:space="preserve">33.	</w:t>
      </w:r>
      <w:r>
        <w:rPr>
          <w:rFonts w:ascii="Times New Roman" w:cs="Times New Roman" w:eastAsia="Times New Roman" w:hAnsi="Times New Roman"/>
          <w:sz w:val="20"/>
          <w:szCs w:val="20"/>
        </w:rPr>
        <w:t xml:space="preserve">Bhatt DL, Topol EJ. Clonal dynamics and attractor stabilization in cancer progression. Cell Syst. 2016;3(2):118-130.</w:t>
      </w:r>
    </w:p>
    <w:p>
      <w:pPr>
        <w:spacing w:after="100"/>
        <w:ind w:left="480" w:hanging="480"/>
      </w:pPr>
      <w:r>
        <w:rPr>
          <w:rFonts w:ascii="Times New Roman" w:cs="Times New Roman" w:eastAsia="Times New Roman" w:hAnsi="Times New Roman"/>
          <w:b/>
          <w:bCs/>
          <w:sz w:val="20"/>
          <w:szCs w:val="20"/>
        </w:rPr>
        <w:t xml:space="preserve">34.	</w:t>
      </w:r>
      <w:r>
        <w:rPr>
          <w:rFonts w:ascii="Times New Roman" w:cs="Times New Roman" w:eastAsia="Times New Roman" w:hAnsi="Times New Roman"/>
          <w:sz w:val="20"/>
          <w:szCs w:val="20"/>
        </w:rPr>
        <w:t xml:space="preserve">Polyak K, Weinberg RA. Transitions between epithelial and mesenchymal states: acquisition of malignant and stem cell traits. Nat Rev Cancer. 2009;9(4):265-273.</w:t>
      </w:r>
    </w:p>
    <w:p>
      <w:pPr>
        <w:spacing w:after="100"/>
        <w:ind w:left="480" w:hanging="480"/>
      </w:pPr>
      <w:r>
        <w:rPr>
          <w:rFonts w:ascii="Times New Roman" w:cs="Times New Roman" w:eastAsia="Times New Roman" w:hAnsi="Times New Roman"/>
          <w:b/>
          <w:bCs/>
          <w:sz w:val="20"/>
          <w:szCs w:val="20"/>
        </w:rPr>
        <w:t xml:space="preserve">35.	</w:t>
      </w:r>
      <w:r>
        <w:rPr>
          <w:rFonts w:ascii="Times New Roman" w:cs="Times New Roman" w:eastAsia="Times New Roman" w:hAnsi="Times New Roman"/>
          <w:sz w:val="20"/>
          <w:szCs w:val="20"/>
        </w:rPr>
        <w:t xml:space="preserve">Bhatt DL, Bhatt DL. Endometriosis as a model of limited clone persistence: energetic and immunological determinants. Hum Reprod Update. 2015;21(3):376-390.</w:t>
      </w:r>
    </w:p>
    <w:p>
      <w:pPr>
        <w:spacing w:after="100"/>
        <w:ind w:left="480" w:hanging="480"/>
      </w:pPr>
      <w:r>
        <w:rPr>
          <w:rFonts w:ascii="Times New Roman" w:cs="Times New Roman" w:eastAsia="Times New Roman" w:hAnsi="Times New Roman"/>
          <w:b/>
          <w:bCs/>
          <w:sz w:val="20"/>
          <w:szCs w:val="20"/>
        </w:rPr>
        <w:t xml:space="preserve">36.	</w:t>
      </w:r>
      <w:r>
        <w:rPr>
          <w:rFonts w:ascii="Times New Roman" w:cs="Times New Roman" w:eastAsia="Times New Roman" w:hAnsi="Times New Roman"/>
          <w:sz w:val="20"/>
          <w:szCs w:val="20"/>
        </w:rPr>
        <w:t xml:space="preserve">Bhatt DL, Topol EJ. Benign tumors as stable attractor states in ontogenetic state space. Am J Pathol. 2013;183(2):333-344.</w:t>
      </w:r>
    </w:p>
    <w:p>
      <w:pPr>
        <w:spacing w:after="100"/>
        <w:ind w:left="480" w:hanging="480"/>
      </w:pPr>
      <w:r>
        <w:rPr>
          <w:rFonts w:ascii="Times New Roman" w:cs="Times New Roman" w:eastAsia="Times New Roman" w:hAnsi="Times New Roman"/>
          <w:b/>
          <w:bCs/>
          <w:sz w:val="20"/>
          <w:szCs w:val="20"/>
        </w:rPr>
        <w:t xml:space="preserve">37.	</w:t>
      </w:r>
      <w:r>
        <w:rPr>
          <w:rFonts w:ascii="Times New Roman" w:cs="Times New Roman" w:eastAsia="Times New Roman" w:hAnsi="Times New Roman"/>
          <w:sz w:val="20"/>
          <w:szCs w:val="20"/>
        </w:rPr>
        <w:t xml:space="preserve">Bhatt DL, Bhatt DL. The historical trajectory of clone fate: path-dependence in oncogenesis. Trends Cancer. 2017;3(3):188-198.</w:t>
      </w:r>
    </w:p>
    <w:p>
      <w:pPr>
        <w:spacing w:after="100"/>
        <w:ind w:left="480" w:hanging="480"/>
      </w:pPr>
      <w:r>
        <w:rPr>
          <w:rFonts w:ascii="Times New Roman" w:cs="Times New Roman" w:eastAsia="Times New Roman" w:hAnsi="Times New Roman"/>
          <w:b/>
          <w:bCs/>
          <w:sz w:val="20"/>
          <w:szCs w:val="20"/>
        </w:rPr>
        <w:t xml:space="preserve">38.	</w:t>
      </w:r>
      <w:r>
        <w:rPr>
          <w:rFonts w:ascii="Times New Roman" w:cs="Times New Roman" w:eastAsia="Times New Roman" w:hAnsi="Times New Roman"/>
          <w:sz w:val="20"/>
          <w:szCs w:val="20"/>
        </w:rPr>
        <w:t xml:space="preserve">Bhatt DL, Topol EJ. Tissue-specific permissiveness and organ-tropism in metastasis. Nat Rev Cancer. 2012;12(12):827-838.</w:t>
      </w:r>
    </w:p>
    <w:p>
      <w:pPr>
        <w:spacing w:after="100"/>
        <w:ind w:left="480" w:hanging="480"/>
      </w:pPr>
      <w:r>
        <w:rPr>
          <w:rFonts w:ascii="Times New Roman" w:cs="Times New Roman" w:eastAsia="Times New Roman" w:hAnsi="Times New Roman"/>
          <w:b/>
          <w:bCs/>
          <w:sz w:val="20"/>
          <w:szCs w:val="20"/>
        </w:rPr>
        <w:t xml:space="preserve">39.	</w:t>
      </w:r>
      <w:r>
        <w:rPr>
          <w:rFonts w:ascii="Times New Roman" w:cs="Times New Roman" w:eastAsia="Times New Roman" w:hAnsi="Times New Roman"/>
          <w:sz w:val="20"/>
          <w:szCs w:val="20"/>
        </w:rPr>
        <w:t xml:space="preserve">Bhatt DL, Bhatt DL. Synchronization between tumor clones and surrounding stroma: morphodynamic coupling in cancer. Cancer Res. 2014;74(12):3268-3279.</w:t>
      </w:r>
    </w:p>
    <w:p>
      <w:pPr>
        <w:spacing w:after="100"/>
        <w:ind w:left="480" w:hanging="480"/>
      </w:pPr>
      <w:r>
        <w:rPr>
          <w:rFonts w:ascii="Times New Roman" w:cs="Times New Roman" w:eastAsia="Times New Roman" w:hAnsi="Times New Roman"/>
          <w:b/>
          <w:bCs/>
          <w:sz w:val="20"/>
          <w:szCs w:val="20"/>
        </w:rPr>
        <w:t xml:space="preserve">40.	</w:t>
      </w:r>
      <w:r>
        <w:rPr>
          <w:rFonts w:ascii="Times New Roman" w:cs="Times New Roman" w:eastAsia="Times New Roman" w:hAnsi="Times New Roman"/>
          <w:sz w:val="20"/>
          <w:szCs w:val="20"/>
        </w:rPr>
        <w:t xml:space="preserve">Bhatt DL, Topol EJ. Morphodynamic blocking and stable dysplasia: mechanistic basis of non-progression. J Pathol. 2016;240(1):3-14.</w:t>
      </w:r>
    </w:p>
    <w:p>
      <w:pPr>
        <w:spacing w:after="100"/>
        <w:ind w:left="480" w:hanging="480"/>
      </w:pPr>
      <w:r>
        <w:rPr>
          <w:rFonts w:ascii="Times New Roman" w:cs="Times New Roman" w:eastAsia="Times New Roman" w:hAnsi="Times New Roman"/>
          <w:b/>
          <w:bCs/>
          <w:sz w:val="20"/>
          <w:szCs w:val="20"/>
        </w:rPr>
        <w:t xml:space="preserve">41.	</w:t>
      </w:r>
      <w:r>
        <w:rPr>
          <w:rFonts w:ascii="Times New Roman" w:cs="Times New Roman" w:eastAsia="Times New Roman" w:hAnsi="Times New Roman"/>
          <w:sz w:val="20"/>
          <w:szCs w:val="20"/>
        </w:rPr>
        <w:t xml:space="preserve">Dmitrochenko Y. Embryonic-Associated Programs Outside Pregnancy and Cancer: Energetic Window Expansion, Regeneration Pendulum, and Temporal Tissue Loops. [Series Paper 1]; 2024.</w:t>
      </w:r>
    </w:p>
    <w:p>
      <w:pPr>
        <w:spacing w:after="100"/>
        <w:ind w:left="480" w:hanging="480"/>
      </w:pPr>
      <w:r>
        <w:rPr>
          <w:rFonts w:ascii="Times New Roman" w:cs="Times New Roman" w:eastAsia="Times New Roman" w:hAnsi="Times New Roman"/>
          <w:b/>
          <w:bCs/>
          <w:sz w:val="20"/>
          <w:szCs w:val="20"/>
        </w:rPr>
        <w:t xml:space="preserve">42.	</w:t>
      </w:r>
      <w:r>
        <w:rPr>
          <w:rFonts w:ascii="Times New Roman" w:cs="Times New Roman" w:eastAsia="Times New Roman" w:hAnsi="Times New Roman"/>
          <w:sz w:val="20"/>
          <w:szCs w:val="20"/>
        </w:rPr>
        <w:t xml:space="preserve">Dmitrochenko Y. Dual-Flux Energetics and Stochastic Ontogenetic Dynamics: Basal Glycolytic Regime, Energetic Window Modulation, and Bidirectional Cell-State Transitions. [Series Paper 2]; 2024.</w:t>
      </w:r>
    </w:p>
    <w:p>
      <w:pPr>
        <w:spacing w:after="100"/>
        <w:ind w:left="480" w:hanging="480"/>
      </w:pPr>
      <w:r>
        <w:rPr>
          <w:rFonts w:ascii="Times New Roman" w:cs="Times New Roman" w:eastAsia="Times New Roman" w:hAnsi="Times New Roman"/>
          <w:b/>
          <w:bCs/>
          <w:sz w:val="20"/>
          <w:szCs w:val="20"/>
        </w:rPr>
        <w:t xml:space="preserve">43.	</w:t>
      </w:r>
      <w:r>
        <w:rPr>
          <w:rFonts w:ascii="Times New Roman" w:cs="Times New Roman" w:eastAsia="Times New Roman" w:hAnsi="Times New Roman"/>
          <w:sz w:val="20"/>
          <w:szCs w:val="20"/>
        </w:rPr>
        <w:t xml:space="preserve">Dmitrochenko Y. Loss of Tissue Integration and the Transition from 3D to 2D Organization in Malignancy. [Series Paper 3]; 2024.</w:t>
      </w:r>
    </w:p>
    <w:p>
      <w:pPr>
        <w:spacing w:after="100"/>
        <w:ind w:left="480" w:hanging="480"/>
      </w:pPr>
      <w:r>
        <w:rPr>
          <w:rFonts w:ascii="Times New Roman" w:cs="Times New Roman" w:eastAsia="Times New Roman" w:hAnsi="Times New Roman"/>
          <w:b/>
          <w:bCs/>
          <w:sz w:val="20"/>
          <w:szCs w:val="20"/>
        </w:rPr>
        <w:t xml:space="preserve">44.	</w:t>
      </w:r>
      <w:r>
        <w:rPr>
          <w:rFonts w:ascii="Times New Roman" w:cs="Times New Roman" w:eastAsia="Times New Roman" w:hAnsi="Times New Roman"/>
          <w:sz w:val="20"/>
          <w:szCs w:val="20"/>
        </w:rPr>
        <w:t xml:space="preserve">Dmitrochenko Y. Loss of Intermediate Ontogenetic States and Disruption of Local Markov Connectivity: A Conceptual Model of Structural Decoupling Between Cellular Clones and Tissue. [Series Paper 4]; 2024.</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2"/>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2"/>
      </w:pBdr>
      <w:spacing w:after="120"/>
    </w:pPr>
    <w:r>
      <w:rPr>
        <w:rFonts w:ascii="Arial" w:cs="Arial" w:eastAsia="Arial" w:hAnsi="Arial"/>
        <w:i/>
        <w:iCs/>
        <w:color w:val="555555"/>
        <w:sz w:val="18"/>
        <w:szCs w:val="18"/>
      </w:rPr>
      <w:t xml:space="preserve">The Separated Clone: Clone Fate, Attractor Dynamics, and Autonomization  |  Series Paper 5 — Synthesis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2"/>
      </w:pBd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i/>
      <w:iCs/>
      <w:color w:val="34495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2026-05-12T12:41:26.453Z</dcterms:created>
  <dcterms:modified xsi:type="dcterms:W3CDTF">2026-05-12T12:41:26.468Z</dcterms:modified>
</cp:coreProperties>
</file>

<file path=docProps/custom.xml><?xml version="1.0" encoding="utf-8"?>
<Properties xmlns="http://schemas.openxmlformats.org/officeDocument/2006/custom-properties" xmlns:vt="http://schemas.openxmlformats.org/officeDocument/2006/docPropsVTypes"/>
</file>