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40"/>
          <w:szCs w:val="40"/>
        </w:rPr>
        <w:t xml:space="preserve">Dual-Flux Energy Architecture of the Organism</w:t>
      </w:r>
    </w:p>
    <w:p>
      <w:pPr>
        <w:spacing w:after="120"/>
        <w:jc w:val="center"/>
      </w:pPr>
      <w:r>
        <w:rPr>
          <w:rFonts w:ascii="Arial" w:cs="Arial" w:eastAsia="Arial" w:hAnsi="Arial"/>
          <w:i/>
          <w:iCs/>
          <w:color w:val="2E5FA3"/>
          <w:sz w:val="28"/>
          <w:szCs w:val="28"/>
        </w:rPr>
        <w:t xml:space="preserve">A Common Language for Biology, Physics, Chemistry, and Mathematics</w:t>
      </w:r>
    </w:p>
    <w:p>
      <w:pPr>
        <w:spacing w:after="80"/>
        <w:jc w:val="center"/>
      </w:pPr>
      <w:r>
        <w:rPr>
          <w:rFonts w:ascii="Arial" w:cs="Arial" w:eastAsia="Arial" w:hAnsi="Arial"/>
          <w:color w:val="555555"/>
          <w:sz w:val="24"/>
          <w:szCs w:val="24"/>
        </w:rPr>
        <w:t xml:space="preserve">Basal Glycolytic Regime, Mitochondrial Functional Flux,</w:t>
      </w:r>
    </w:p>
    <w:p>
      <w:pPr>
        <w:spacing w:after="200"/>
        <w:jc w:val="center"/>
      </w:pPr>
      <w:r>
        <w:rPr>
          <w:rFonts w:ascii="Arial" w:cs="Arial" w:eastAsia="Arial" w:hAnsi="Arial"/>
          <w:color w:val="555555"/>
          <w:sz w:val="24"/>
          <w:szCs w:val="24"/>
        </w:rPr>
        <w:t xml:space="preserve">and the Energetics of Biological Stability</w:t>
      </w:r>
    </w:p>
    <w:p>
      <w:pPr>
        <w:spacing w:after="480"/>
        <w:jc w:val="center"/>
      </w:pPr>
      <w:r>
        <w:rPr>
          <w:rFonts w:ascii="Arial" w:cs="Arial" w:eastAsia="Arial" w:hAnsi="Arial"/>
          <w:b/>
          <w:bCs/>
          <w:sz w:val="24"/>
          <w:szCs w:val="24"/>
        </w:rPr>
        <w:t xml:space="preserve">Yuri Dmitrochenko</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Abstract</w:t>
      </w:r>
    </w:p>
    <w:p>
      <w:pPr>
        <w:spacing w:after="160"/>
        <w:jc w:val="both"/>
      </w:pPr>
      <w:r>
        <w:rPr>
          <w:rFonts w:ascii="Arial" w:cs="Arial" w:eastAsia="Arial" w:hAnsi="Arial"/>
          <w:sz w:val="24"/>
          <w:szCs w:val="24"/>
        </w:rPr>
        <w:t xml:space="preserve">This work proposes a conceptual framework in which the energetics of multicellular organisms are described through two partially interconnected but functionally distinct energy fluxes. The central argument is not merely biological: it is that these two fluxes represent a single physical, chemical, mathematical, and biological reality — and that the failure to describe them within a shared language is itself a barrier to progress in medicine.</w:t>
      </w:r>
    </w:p>
    <w:p>
      <w:pPr>
        <w:spacing w:after="80"/>
      </w:pPr>
      <w:r>
        <w:t xml:space="preserve"/>
      </w:r>
    </w:p>
    <w:p>
      <w:pPr>
        <w:spacing w:after="160"/>
        <w:jc w:val="both"/>
      </w:pPr>
      <w:r>
        <w:rPr>
          <w:rFonts w:ascii="Arial" w:cs="Arial" w:eastAsia="Arial" w:hAnsi="Arial"/>
          <w:sz w:val="24"/>
          <w:szCs w:val="24"/>
        </w:rPr>
        <w:t xml:space="preserve">The first flux, the oxidative mitochondrial flux, supports the functional activity of mature differentiated tissues — muscle contraction, neural signaling, cardiac work — at the cost of progressive oxidative infrastructure wear.</w:t>
      </w:r>
    </w:p>
    <w:p>
      <w:pPr>
        <w:spacing w:after="80"/>
      </w:pPr>
      <w:r>
        <w:t xml:space="preserve"/>
      </w:r>
    </w:p>
    <w:p>
      <w:pPr>
        <w:spacing w:after="160"/>
        <w:jc w:val="both"/>
      </w:pPr>
      <w:r>
        <w:rPr>
          <w:rFonts w:ascii="Arial" w:cs="Arial" w:eastAsia="Arial" w:hAnsi="Arial"/>
          <w:sz w:val="24"/>
          <w:szCs w:val="24"/>
        </w:rPr>
        <w:t xml:space="preserve">The second flux, the Basal Glycolytic Regime (BGR), represents a protective glycolytic-recycling architecture associated with stem-cell maintenance, regeneration, reproductive capacity, sleep-associated repair, and long-term biological stability. Glycolytic metabolism here is not an inferior alternative but an evolutionarily conserved protective mode for systems in which genomic stability and information preservation take priority over maximal energy yield.</w:t>
      </w:r>
    </w:p>
    <w:p>
      <w:pPr>
        <w:spacing w:after="80"/>
      </w:pPr>
      <w:r>
        <w:t xml:space="preserve"/>
      </w:r>
    </w:p>
    <w:p>
      <w:pPr>
        <w:spacing w:after="160"/>
        <w:jc w:val="both"/>
      </w:pPr>
      <w:r>
        <w:rPr>
          <w:rFonts w:ascii="Arial" w:cs="Arial" w:eastAsia="Arial" w:hAnsi="Arial"/>
          <w:sz w:val="24"/>
          <w:szCs w:val="24"/>
        </w:rPr>
        <w:t xml:space="preserve">This essay proposes that flux — energetic flow — is the natural unit of description shared across physics, chemistry, mathematics, and biology. Each discipline illuminates a different dimension of the same phenomenon. Together, they can form the common language that medicine currently lacks.</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Prologue: The Problem of Language</w:t>
      </w:r>
    </w:p>
    <w:p>
      <w:pPr>
        <w:spacing w:after="160"/>
        <w:jc w:val="both"/>
      </w:pPr>
      <w:r>
        <w:rPr>
          <w:rFonts w:ascii="Arial" w:cs="Arial" w:eastAsia="Arial" w:hAnsi="Arial"/>
          <w:sz w:val="24"/>
          <w:szCs w:val="24"/>
        </w:rPr>
        <w:t xml:space="preserve">A biologist, a physicist, a chemist, and a mathematician study the same organism. They each discover something true. And yet they rarely speak to one another in terms the others can use.</w:t>
      </w:r>
    </w:p>
    <w:p>
      <w:pPr>
        <w:spacing w:after="80"/>
      </w:pPr>
      <w:r>
        <w:t xml:space="preserve"/>
      </w:r>
    </w:p>
    <w:p>
      <w:pPr>
        <w:spacing w:after="160"/>
        <w:jc w:val="both"/>
      </w:pPr>
      <w:r>
        <w:rPr>
          <w:rFonts w:ascii="Arial" w:cs="Arial" w:eastAsia="Arial" w:hAnsi="Arial"/>
          <w:sz w:val="24"/>
          <w:szCs w:val="24"/>
        </w:rPr>
        <w:t xml:space="preserve">The biologist describes regeneration. The physicist describes thermodynamic dissipation. The chemist describes substrate cycling. The mathematician describes a dynamical system with switching behavior. All are correct. None is complete.</w:t>
      </w:r>
    </w:p>
    <w:p>
      <w:pPr>
        <w:spacing w:after="80"/>
      </w:pPr>
      <w:r>
        <w:t xml:space="preserve"/>
      </w:r>
    </w:p>
    <w:p>
      <w:pPr>
        <w:spacing w:after="160"/>
        <w:jc w:val="both"/>
      </w:pPr>
      <w:r>
        <w:rPr>
          <w:rFonts w:ascii="Arial" w:cs="Arial" w:eastAsia="Arial" w:hAnsi="Arial"/>
          <w:sz w:val="24"/>
          <w:szCs w:val="24"/>
        </w:rPr>
        <w:t xml:space="preserve">The result is not confusion — it is something more costly: parallel monologues. Medicine inherits this fragmentation. The physician acts on symptoms, markers, and isolated pathways, without a systemic language for what the organism is actually doing at the level of its energetic architecture.</w:t>
      </w:r>
    </w:p>
    <w:p>
      <w:pPr>
        <w:spacing w:after="80"/>
      </w:pPr>
      <w:r>
        <w:t xml:space="preserve"/>
      </w:r>
    </w:p>
    <w:p>
      <w:pPr>
        <w:spacing w:after="160"/>
        <w:jc w:val="both"/>
      </w:pPr>
      <w:r>
        <w:rPr>
          <w:rFonts w:ascii="Arial" w:cs="Arial" w:eastAsia="Arial" w:hAnsi="Arial"/>
          <w:sz w:val="24"/>
          <w:szCs w:val="24"/>
        </w:rPr>
        <w:t xml:space="preserve">This essay is an attempt to articulate a common language — not to replace each discipline's vocabulary, but to show that one physical object, the energy flux of the living organism, can be described simultaneously in all four languages. When that becomes visible, each discipline can do its own work — and the orchestra can begin to play together.</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Part I: The Dual-Flux Architecture</w:t>
      </w:r>
    </w:p>
    <w:p>
      <w:pPr>
        <w:pStyle w:val="Heading2"/>
        <w:spacing w:after="160" w:before="300"/>
      </w:pPr>
      <w:r>
        <w:rPr>
          <w:rFonts w:ascii="Arial" w:cs="Arial" w:eastAsia="Arial" w:hAnsi="Arial"/>
          <w:b/>
          <w:bCs/>
          <w:sz w:val="28"/>
          <w:szCs w:val="28"/>
        </w:rPr>
        <w:t xml:space="preserve">1.1 The Central Observation</w:t>
      </w:r>
    </w:p>
    <w:p>
      <w:pPr>
        <w:spacing w:after="160"/>
        <w:jc w:val="both"/>
      </w:pPr>
      <w:r>
        <w:rPr>
          <w:rFonts w:ascii="Arial" w:cs="Arial" w:eastAsia="Arial" w:hAnsi="Arial"/>
          <w:sz w:val="24"/>
          <w:szCs w:val="24"/>
        </w:rPr>
        <w:t xml:space="preserve">Classical bioenergetics describes the organism primarily through ATP production, mitochondrial oxidative phosphorylation, and substrate utilization. This description is powerful but incomplete.</w:t>
      </w:r>
    </w:p>
    <w:p>
      <w:pPr>
        <w:spacing w:after="80"/>
      </w:pPr>
      <w:r>
        <w:t xml:space="preserve"/>
      </w:r>
    </w:p>
    <w:p>
      <w:pPr>
        <w:spacing w:after="160"/>
        <w:jc w:val="both"/>
      </w:pPr>
      <w:r>
        <w:rPr>
          <w:rFonts w:ascii="Arial" w:cs="Arial" w:eastAsia="Arial" w:hAnsi="Arial"/>
          <w:sz w:val="24"/>
          <w:szCs w:val="24"/>
        </w:rPr>
        <w:t xml:space="preserve">Many biological phenomena resist explanation through maximal energy production alone: embryonic development, stem-cell quiescence, pregnancy, regeneration, sleep, and aging all demonstrate an apparent paradox — high biological complexity and regenerative capacity coexist with restrained oxidative metabolism and increased reliance on glycolytic pathways.</w:t>
      </w:r>
    </w:p>
    <w:p>
      <w:pPr>
        <w:spacing w:after="80"/>
      </w:pPr>
      <w:r>
        <w:t xml:space="preserve"/>
      </w:r>
    </w:p>
    <w:p>
      <w:pPr>
        <w:spacing w:after="160"/>
        <w:jc w:val="both"/>
      </w:pPr>
      <w:r>
        <w:rPr>
          <w:rFonts w:ascii="Arial" w:cs="Arial" w:eastAsia="Arial" w:hAnsi="Arial"/>
          <w:sz w:val="24"/>
          <w:szCs w:val="24"/>
        </w:rPr>
        <w:t xml:space="preserve">This is not a paradox once we recognize that the organism does not optimize for maximum power output. It balances two competing requirements: functional performance and long-term structural integrity. These two requirements are served by two distinct energetic modes.</w:t>
      </w:r>
    </w:p>
    <w:p>
      <w:pPr>
        <w:pStyle w:val="Heading2"/>
        <w:spacing w:after="160" w:before="300"/>
      </w:pPr>
      <w:r>
        <w:rPr>
          <w:rFonts w:ascii="Arial" w:cs="Arial" w:eastAsia="Arial" w:hAnsi="Arial"/>
          <w:b/>
          <w:bCs/>
          <w:sz w:val="28"/>
          <w:szCs w:val="28"/>
        </w:rPr>
        <w:t xml:space="preserve">1.2 The Two Fluxes</w:t>
      </w:r>
    </w:p>
    <w:p>
      <w:pPr>
        <w:spacing w:after="160"/>
        <w:jc w:val="both"/>
      </w:pPr>
      <w:r>
        <w:rPr>
          <w:rFonts w:ascii="Arial" w:cs="Arial" w:eastAsia="Arial" w:hAnsi="Arial"/>
          <w:sz w:val="24"/>
          <w:szCs w:val="24"/>
        </w:rPr>
        <w:t xml:space="preserve">The oxidative mitochondrial flux provides high ATP yield and high power output. It supports mature tissue function — muscle, neurons, heart, active transport. It is efficient in the short term. But it is accompanied by reactive oxygen species generation, mitochondrial membrane stress, mitochondrial DNA damage, and cumulative infrastructure degradation. It provides power at the cost of progressive wear.</w:t>
      </w:r>
    </w:p>
    <w:p>
      <w:pPr>
        <w:spacing w:after="80"/>
      </w:pPr>
      <w:r>
        <w:t xml:space="preserve"/>
      </w:r>
    </w:p>
    <w:p>
      <w:pPr>
        <w:spacing w:after="160"/>
        <w:jc w:val="both"/>
      </w:pPr>
      <w:r>
        <w:rPr>
          <w:rFonts w:ascii="Arial" w:cs="Arial" w:eastAsia="Arial" w:hAnsi="Arial"/>
          <w:sz w:val="24"/>
          <w:szCs w:val="24"/>
        </w:rPr>
        <w:t xml:space="preserve">The Basal Glycolytic Regime operates differently. It is characterized by glycolysis, glucose-lactate recycling, reduced oxidative pressure, distributed substrate buffering, and lower mitochondrial dependency. It is less efficient in ATP yield per glucose molecule. But it is protective. It minimizes oxidative stress in systems where the preservation of biological information — genomic integrity, cellular plasticity, regenerative capacity — takes priority over instantaneous performance.</w:t>
      </w:r>
    </w:p>
    <w:p>
      <w:pPr>
        <w:spacing w:after="80"/>
      </w:pPr>
      <w:r>
        <w:t xml:space="preserve"/>
      </w:r>
    </w:p>
    <w:p>
      <w:pPr>
        <w:spacing w:after="160"/>
        <w:jc w:val="both"/>
      </w:pPr>
      <w:r>
        <w:rPr>
          <w:rFonts w:ascii="Arial" w:cs="Arial" w:eastAsia="Arial" w:hAnsi="Arial"/>
          <w:sz w:val="24"/>
          <w:szCs w:val="24"/>
        </w:rPr>
        <w:t xml:space="preserve">These two fluxes are not mutually exclusive. They operate simultaneously, in shifting proportions, across tissues and across time. The organism's health, its regenerative capacity, and its aging trajectory are all expressions of how this balance is maintained and how it shifts.</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Part II: One Phenomenon, Four Languages</w:t>
      </w:r>
    </w:p>
    <w:p>
      <w:pPr>
        <w:spacing w:after="160"/>
        <w:jc w:val="both"/>
      </w:pPr>
      <w:r>
        <w:rPr>
          <w:rFonts w:ascii="Arial" w:cs="Arial" w:eastAsia="Arial" w:hAnsi="Arial"/>
          <w:sz w:val="24"/>
          <w:szCs w:val="24"/>
        </w:rPr>
        <w:t xml:space="preserve">The following section describes the dual-flux architecture from the perspective of each of four disciplines. The purpose is not to present four separate theories. It is to demonstrate that each discipline is describing the same object — and that the object becomes most visible when all four descriptions are held simultaneously.</w:t>
      </w:r>
    </w:p>
    <w:p>
      <w:pPr>
        <w:pStyle w:val="Heading2"/>
        <w:spacing w:after="160" w:before="300"/>
      </w:pPr>
      <w:r>
        <w:rPr>
          <w:rFonts w:ascii="Arial" w:cs="Arial" w:eastAsia="Arial" w:hAnsi="Arial"/>
          <w:b/>
          <w:bCs/>
          <w:sz w:val="28"/>
          <w:szCs w:val="28"/>
        </w:rPr>
        <w:t xml:space="preserve">2.1 The Language of Physics: Two Regimes of Thermodynamic Dissipation</w:t>
      </w:r>
    </w:p>
    <w:p>
      <w:pPr>
        <w:spacing w:after="160"/>
        <w:jc w:val="both"/>
      </w:pPr>
      <w:r>
        <w:rPr>
          <w:rFonts w:ascii="Arial" w:cs="Arial" w:eastAsia="Arial" w:hAnsi="Arial"/>
          <w:sz w:val="24"/>
          <w:szCs w:val="24"/>
        </w:rPr>
        <w:t xml:space="preserve">Physics describes the organism as an open thermodynamic system far from equilibrium. It maintains its structure by continuously dissipating energy — importing low-entropy substrates and exporting high-entropy waste. This is the framework of non-equilibrium thermodynamics, formalized by Ilya Prigogin in his theory of dissipative structures.</w:t>
      </w:r>
    </w:p>
    <w:p>
      <w:pPr>
        <w:spacing w:after="80"/>
      </w:pPr>
      <w:r>
        <w:t xml:space="preserve"/>
      </w:r>
    </w:p>
    <w:p>
      <w:pPr>
        <w:spacing w:after="160"/>
        <w:jc w:val="both"/>
      </w:pPr>
      <w:r>
        <w:rPr>
          <w:rFonts w:ascii="Arial" w:cs="Arial" w:eastAsia="Arial" w:hAnsi="Arial"/>
          <w:sz w:val="24"/>
          <w:szCs w:val="24"/>
        </w:rPr>
        <w:t xml:space="preserve">Within this framework, the two fluxes correspond to two regimes of thermodynamic dissipation. The oxidative flux is a high-dissipation regime: it produces large amounts of entropy rapidly, generating functional work at the cost of structural degradation. The Basal Glycolytic Regime is a low-dissipation regime: it operates closer to thermodynamic equilibrium, preserving structural order at the cost of reduced power output.</w:t>
      </w:r>
    </w:p>
    <w:p>
      <w:pPr>
        <w:spacing w:after="80"/>
      </w:pPr>
      <w:r>
        <w:t xml:space="preserve"/>
      </w:r>
    </w:p>
    <w:p>
      <w:pPr>
        <w:spacing w:after="160"/>
        <w:jc w:val="both"/>
      </w:pPr>
      <w:r>
        <w:rPr>
          <w:rFonts w:ascii="Arial" w:cs="Arial" w:eastAsia="Arial" w:hAnsi="Arial"/>
          <w:sz w:val="24"/>
          <w:szCs w:val="24"/>
        </w:rPr>
        <w:t xml:space="preserve">The physicist's question is: what determines the stability of each regime, and what governs transitions between them? This is a question about the stability landscape of a non-equilibrium system — about the conditions under which the organism can sustain one regime, shift to another, or lose the capacity to return.</w:t>
      </w:r>
    </w:p>
    <w:p>
      <w:pPr>
        <w:spacing w:after="80"/>
      </w:pPr>
      <w:r>
        <w:t xml:space="preserve"/>
      </w:r>
    </w:p>
    <w:p>
      <w:pPr>
        <w:spacing w:after="160"/>
        <w:jc w:val="both"/>
      </w:pPr>
      <w:r>
        <w:rPr>
          <w:rFonts w:ascii="Arial" w:cs="Arial" w:eastAsia="Arial" w:hAnsi="Arial"/>
          <w:sz w:val="24"/>
          <w:szCs w:val="24"/>
        </w:rPr>
        <w:t xml:space="preserve">Aging, in this language, is a progressive loss of the low-dissipation regime — a system that can no longer efficiently sustain the protective thermodynamic mode and becomes locked in high-dissipation functional expenditure.</w:t>
      </w:r>
    </w:p>
    <w:p>
      <w:pPr>
        <w:pStyle w:val="Heading2"/>
        <w:spacing w:after="160" w:before="300"/>
      </w:pPr>
      <w:r>
        <w:rPr>
          <w:rFonts w:ascii="Arial" w:cs="Arial" w:eastAsia="Arial" w:hAnsi="Arial"/>
          <w:b/>
          <w:bCs/>
          <w:sz w:val="28"/>
          <w:szCs w:val="28"/>
        </w:rPr>
        <w:t xml:space="preserve">2.2 The Language of Chemistry: Substrate Cycles and Redox Architecture</w:t>
      </w:r>
    </w:p>
    <w:p>
      <w:pPr>
        <w:spacing w:after="160"/>
        <w:jc w:val="both"/>
      </w:pPr>
      <w:r>
        <w:rPr>
          <w:rFonts w:ascii="Arial" w:cs="Arial" w:eastAsia="Arial" w:hAnsi="Arial"/>
          <w:sz w:val="24"/>
          <w:szCs w:val="24"/>
        </w:rPr>
        <w:t xml:space="preserve">Chemistry establishes what is physically possible within the organism's energetic architecture. And here, the purely oxidative model is insufficient.</w:t>
      </w:r>
    </w:p>
    <w:p>
      <w:pPr>
        <w:spacing w:after="80"/>
      </w:pPr>
      <w:r>
        <w:t xml:space="preserve"/>
      </w:r>
    </w:p>
    <w:p>
      <w:pPr>
        <w:spacing w:after="160"/>
        <w:jc w:val="both"/>
      </w:pPr>
      <w:r>
        <w:rPr>
          <w:rFonts w:ascii="Arial" w:cs="Arial" w:eastAsia="Arial" w:hAnsi="Arial"/>
          <w:sz w:val="24"/>
          <w:szCs w:val="24"/>
        </w:rPr>
        <w:t xml:space="preserve">The Basal Glycolytic Regime cannot be understood through oxygen consumption alone. Its chemical identity is defined by the redox balance of the cell: the ratio of NAD⁺ to NADH, the availability of lactate as a transport substrate, the operation of glucose-lactate recycling as a distributed buffering network.</w:t>
      </w:r>
    </w:p>
    <w:p>
      <w:pPr>
        <w:spacing w:after="80"/>
      </w:pPr>
      <w:r>
        <w:t xml:space="preserve"/>
      </w:r>
    </w:p>
    <w:p>
      <w:pPr>
        <w:spacing w:after="160"/>
        <w:jc w:val="both"/>
      </w:pPr>
      <w:r>
        <w:rPr>
          <w:rFonts w:ascii="Arial" w:cs="Arial" w:eastAsia="Arial" w:hAnsi="Arial"/>
          <w:sz w:val="24"/>
          <w:szCs w:val="24"/>
        </w:rPr>
        <w:t xml:space="preserve">Classical physiology associated lactate recycling primarily with the Cori cycle between muscle and liver. Modern biochemistry, particularly through the work of George Brooks, has demonstrated that lactate exchange is distributed across muscle, brain, heart, liver, kidney, adipose tissue, and placenta. Lactate is not metabolic waste. It is a transport intermediate, a redox buffer, and a signaling molecule — a component of the organism's distributed energetic infrastructure.</w:t>
      </w:r>
    </w:p>
    <w:p>
      <w:pPr>
        <w:spacing w:after="80"/>
      </w:pPr>
      <w:r>
        <w:t xml:space="preserve"/>
      </w:r>
    </w:p>
    <w:p>
      <w:pPr>
        <w:spacing w:after="160"/>
        <w:jc w:val="both"/>
      </w:pPr>
      <w:r>
        <w:rPr>
          <w:rFonts w:ascii="Arial" w:cs="Arial" w:eastAsia="Arial" w:hAnsi="Arial"/>
          <w:sz w:val="24"/>
          <w:szCs w:val="24"/>
        </w:rPr>
        <w:t xml:space="preserve">The chemist's contribution is to specify the molecular architecture of each regime: which cycles operate, which are suppressed, what the redox state of the system is, and where the chemical boundaries lie between the two modes. The oxygen model gives only partial information. The full picture requires the chemistry of substrate cycling, buffering capacity, and redox regulation.</w:t>
      </w:r>
    </w:p>
    <w:p>
      <w:pPr>
        <w:pStyle w:val="Heading2"/>
        <w:spacing w:after="160" w:before="300"/>
      </w:pPr>
      <w:r>
        <w:rPr>
          <w:rFonts w:ascii="Arial" w:cs="Arial" w:eastAsia="Arial" w:hAnsi="Arial"/>
          <w:b/>
          <w:bCs/>
          <w:sz w:val="28"/>
          <w:szCs w:val="28"/>
        </w:rPr>
        <w:t xml:space="preserve">2.3 The Language of Mathematics: A Dynamical System with Switching Behavior</w:t>
      </w:r>
    </w:p>
    <w:p>
      <w:pPr>
        <w:spacing w:after="160"/>
        <w:jc w:val="both"/>
      </w:pPr>
      <w:r>
        <w:rPr>
          <w:rFonts w:ascii="Arial" w:cs="Arial" w:eastAsia="Arial" w:hAnsi="Arial"/>
          <w:sz w:val="24"/>
          <w:szCs w:val="24"/>
        </w:rPr>
        <w:t xml:space="preserve">Mathematics provides what the other disciplines cannot: formal structure. It transforms intuition into precision and makes predictions testable.</w:t>
      </w:r>
    </w:p>
    <w:p>
      <w:pPr>
        <w:spacing w:after="80"/>
      </w:pPr>
      <w:r>
        <w:t xml:space="preserve"/>
      </w:r>
    </w:p>
    <w:p>
      <w:pPr>
        <w:spacing w:after="160"/>
        <w:jc w:val="both"/>
      </w:pPr>
      <w:r>
        <w:rPr>
          <w:rFonts w:ascii="Arial" w:cs="Arial" w:eastAsia="Arial" w:hAnsi="Arial"/>
          <w:sz w:val="24"/>
          <w:szCs w:val="24"/>
        </w:rPr>
        <w:t xml:space="preserve">The dual-flux organism is, mathematically, a dynamical system with (at least) two stable regimes and a switching mechanism between them. This is the language of bifurcation theory, of phase portraits, of stability analysis. The two fluxes correspond to two attractor states. The aging process corresponds to a progressive deformation of the stability landscape — a shift in the basin of attraction that makes the regenerative-protective regime increasingly inaccessible.</w:t>
      </w:r>
    </w:p>
    <w:p>
      <w:pPr>
        <w:spacing w:after="80"/>
      </w:pPr>
      <w:r>
        <w:t xml:space="preserve"/>
      </w:r>
    </w:p>
    <w:p>
      <w:pPr>
        <w:spacing w:after="160"/>
        <w:jc w:val="both"/>
      </w:pPr>
      <w:r>
        <w:rPr>
          <w:rFonts w:ascii="Arial" w:cs="Arial" w:eastAsia="Arial" w:hAnsi="Arial"/>
          <w:sz w:val="24"/>
          <w:szCs w:val="24"/>
        </w:rPr>
        <w:t xml:space="preserve">The mathematician's task is to formalize the conditions for regime stability, the parameters that govern switching, and the trajectories of system degradation. This requires identifying the key variables — flux ratios, substrate concentrations, mitochondrial quality metrics — and writing equations that describe their coupled dynamics.</w:t>
      </w:r>
    </w:p>
    <w:p>
      <w:pPr>
        <w:spacing w:after="80"/>
      </w:pPr>
      <w:r>
        <w:t xml:space="preserve"/>
      </w:r>
    </w:p>
    <w:p>
      <w:pPr>
        <w:spacing w:after="160"/>
        <w:jc w:val="both"/>
      </w:pPr>
      <w:r>
        <w:rPr>
          <w:rFonts w:ascii="Arial" w:cs="Arial" w:eastAsia="Arial" w:hAnsi="Arial"/>
          <w:sz w:val="24"/>
          <w:szCs w:val="24"/>
        </w:rPr>
        <w:t xml:space="preserve">Without mathematical formalization, the dual-flux model remains a conceptual framework. With it, it becomes a predictive theory. The mathematician is the member of the orchestra who writes the score so that all others can play in time.</w:t>
      </w:r>
    </w:p>
    <w:p>
      <w:pPr>
        <w:pStyle w:val="Heading2"/>
        <w:spacing w:after="160" w:before="300"/>
      </w:pPr>
      <w:r>
        <w:rPr>
          <w:rFonts w:ascii="Arial" w:cs="Arial" w:eastAsia="Arial" w:hAnsi="Arial"/>
          <w:b/>
          <w:bCs/>
          <w:sz w:val="28"/>
          <w:szCs w:val="28"/>
        </w:rPr>
        <w:t xml:space="preserve">2.4 The Language of Biology: Processes in Living Systems</w:t>
      </w:r>
    </w:p>
    <w:p>
      <w:pPr>
        <w:spacing w:after="160"/>
        <w:jc w:val="both"/>
      </w:pPr>
      <w:r>
        <w:rPr>
          <w:rFonts w:ascii="Arial" w:cs="Arial" w:eastAsia="Arial" w:hAnsi="Arial"/>
          <w:sz w:val="24"/>
          <w:szCs w:val="24"/>
        </w:rPr>
        <w:t xml:space="preserve">Biology grounds the abstract in the concrete. It asks: where, in actual tissues and organisms, do these regimes operate? What are the cellular and molecular mechanisms? What does the evidence show?</w:t>
      </w:r>
    </w:p>
    <w:p>
      <w:pPr>
        <w:spacing w:after="80"/>
      </w:pPr>
      <w:r>
        <w:t xml:space="preserve"/>
      </w:r>
    </w:p>
    <w:p>
      <w:pPr>
        <w:spacing w:after="160"/>
        <w:jc w:val="both"/>
      </w:pPr>
      <w:r>
        <w:rPr>
          <w:rFonts w:ascii="Arial" w:cs="Arial" w:eastAsia="Arial" w:hAnsi="Arial"/>
          <w:sz w:val="24"/>
          <w:szCs w:val="24"/>
        </w:rPr>
        <w:t xml:space="preserve">The biological evidence for the dual-flux architecture is substantial. Embryonic tissues and stem-cell compartments preferentially use glycolytic metabolism even in the presence of oxygen — a phenomenon long associated with the Warburg effect in cancer, but increasingly recognized as a conserved feature of undifferentiated and regenerative cells. Stem-cell quiescence, reproductive tissue maintenance, placental energetics, and immune activation states all show signatures of the Basal Glycolytic Regime.</w:t>
      </w:r>
    </w:p>
    <w:p>
      <w:pPr>
        <w:spacing w:after="80"/>
      </w:pPr>
      <w:r>
        <w:t xml:space="preserve"/>
      </w:r>
    </w:p>
    <w:p>
      <w:pPr>
        <w:spacing w:after="160"/>
        <w:jc w:val="both"/>
      </w:pPr>
      <w:r>
        <w:rPr>
          <w:rFonts w:ascii="Arial" w:cs="Arial" w:eastAsia="Arial" w:hAnsi="Arial"/>
          <w:sz w:val="24"/>
          <w:szCs w:val="24"/>
        </w:rPr>
        <w:t xml:space="preserve">Mature differentiated tissues — cardiomyocytes, neurons, skeletal muscle fibers — shift toward oxidative phosphorylation as their primary energetic mode. This shift enables high performance but accompanies the loss of pluripotency and regenerative capacity.</w:t>
      </w:r>
    </w:p>
    <w:p>
      <w:pPr>
        <w:spacing w:after="80"/>
      </w:pPr>
      <w:r>
        <w:t xml:space="preserve"/>
      </w:r>
    </w:p>
    <w:p>
      <w:pPr>
        <w:spacing w:after="160"/>
        <w:jc w:val="both"/>
      </w:pPr>
      <w:r>
        <w:rPr>
          <w:rFonts w:ascii="Arial" w:cs="Arial" w:eastAsia="Arial" w:hAnsi="Arial"/>
          <w:sz w:val="24"/>
          <w:szCs w:val="24"/>
        </w:rPr>
        <w:t xml:space="preserve">The biologist's role is to map the dual-flux architecture onto the actual landscape of the organism: to identify which tissues operate in which regime, under what conditions switching occurs, what molecular signals mediate the transitions, and how the balance shifts across development, disease, and aging.</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Part III: Three Phenomena as a Common Score</w:t>
      </w:r>
    </w:p>
    <w:p>
      <w:pPr>
        <w:spacing w:after="160"/>
        <w:jc w:val="both"/>
      </w:pPr>
      <w:r>
        <w:rPr>
          <w:rFonts w:ascii="Arial" w:cs="Arial" w:eastAsia="Arial" w:hAnsi="Arial"/>
          <w:sz w:val="24"/>
          <w:szCs w:val="24"/>
        </w:rPr>
        <w:t xml:space="preserve">The following three phenomena — sleep, pregnancy, and aging — are traditionally described in separate literatures. The dual-flux framework proposes that they are expressions of the same underlying energetic logic. Each is described here simultaneously in all four languages.</w:t>
      </w:r>
    </w:p>
    <w:p>
      <w:pPr>
        <w:pStyle w:val="Heading2"/>
        <w:spacing w:after="160" w:before="300"/>
      </w:pPr>
      <w:r>
        <w:rPr>
          <w:rFonts w:ascii="Arial" w:cs="Arial" w:eastAsia="Arial" w:hAnsi="Arial"/>
          <w:b/>
          <w:bCs/>
          <w:sz w:val="28"/>
          <w:szCs w:val="28"/>
        </w:rPr>
        <w:t xml:space="preserve">3.1 Sleep: Cyclic Infrastructure Restoration</w:t>
      </w:r>
    </w:p>
    <w:p>
      <w:pPr>
        <w:spacing w:after="80" w:before="200"/>
      </w:pPr>
      <w:r>
        <w:rPr>
          <w:rFonts w:ascii="Arial" w:cs="Arial" w:eastAsia="Arial" w:hAnsi="Arial"/>
          <w:b/>
          <w:bCs/>
          <w:color w:val="2E5FA3"/>
          <w:sz w:val="24"/>
          <w:szCs w:val="24"/>
        </w:rPr>
        <w:t xml:space="preserve">Biology:</w:t>
      </w:r>
    </w:p>
    <w:p>
      <w:pPr>
        <w:spacing w:after="160"/>
        <w:jc w:val="both"/>
      </w:pPr>
      <w:r>
        <w:rPr>
          <w:rFonts w:ascii="Arial" w:cs="Arial" w:eastAsia="Arial" w:hAnsi="Arial"/>
          <w:sz w:val="24"/>
          <w:szCs w:val="24"/>
        </w:rPr>
        <w:t xml:space="preserve">During sleep, functional demand on muscle, sensory, and cognitive systems decreases. Simultaneously, mitochondrial quality control increases, metabolite clearance from the brain accelerates (as demonstrated by Xie et al., 2013 through the glymphatic system), and repair-associated processes become dominant. Sleep is not neural rest alone — it is systemic biological maintenance.</w:t>
      </w:r>
    </w:p>
    <w:p>
      <w:pPr>
        <w:spacing w:after="80" w:before="200"/>
      </w:pPr>
      <w:r>
        <w:rPr>
          <w:rFonts w:ascii="Arial" w:cs="Arial" w:eastAsia="Arial" w:hAnsi="Arial"/>
          <w:b/>
          <w:bCs/>
          <w:color w:val="2E5FA3"/>
          <w:sz w:val="24"/>
          <w:szCs w:val="24"/>
        </w:rPr>
        <w:t xml:space="preserve">Physics:</w:t>
      </w:r>
    </w:p>
    <w:p>
      <w:pPr>
        <w:spacing w:after="160"/>
        <w:jc w:val="both"/>
      </w:pPr>
      <w:r>
        <w:rPr>
          <w:rFonts w:ascii="Arial" w:cs="Arial" w:eastAsia="Arial" w:hAnsi="Arial"/>
          <w:sz w:val="24"/>
          <w:szCs w:val="24"/>
        </w:rPr>
        <w:t xml:space="preserve">Sleep represents a cyclic transition from high-dissipation functional mode toward low-dissipation infrastructure restoration. The organism periodically shifts its thermodynamic regime — reducing entropy production in functional systems while investing in structural repair. Chronic sleep deprivation is, in physical terms, a system forced to operate continuously in high-dissipation mode without restoration of its low-dissipation infrastructure.</w:t>
      </w:r>
    </w:p>
    <w:p>
      <w:pPr>
        <w:spacing w:after="80" w:before="200"/>
      </w:pPr>
      <w:r>
        <w:rPr>
          <w:rFonts w:ascii="Arial" w:cs="Arial" w:eastAsia="Arial" w:hAnsi="Arial"/>
          <w:b/>
          <w:bCs/>
          <w:color w:val="2E5FA3"/>
          <w:sz w:val="24"/>
          <w:szCs w:val="24"/>
        </w:rPr>
        <w:t xml:space="preserve">Chemistry:</w:t>
      </w:r>
    </w:p>
    <w:p>
      <w:pPr>
        <w:spacing w:after="160"/>
        <w:jc w:val="both"/>
      </w:pPr>
      <w:r>
        <w:rPr>
          <w:rFonts w:ascii="Arial" w:cs="Arial" w:eastAsia="Arial" w:hAnsi="Arial"/>
          <w:sz w:val="24"/>
          <w:szCs w:val="24"/>
        </w:rPr>
        <w:t xml:space="preserve">During sleep, the redox balance shifts. Oxidative pressure decreases. Substrate redistribution changes in favor of anabolic processes. The glucose-lactate buffering network operates in a different configuration — supporting repair and biosynthesis rather than high-rate ATP generation.</w:t>
      </w:r>
    </w:p>
    <w:p>
      <w:pPr>
        <w:spacing w:after="80" w:before="200"/>
      </w:pPr>
      <w:r>
        <w:rPr>
          <w:rFonts w:ascii="Arial" w:cs="Arial" w:eastAsia="Arial" w:hAnsi="Arial"/>
          <w:b/>
          <w:bCs/>
          <w:color w:val="2E5FA3"/>
          <w:sz w:val="24"/>
          <w:szCs w:val="24"/>
        </w:rPr>
        <w:t xml:space="preserve">Mathematics:</w:t>
      </w:r>
    </w:p>
    <w:p>
      <w:pPr>
        <w:spacing w:after="160"/>
        <w:jc w:val="both"/>
      </w:pPr>
      <w:r>
        <w:rPr>
          <w:rFonts w:ascii="Arial" w:cs="Arial" w:eastAsia="Arial" w:hAnsi="Arial"/>
          <w:sz w:val="24"/>
          <w:szCs w:val="24"/>
        </w:rPr>
        <w:t xml:space="preserve">Sleep is a forced periodic excursion toward the regenerative attractor state. In a healthy system, this excursion is reliable and sufficient for full restoration. In a degraded system — aging, chronic stress, metabolic disease — the trajectory of the excursion shortens and the restoration becomes incomplete. This manifests as reduced slow-wave sleep, impaired glymphatic clearance, and accumulating systemic dysfunction.</w:t>
      </w:r>
    </w:p>
    <w:p>
      <w:pPr>
        <w:pStyle w:val="Heading2"/>
        <w:spacing w:after="160" w:before="300"/>
      </w:pPr>
      <w:r>
        <w:rPr>
          <w:rFonts w:ascii="Arial" w:cs="Arial" w:eastAsia="Arial" w:hAnsi="Arial"/>
          <w:b/>
          <w:bCs/>
          <w:sz w:val="28"/>
          <w:szCs w:val="28"/>
        </w:rPr>
        <w:t xml:space="preserve">3.2 Pregnancy: Stable Developmental Flux Under Transport Constraints</w:t>
      </w:r>
    </w:p>
    <w:p>
      <w:pPr>
        <w:spacing w:after="80" w:before="200"/>
      </w:pPr>
      <w:r>
        <w:rPr>
          <w:rFonts w:ascii="Arial" w:cs="Arial" w:eastAsia="Arial" w:hAnsi="Arial"/>
          <w:b/>
          <w:bCs/>
          <w:color w:val="2E5FA3"/>
          <w:sz w:val="24"/>
          <w:szCs w:val="24"/>
        </w:rPr>
        <w:t xml:space="preserve">Biology:</w:t>
      </w:r>
    </w:p>
    <w:p>
      <w:pPr>
        <w:spacing w:after="160"/>
        <w:jc w:val="both"/>
      </w:pPr>
      <w:r>
        <w:rPr>
          <w:rFonts w:ascii="Arial" w:cs="Arial" w:eastAsia="Arial" w:hAnsi="Arial"/>
          <w:sz w:val="24"/>
          <w:szCs w:val="24"/>
        </w:rPr>
        <w:t xml:space="preserve">Pregnancy involves sustained anabolic growth — rapid fetal biomass accumulation — while total maternal metabolism increases only moderately. The placenta, fetal tissues, and maternal metabolic adaptations form a long-duration energetic system in which the Basal Glycolytic Regime predominates in the developing organism. Glucose-lactate cycling is the primary energetic infrastructure of the fetal-placental unit.</w:t>
      </w:r>
    </w:p>
    <w:p>
      <w:pPr>
        <w:spacing w:after="80" w:before="200"/>
      </w:pPr>
      <w:r>
        <w:rPr>
          <w:rFonts w:ascii="Arial" w:cs="Arial" w:eastAsia="Arial" w:hAnsi="Arial"/>
          <w:b/>
          <w:bCs/>
          <w:color w:val="2E5FA3"/>
          <w:sz w:val="24"/>
          <w:szCs w:val="24"/>
        </w:rPr>
        <w:t xml:space="preserve">Physics:</w:t>
      </w:r>
    </w:p>
    <w:p>
      <w:pPr>
        <w:spacing w:after="160"/>
        <w:jc w:val="both"/>
      </w:pPr>
      <w:r>
        <w:rPr>
          <w:rFonts w:ascii="Arial" w:cs="Arial" w:eastAsia="Arial" w:hAnsi="Arial"/>
          <w:sz w:val="24"/>
          <w:szCs w:val="24"/>
        </w:rPr>
        <w:t xml:space="preserve">Pregnancy is a sustained low-dissipation developmental flux. The organism maintains a stable thermodynamic trajectory of organized growth over months, under transport constraints, without the high-dissipation functional mode that would produce oxidative damage incompatible with embryonic development.</w:t>
      </w:r>
    </w:p>
    <w:p>
      <w:pPr>
        <w:spacing w:after="80" w:before="200"/>
      </w:pPr>
      <w:r>
        <w:rPr>
          <w:rFonts w:ascii="Arial" w:cs="Arial" w:eastAsia="Arial" w:hAnsi="Arial"/>
          <w:b/>
          <w:bCs/>
          <w:color w:val="2E5FA3"/>
          <w:sz w:val="24"/>
          <w:szCs w:val="24"/>
        </w:rPr>
        <w:t xml:space="preserve">Chemistry:</w:t>
      </w:r>
    </w:p>
    <w:p>
      <w:pPr>
        <w:spacing w:after="160"/>
        <w:jc w:val="both"/>
      </w:pPr>
      <w:r>
        <w:rPr>
          <w:rFonts w:ascii="Arial" w:cs="Arial" w:eastAsia="Arial" w:hAnsi="Arial"/>
          <w:sz w:val="24"/>
          <w:szCs w:val="24"/>
        </w:rPr>
        <w:t xml:space="preserve">The fetal-placental unit depends on glucose-lactate recycling as its distributed energetic substrate. The placenta is not merely a transport membrane — it is an active metabolic organ operating in the Basal Glycolytic Regime, buffering substrate availability and protecting the developing organism from oxidative stress.</w:t>
      </w:r>
    </w:p>
    <w:p>
      <w:pPr>
        <w:spacing w:after="80" w:before="200"/>
      </w:pPr>
      <w:r>
        <w:rPr>
          <w:rFonts w:ascii="Arial" w:cs="Arial" w:eastAsia="Arial" w:hAnsi="Arial"/>
          <w:b/>
          <w:bCs/>
          <w:color w:val="2E5FA3"/>
          <w:sz w:val="24"/>
          <w:szCs w:val="24"/>
        </w:rPr>
        <w:t xml:space="preserve">Mathematics:</w:t>
      </w:r>
    </w:p>
    <w:p>
      <w:pPr>
        <w:spacing w:after="160"/>
        <w:jc w:val="both"/>
      </w:pPr>
      <w:r>
        <w:rPr>
          <w:rFonts w:ascii="Arial" w:cs="Arial" w:eastAsia="Arial" w:hAnsi="Arial"/>
          <w:sz w:val="24"/>
          <w:szCs w:val="24"/>
        </w:rPr>
        <w:t xml:space="preserve">Pregnancy is a prolonged stable trajectory in the regenerative attractor basin. The system must maintain this trajectory continuously for months. Complications of pregnancy — preeclampsia, gestational diabetes, intrauterine growth restriction — can be interpreted as perturbations that push the system toward the high-dissipation attractor, disrupting the stable developmental flux.</w:t>
      </w:r>
    </w:p>
    <w:p>
      <w:pPr>
        <w:pStyle w:val="Heading2"/>
        <w:spacing w:after="160" w:before="300"/>
      </w:pPr>
      <w:r>
        <w:rPr>
          <w:rFonts w:ascii="Arial" w:cs="Arial" w:eastAsia="Arial" w:hAnsi="Arial"/>
          <w:b/>
          <w:bCs/>
          <w:sz w:val="28"/>
          <w:szCs w:val="28"/>
        </w:rPr>
        <w:t xml:space="preserve">3.3 Aging: Progressive Redistribution of Energetic Expenditure</w:t>
      </w:r>
    </w:p>
    <w:p>
      <w:pPr>
        <w:spacing w:after="80" w:before="200"/>
      </w:pPr>
      <w:r>
        <w:rPr>
          <w:rFonts w:ascii="Arial" w:cs="Arial" w:eastAsia="Arial" w:hAnsi="Arial"/>
          <w:b/>
          <w:bCs/>
          <w:color w:val="2E5FA3"/>
          <w:sz w:val="24"/>
          <w:szCs w:val="24"/>
        </w:rPr>
        <w:t xml:space="preserve">Biology:</w:t>
      </w:r>
    </w:p>
    <w:p>
      <w:pPr>
        <w:spacing w:after="160"/>
        <w:jc w:val="both"/>
      </w:pPr>
      <w:r>
        <w:rPr>
          <w:rFonts w:ascii="Arial" w:cs="Arial" w:eastAsia="Arial" w:hAnsi="Arial"/>
          <w:sz w:val="24"/>
          <w:szCs w:val="24"/>
        </w:rPr>
        <w:t xml:space="preserve">Young organisms possess high mitochondrial flexibility, efficient repair, strong Basal Glycolytic Regime reserve, and relatively low maintenance cost. With aging, mitochondrial efficiency declines, repair capacity decreases, infrastructure maintenance cost rises, and energetic allocation progressively shifts toward maintaining mature functional tissues at the expense of regenerative systems. Fertility declines. Wound healing slows. Stem-cell pools shrink.</w:t>
      </w:r>
    </w:p>
    <w:p>
      <w:pPr>
        <w:spacing w:after="80" w:before="200"/>
      </w:pPr>
      <w:r>
        <w:rPr>
          <w:rFonts w:ascii="Arial" w:cs="Arial" w:eastAsia="Arial" w:hAnsi="Arial"/>
          <w:b/>
          <w:bCs/>
          <w:color w:val="2E5FA3"/>
          <w:sz w:val="24"/>
          <w:szCs w:val="24"/>
        </w:rPr>
        <w:t xml:space="preserve">Physics:</w:t>
      </w:r>
    </w:p>
    <w:p>
      <w:pPr>
        <w:spacing w:after="160"/>
        <w:jc w:val="both"/>
      </w:pPr>
      <w:r>
        <w:rPr>
          <w:rFonts w:ascii="Arial" w:cs="Arial" w:eastAsia="Arial" w:hAnsi="Arial"/>
          <w:sz w:val="24"/>
          <w:szCs w:val="24"/>
        </w:rPr>
        <w:t xml:space="preserve">Aging is a progressive loss of the low-dissipation regime. The system becomes thermodynamically locked in high-dissipation functional expenditure, unable to efficiently restore its structural infrastructure. The dissipative structure of the organism becomes increasingly rigid and increasingly expensive to maintain — until maintenance costs exceed the organism's capacity to sustain them.</w:t>
      </w:r>
    </w:p>
    <w:p>
      <w:pPr>
        <w:spacing w:after="80" w:before="200"/>
      </w:pPr>
      <w:r>
        <w:rPr>
          <w:rFonts w:ascii="Arial" w:cs="Arial" w:eastAsia="Arial" w:hAnsi="Arial"/>
          <w:b/>
          <w:bCs/>
          <w:color w:val="2E5FA3"/>
          <w:sz w:val="24"/>
          <w:szCs w:val="24"/>
        </w:rPr>
        <w:t xml:space="preserve">Chemistry:</w:t>
      </w:r>
    </w:p>
    <w:p>
      <w:pPr>
        <w:spacing w:after="160"/>
        <w:jc w:val="both"/>
      </w:pPr>
      <w:r>
        <w:rPr>
          <w:rFonts w:ascii="Arial" w:cs="Arial" w:eastAsia="Arial" w:hAnsi="Arial"/>
          <w:sz w:val="24"/>
          <w:szCs w:val="24"/>
        </w:rPr>
        <w:t xml:space="preserve">With aging, the redox architecture shifts. Mitochondrial membrane potential declines. Reactive oxygen species accumulate. The glucose-lactate buffering network loses efficiency. NAD⁺ levels fall, impairing both oxidative phosphorylation and sirtuin-mediated repair pathways. The chemical substrate of the Basal Glycolytic Regime degrades.</w:t>
      </w:r>
    </w:p>
    <w:p>
      <w:pPr>
        <w:spacing w:after="80" w:before="200"/>
      </w:pPr>
      <w:r>
        <w:rPr>
          <w:rFonts w:ascii="Arial" w:cs="Arial" w:eastAsia="Arial" w:hAnsi="Arial"/>
          <w:b/>
          <w:bCs/>
          <w:color w:val="2E5FA3"/>
          <w:sz w:val="24"/>
          <w:szCs w:val="24"/>
        </w:rPr>
        <w:t xml:space="preserve">Mathematics:</w:t>
      </w:r>
    </w:p>
    <w:p>
      <w:pPr>
        <w:spacing w:after="160"/>
        <w:jc w:val="both"/>
      </w:pPr>
      <w:r>
        <w:rPr>
          <w:rFonts w:ascii="Arial" w:cs="Arial" w:eastAsia="Arial" w:hAnsi="Arial"/>
          <w:sz w:val="24"/>
          <w:szCs w:val="24"/>
        </w:rPr>
        <w:t xml:space="preserve">Aging is a slow deformation of the system's stability landscape. The regenerative attractor basin shrinks. The high-dissipation attractor expands and deepens. The switching cost — the energetic investment required to access the regenerative regime — increases progressively until the system can no longer achieve full restoration. This is a mathematical description of biological irreversibility.</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Part IV: The Medical Point of Assembly</w:t>
      </w:r>
    </w:p>
    <w:p>
      <w:pPr>
        <w:spacing w:after="160"/>
        <w:jc w:val="both"/>
      </w:pPr>
      <w:r>
        <w:rPr>
          <w:rFonts w:ascii="Arial" w:cs="Arial" w:eastAsia="Arial" w:hAnsi="Arial"/>
          <w:sz w:val="24"/>
          <w:szCs w:val="24"/>
        </w:rPr>
        <w:t xml:space="preserve">The physician is the final member of the orchestra. But currently, the physician receives only fragments: a biomarker, a symptom, a pathway. The common language proposed here offers something different — a systemic framework for understanding what the organism is doing and what intervention actually means.</w:t>
      </w:r>
    </w:p>
    <w:p>
      <w:pPr>
        <w:spacing w:after="80"/>
      </w:pPr>
      <w:r>
        <w:t xml:space="preserve"/>
      </w:r>
    </w:p>
    <w:p>
      <w:pPr>
        <w:spacing w:after="160"/>
        <w:jc w:val="both"/>
      </w:pPr>
      <w:r>
        <w:rPr>
          <w:rFonts w:ascii="Arial" w:cs="Arial" w:eastAsia="Arial" w:hAnsi="Arial"/>
          <w:sz w:val="24"/>
          <w:szCs w:val="24"/>
        </w:rPr>
        <w:t xml:space="preserve">Within the dual-flux framework, a physician treating metabolic disease is not merely correcting a glucose level — they are influencing the balance between two energetic regimes, with consequences for regenerative capacity, oxidative stress, and long-term infrastructure integrity. A physician treating a patient with chronic fatigue, impaired sleep, or accelerated aging is working with a system whose stability landscape has been deformed — whose capacity to access the regenerative-protective regime has been compromised.</w:t>
      </w:r>
    </w:p>
    <w:p>
      <w:pPr>
        <w:spacing w:after="80"/>
      </w:pPr>
      <w:r>
        <w:t xml:space="preserve"/>
      </w:r>
    </w:p>
    <w:p>
      <w:pPr>
        <w:spacing w:after="160"/>
        <w:jc w:val="both"/>
      </w:pPr>
      <w:r>
        <w:rPr>
          <w:rFonts w:ascii="Arial" w:cs="Arial" w:eastAsia="Arial" w:hAnsi="Arial"/>
          <w:sz w:val="24"/>
          <w:szCs w:val="24"/>
        </w:rPr>
        <w:t xml:space="preserve">The clinical questions that become visible through this framework include:</w:t>
      </w:r>
    </w:p>
    <w:p>
      <w:pPr>
        <w:spacing w:after="80"/>
      </w:pPr>
      <w:r>
        <w:t xml:space="preserve"/>
      </w:r>
    </w:p>
    <w:p>
      <w:pPr>
        <w:pStyle w:val="ListParagraph"/>
        <w:numPr>
          <w:ilvl w:val="0"/>
          <w:numId w:val="2"/>
        </w:numPr>
        <w:spacing w:after="120"/>
        <w:jc w:val="both"/>
      </w:pPr>
      <w:r>
        <w:rPr>
          <w:rFonts w:ascii="Arial" w:cs="Arial" w:eastAsia="Arial" w:hAnsi="Arial"/>
          <w:sz w:val="24"/>
          <w:szCs w:val="24"/>
        </w:rPr>
        <w:t xml:space="preserve">What is the current regime balance in this patient's energetic architecture?</w:t>
      </w:r>
    </w:p>
    <w:p>
      <w:pPr>
        <w:pStyle w:val="ListParagraph"/>
        <w:numPr>
          <w:ilvl w:val="0"/>
          <w:numId w:val="2"/>
        </w:numPr>
        <w:spacing w:after="120"/>
        <w:jc w:val="both"/>
      </w:pPr>
      <w:r>
        <w:rPr>
          <w:rFonts w:ascii="Arial" w:cs="Arial" w:eastAsia="Arial" w:hAnsi="Arial"/>
          <w:sz w:val="24"/>
          <w:szCs w:val="24"/>
        </w:rPr>
        <w:t xml:space="preserve">What interventions shift the balance toward the regenerative-protective regime — and for how long?</w:t>
      </w:r>
    </w:p>
    <w:p>
      <w:pPr>
        <w:pStyle w:val="ListParagraph"/>
        <w:numPr>
          <w:ilvl w:val="0"/>
          <w:numId w:val="2"/>
        </w:numPr>
        <w:spacing w:after="120"/>
        <w:jc w:val="both"/>
      </w:pPr>
      <w:r>
        <w:rPr>
          <w:rFonts w:ascii="Arial" w:cs="Arial" w:eastAsia="Arial" w:hAnsi="Arial"/>
          <w:sz w:val="24"/>
          <w:szCs w:val="24"/>
        </w:rPr>
        <w:t xml:space="preserve">Is the patient's pathology a consequence of chronic high-dissipation expenditure, or of failure to switch back to the low-dissipation regime?</w:t>
      </w:r>
    </w:p>
    <w:p>
      <w:pPr>
        <w:pStyle w:val="ListParagraph"/>
        <w:numPr>
          <w:ilvl w:val="0"/>
          <w:numId w:val="2"/>
        </w:numPr>
        <w:spacing w:after="120"/>
        <w:jc w:val="both"/>
      </w:pPr>
      <w:r>
        <w:rPr>
          <w:rFonts w:ascii="Arial" w:cs="Arial" w:eastAsia="Arial" w:hAnsi="Arial"/>
          <w:sz w:val="24"/>
          <w:szCs w:val="24"/>
        </w:rPr>
        <w:t xml:space="preserve">What are the critical chemical, physical, and biological parameters that need to be measured to assess regime status?</w:t>
      </w:r>
    </w:p>
    <w:p>
      <w:pPr>
        <w:spacing w:after="80"/>
      </w:pPr>
      <w:r>
        <w:t xml:space="preserve"/>
      </w:r>
    </w:p>
    <w:p>
      <w:pPr>
        <w:spacing w:after="160"/>
        <w:jc w:val="both"/>
      </w:pPr>
      <w:r>
        <w:rPr>
          <w:rFonts w:ascii="Arial" w:cs="Arial" w:eastAsia="Arial" w:hAnsi="Arial"/>
          <w:sz w:val="24"/>
          <w:szCs w:val="24"/>
        </w:rPr>
        <w:t xml:space="preserve">These are questions that no single discipline can answer alone. They require the physicist's thermodynamic framework, the chemist's substrate analysis, the mathematician's stability model, and the biologist's mechanistic understanding — assembled into a coherent clinical instrument.</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Part V: An Invitation</w:t>
      </w:r>
    </w:p>
    <w:p>
      <w:pPr>
        <w:spacing w:after="160"/>
        <w:jc w:val="both"/>
      </w:pPr>
      <w:r>
        <w:rPr>
          <w:rFonts w:ascii="Arial" w:cs="Arial" w:eastAsia="Arial" w:hAnsi="Arial"/>
          <w:sz w:val="24"/>
          <w:szCs w:val="24"/>
        </w:rPr>
        <w:t xml:space="preserve">This essay does not propose a completed theory. It proposes a starting point for a common language.</w:t>
      </w:r>
    </w:p>
    <w:p>
      <w:pPr>
        <w:spacing w:after="80"/>
      </w:pPr>
      <w:r>
        <w:t xml:space="preserve"/>
      </w:r>
    </w:p>
    <w:p>
      <w:pPr>
        <w:spacing w:after="160"/>
        <w:jc w:val="both"/>
      </w:pPr>
      <w:r>
        <w:rPr>
          <w:rFonts w:ascii="Arial" w:cs="Arial" w:eastAsia="Arial" w:hAnsi="Arial"/>
          <w:sz w:val="24"/>
          <w:szCs w:val="24"/>
        </w:rPr>
        <w:t xml:space="preserve">The dual-flux framework — two regimes of energetic operation, a distributed glucose-lactate buffering network, a stability landscape that deforms over the lifespan — is a scaffold, not a finished structure. Its value lies not in what it proves but in the questions it makes possible.</w:t>
      </w:r>
    </w:p>
    <w:p>
      <w:pPr>
        <w:spacing w:after="80"/>
      </w:pPr>
      <w:r>
        <w:t xml:space="preserve"/>
      </w:r>
    </w:p>
    <w:p>
      <w:pPr>
        <w:spacing w:after="160"/>
        <w:jc w:val="both"/>
      </w:pPr>
      <w:r>
        <w:rPr>
          <w:rFonts w:ascii="Arial" w:cs="Arial" w:eastAsia="Arial" w:hAnsi="Arial"/>
          <w:sz w:val="24"/>
          <w:szCs w:val="24"/>
        </w:rPr>
        <w:t xml:space="preserve">To the physicist: the organism is a dissipative structure with two regime attractors. What are the thermodynamic conditions for their stability? What are the signatures of irreversible regime loss?</w:t>
      </w:r>
    </w:p>
    <w:p>
      <w:pPr>
        <w:spacing w:after="80"/>
      </w:pPr>
      <w:r>
        <w:t xml:space="preserve"/>
      </w:r>
    </w:p>
    <w:p>
      <w:pPr>
        <w:spacing w:after="160"/>
        <w:jc w:val="both"/>
      </w:pPr>
      <w:r>
        <w:rPr>
          <w:rFonts w:ascii="Arial" w:cs="Arial" w:eastAsia="Arial" w:hAnsi="Arial"/>
          <w:sz w:val="24"/>
          <w:szCs w:val="24"/>
        </w:rPr>
        <w:t xml:space="preserve">To the chemist: the oxygen model is insufficient. What is the full redox architecture of the Basal Glycolytic Regime? Where are its chemical boundaries? What are the molecular markers of regime transition?</w:t>
      </w:r>
    </w:p>
    <w:p>
      <w:pPr>
        <w:spacing w:after="80"/>
      </w:pPr>
      <w:r>
        <w:t xml:space="preserve"/>
      </w:r>
    </w:p>
    <w:p>
      <w:pPr>
        <w:spacing w:after="160"/>
        <w:jc w:val="both"/>
      </w:pPr>
      <w:r>
        <w:rPr>
          <w:rFonts w:ascii="Arial" w:cs="Arial" w:eastAsia="Arial" w:hAnsi="Arial"/>
          <w:sz w:val="24"/>
          <w:szCs w:val="24"/>
        </w:rPr>
        <w:t xml:space="preserve">To the mathematician: here is a dynamical system with a switching mechanism and a deforming stability landscape. Write the equations. Identify the critical parameters. Make predictions that can be tested.</w:t>
      </w:r>
    </w:p>
    <w:p>
      <w:pPr>
        <w:spacing w:after="80"/>
      </w:pPr>
      <w:r>
        <w:t xml:space="preserve"/>
      </w:r>
    </w:p>
    <w:p>
      <w:pPr>
        <w:spacing w:after="160"/>
        <w:jc w:val="both"/>
      </w:pPr>
      <w:r>
        <w:rPr>
          <w:rFonts w:ascii="Arial" w:cs="Arial" w:eastAsia="Arial" w:hAnsi="Arial"/>
          <w:sz w:val="24"/>
          <w:szCs w:val="24"/>
        </w:rPr>
        <w:t xml:space="preserve">To the biologist: map the dual-flux architecture onto living tissues. Identify the molecular mechanisms of regime switching. Establish which interventions shift the balance and under what conditions.</w:t>
      </w:r>
    </w:p>
    <w:p>
      <w:pPr>
        <w:spacing w:after="80"/>
      </w:pPr>
      <w:r>
        <w:t xml:space="preserve"/>
      </w:r>
    </w:p>
    <w:p>
      <w:pPr>
        <w:spacing w:after="160"/>
        <w:jc w:val="both"/>
      </w:pPr>
      <w:r>
        <w:rPr>
          <w:rFonts w:ascii="Arial" w:cs="Arial" w:eastAsia="Arial" w:hAnsi="Arial"/>
          <w:sz w:val="24"/>
          <w:szCs w:val="24"/>
        </w:rPr>
        <w:t xml:space="preserve">And to the physician: you are not adjusting isolated variables. You are influencing the energetic architecture of a living system. The more precisely you understand that architecture — in physical, chemical, mathematical, and biological terms — the more precisely you can act.</w:t>
      </w:r>
    </w:p>
    <w:p>
      <w:pPr>
        <w:spacing w:after="80"/>
      </w:pPr>
      <w:r>
        <w:t xml:space="preserve"/>
      </w:r>
    </w:p>
    <w:p>
      <w:pPr>
        <w:spacing w:after="160"/>
        <w:jc w:val="both"/>
      </w:pPr>
      <w:r>
        <w:rPr>
          <w:rFonts w:ascii="Arial" w:cs="Arial" w:eastAsia="Arial" w:hAnsi="Arial"/>
          <w:sz w:val="24"/>
          <w:szCs w:val="24"/>
        </w:rPr>
        <w:t xml:space="preserve">This is not a call for interdisciplinary collaboration as a bureaucratic program. It is a recognition that the organism is one thing, described incompletely by each discipline working alone. The common language already exists in fragments. This essay is an attempt to hear all the instruments playing at once — and to begin writing the score.</w:t>
      </w:r>
    </w:p>
    <w:p>
      <w:pPr>
        <w:pBdr>
          <w:bottom w:val="single" w:color="AAAAAA" w:sz="6" w:space="1"/>
        </w:pBdr>
        <w:spacing w:after="200" w:before="200"/>
      </w:pPr>
      <w:r>
        <w:t xml:space="preserve"/>
      </w:r>
    </w:p>
    <w:p>
      <w:pPr>
        <w:pStyle w:val="Heading1"/>
        <w:spacing w:after="200" w:before="400"/>
      </w:pPr>
      <w:r>
        <w:rPr>
          <w:rFonts w:ascii="Arial" w:cs="Arial" w:eastAsia="Arial" w:hAnsi="Arial"/>
          <w:b/>
          <w:bCs/>
          <w:sz w:val="32"/>
          <w:szCs w:val="32"/>
        </w:rPr>
        <w:t xml:space="preserve">References</w:t>
      </w:r>
    </w:p>
    <w:p>
      <w:pPr>
        <w:spacing w:after="160"/>
        <w:jc w:val="both"/>
      </w:pPr>
      <w:r>
        <w:rPr>
          <w:rFonts w:ascii="Arial" w:cs="Arial" w:eastAsia="Arial" w:hAnsi="Arial"/>
          <w:sz w:val="24"/>
          <w:szCs w:val="24"/>
        </w:rPr>
        <w:t xml:space="preserve">1. Warburg O. On the origin of cancer cells. Science. 1956.</w:t>
      </w:r>
    </w:p>
    <w:p>
      <w:pPr>
        <w:spacing w:after="160"/>
        <w:jc w:val="both"/>
      </w:pPr>
      <w:r>
        <w:rPr>
          <w:rFonts w:ascii="Arial" w:cs="Arial" w:eastAsia="Arial" w:hAnsi="Arial"/>
          <w:sz w:val="24"/>
          <w:szCs w:val="24"/>
        </w:rPr>
        <w:t xml:space="preserve">2. Harman D. Aging: a theory based on free radical and radiation chemistry. Journal of Gerontology. 1956.</w:t>
      </w:r>
    </w:p>
    <w:p>
      <w:pPr>
        <w:spacing w:after="160"/>
        <w:jc w:val="both"/>
      </w:pPr>
      <w:r>
        <w:rPr>
          <w:rFonts w:ascii="Arial" w:cs="Arial" w:eastAsia="Arial" w:hAnsi="Arial"/>
          <w:sz w:val="24"/>
          <w:szCs w:val="24"/>
        </w:rPr>
        <w:t xml:space="preserve">3. Brooks G. A. The science and translation of lactate shuttle theory. Cell Metabolism. 2018.</w:t>
      </w:r>
    </w:p>
    <w:p>
      <w:pPr>
        <w:spacing w:after="160"/>
        <w:jc w:val="both"/>
      </w:pPr>
      <w:r>
        <w:rPr>
          <w:rFonts w:ascii="Arial" w:cs="Arial" w:eastAsia="Arial" w:hAnsi="Arial"/>
          <w:sz w:val="24"/>
          <w:szCs w:val="24"/>
        </w:rPr>
        <w:t xml:space="preserve">4. Hay W. W. Placental-fetal glucose exchange and fetal glucose metabolism. Transactions of the American Clinical and Climatological Association. 2006.</w:t>
      </w:r>
    </w:p>
    <w:p>
      <w:pPr>
        <w:spacing w:after="160"/>
        <w:jc w:val="both"/>
      </w:pPr>
      <w:r>
        <w:rPr>
          <w:rFonts w:ascii="Arial" w:cs="Arial" w:eastAsia="Arial" w:hAnsi="Arial"/>
          <w:sz w:val="24"/>
          <w:szCs w:val="24"/>
        </w:rPr>
        <w:t xml:space="preserve">5. Speakman J. R., Krol E. Maximal sustained energy budgets in humans and animals. Nature Communications. 2010.</w:t>
      </w:r>
    </w:p>
    <w:p>
      <w:pPr>
        <w:spacing w:after="160"/>
        <w:jc w:val="both"/>
      </w:pPr>
      <w:r>
        <w:rPr>
          <w:rFonts w:ascii="Arial" w:cs="Arial" w:eastAsia="Arial" w:hAnsi="Arial"/>
          <w:sz w:val="24"/>
          <w:szCs w:val="24"/>
        </w:rPr>
        <w:t xml:space="preserve">6. Pontzer H. Constrained Total Energy Expenditure and the Evolutionary Biology of Energy Balance. Exercise and Sport Sciences Reviews. 2016.</w:t>
      </w:r>
    </w:p>
    <w:p>
      <w:pPr>
        <w:spacing w:after="160"/>
        <w:jc w:val="both"/>
      </w:pPr>
      <w:r>
        <w:rPr>
          <w:rFonts w:ascii="Arial" w:cs="Arial" w:eastAsia="Arial" w:hAnsi="Arial"/>
          <w:sz w:val="24"/>
          <w:szCs w:val="24"/>
        </w:rPr>
        <w:t xml:space="preserve">7. Lane N. Power, Sex, Suicide: Mitochondria and the Meaning of Life. Oxford University Press.</w:t>
      </w:r>
    </w:p>
    <w:p>
      <w:pPr>
        <w:spacing w:after="160"/>
        <w:jc w:val="both"/>
      </w:pPr>
      <w:r>
        <w:rPr>
          <w:rFonts w:ascii="Arial" w:cs="Arial" w:eastAsia="Arial" w:hAnsi="Arial"/>
          <w:sz w:val="24"/>
          <w:szCs w:val="24"/>
        </w:rPr>
        <w:t xml:space="preserve">8. Picard M., McEwen B. S. Psychological stress and mitochondria: a conceptual framework. Psychosomatic Medicine. 2018.</w:t>
      </w:r>
    </w:p>
    <w:p>
      <w:pPr>
        <w:spacing w:after="160"/>
        <w:jc w:val="both"/>
      </w:pPr>
      <w:r>
        <w:rPr>
          <w:rFonts w:ascii="Arial" w:cs="Arial" w:eastAsia="Arial" w:hAnsi="Arial"/>
          <w:sz w:val="24"/>
          <w:szCs w:val="24"/>
        </w:rPr>
        <w:t xml:space="preserve">9. Xie L. et al. Sleep drives metabolite clearance from the adult brain. Science. 2013.</w:t>
      </w:r>
    </w:p>
    <w:p>
      <w:pPr>
        <w:spacing w:after="160"/>
        <w:jc w:val="both"/>
      </w:pPr>
      <w:r>
        <w:rPr>
          <w:rFonts w:ascii="Arial" w:cs="Arial" w:eastAsia="Arial" w:hAnsi="Arial"/>
          <w:sz w:val="24"/>
          <w:szCs w:val="24"/>
        </w:rPr>
        <w:t xml:space="preserve">10. Lopez-Otin C. et al. The hallmarks of aging. Cell. 2013.</w:t>
      </w:r>
    </w:p>
    <w:p>
      <w:pPr>
        <w:spacing w:after="160"/>
        <w:jc w:val="both"/>
      </w:pPr>
      <w:r>
        <w:rPr>
          <w:rFonts w:ascii="Arial" w:cs="Arial" w:eastAsia="Arial" w:hAnsi="Arial"/>
          <w:sz w:val="24"/>
          <w:szCs w:val="24"/>
        </w:rPr>
        <w:t xml:space="preserve">11. Prigogine I., Stengers I. Order Out of Chaos. Bantam Books. 1984.</w:t>
      </w:r>
    </w:p>
    <w:p>
      <w:pPr>
        <w:spacing w:after="160"/>
        <w:jc w:val="both"/>
      </w:pPr>
      <w:r>
        <w:rPr>
          <w:rFonts w:ascii="Arial" w:cs="Arial" w:eastAsia="Arial" w:hAnsi="Arial"/>
          <w:sz w:val="24"/>
          <w:szCs w:val="24"/>
        </w:rPr>
        <w:t xml:space="preserve">12. Folmes C. D. et al. Somatic oxidative bioenergetics transitions into pluripotency-dependent glycolysis to facilitate nuclear reprogramming. Cell Metabolism. 2011.</w:t>
      </w:r>
    </w:p>
    <w:p>
      <w:pPr>
        <w:spacing w:after="160"/>
        <w:jc w:val="both"/>
      </w:pPr>
      <w:r>
        <w:rPr>
          <w:rFonts w:ascii="Arial" w:cs="Arial" w:eastAsia="Arial" w:hAnsi="Arial"/>
          <w:sz w:val="24"/>
          <w:szCs w:val="24"/>
        </w:rPr>
        <w:t xml:space="preserve">13. Vander Heiden M. G., Cantley L. C., Thompson C. B. Understanding the Warburg Effect: The Metabolic Requirements of Cell Proliferation. Science. 2009.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2026-05-10T14:51:55.055Z</dcterms:created>
  <dcterms:modified xsi:type="dcterms:W3CDTF">2026-05-10T14:51:55.077Z</dcterms:modified>
</cp:coreProperties>
</file>

<file path=docProps/custom.xml><?xml version="1.0" encoding="utf-8"?>
<Properties xmlns="http://schemas.openxmlformats.org/officeDocument/2006/custom-properties" xmlns:vt="http://schemas.openxmlformats.org/officeDocument/2006/docPropsVTypes"/>
</file>