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2E"/>
          <w:sz w:val="42"/>
          <w:szCs w:val="42"/>
        </w:rPr>
        <w:t xml:space="preserve">The Energy Matrix of Tissue:</w:t>
      </w:r>
    </w:p>
    <w:p>
      <w:pPr>
        <w:spacing w:after="8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4057"/>
          <w:sz w:val="28"/>
          <w:szCs w:val="28"/>
        </w:rPr>
        <w:t xml:space="preserve">Basal Metabolism, Regeneration Pendulum, and Mitotic Index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bottom w:val="single" w:color="AAAAAA" w:sz="4" w:space="1"/>
        </w:pBdr>
        <w:spacing w:after="180" w:before="180" w:line="276"/>
      </w:pPr>
      <w:r>
        <w:t xml:space="preserve"/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2E"/>
          <w:sz w:val="24"/>
          <w:szCs w:val="24"/>
        </w:rPr>
        <w:t xml:space="preserve">Abstract</w:t>
      </w:r>
    </w:p>
    <w:p>
      <w:pPr>
        <w:spacing w:after="60" w:before="60" w:line="264"/>
        <w:ind w:left="720" w:righ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22"/>
          <w:szCs w:val="22"/>
        </w:rPr>
        <w:t xml:space="preserve">This work presents a systems-level model of tissue as an energy matrix, in which tissue turnover is governed by the interaction of three components: basal metabolic energy consumption, an oscillatory regeneration process, and the mitotic index as a quantitative measure of proliferation.</w:t>
      </w:r>
    </w:p>
    <w:p>
      <w:pPr>
        <w:spacing w:after="60" w:before="60" w:line="264"/>
        <w:ind w:left="720" w:righ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22"/>
          <w:szCs w:val="22"/>
        </w:rPr>
        <w:t xml:space="preserve">We introduce the concept of the regeneration pendulum as a universal dynamic mechanism operating both in steady-state tissue and during injury — an oscillatory process consistent with ultradian metabolic rhythms documented across cell types and organs [1–3]. We show that continuous cellular renewal and post-injury regeneration represent the same underlying process, differing only in amplitude.</w:t>
      </w:r>
    </w:p>
    <w:p>
      <w:pPr>
        <w:spacing w:after="60" w:before="60" w:line="264"/>
        <w:ind w:left="720" w:righ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22"/>
          <w:szCs w:val="22"/>
        </w:rPr>
        <w:t xml:space="preserve">A direct relationship between tissue energy consumption and the mitotic index is established, leading to an explicit energetic constraint on proliferative capacity derived from Hagen–Poiseuille flow scaling [4–6]. The model provides experimentally testable predictions based on non-invasive perfusion measurements and is consistent with published correlations between perfusion metrics and the Ki-67 proliferation index across multiple tissue types [7–9].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bottom w:val="single" w:color="AAAAAA" w:sz="4" w:space="1"/>
        </w:pBdr>
        <w:spacing w:after="180" w:before="180" w:line="276"/>
      </w:pPr>
      <w:r>
        <w:t xml:space="preserve"/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4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2E"/>
          <w:sz w:val="30"/>
          <w:szCs w:val="30"/>
        </w:rPr>
        <w:t xml:space="preserve">1. Introduction — Tissue as an Energy Matrix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Living tissue is a dynamic system in which structural maintenance, cellular renewal, and post-injury repair occur simultaneously. These processes are traditionally treated as distinct, but from an energetic perspective they form a unified system.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 introduce the following organizing principle: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thick" w:color="2E4057" w:sz="14" w:space="12"/>
        </w:pBdr>
        <w:spacing w:after="120" w:before="120" w:line="276"/>
        <w:ind w:left="720" w:righ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4057"/>
          <w:sz w:val="24"/>
          <w:szCs w:val="24"/>
        </w:rPr>
        <w:t xml:space="preserve">The tissue matrix is a system in which basal metabolism and regeneration are unified through a common energy flux.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perspective shifts the focus from regulatory signaling pathways toward energetic constraints as the primary organizing principle of tissue dynamics. The model links three measurable quantities — blood flow, cell number, and mitotic index — through a single energy balance equation, making it directly testable with existing clinical imaging technology.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4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2E"/>
          <w:sz w:val="30"/>
          <w:szCs w:val="30"/>
        </w:rPr>
        <w:t xml:space="preserve">2. Basal Energy Consumption of Tissue</w:t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2.1 Definition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Basal energy consumption E₀ represents the minimal power required to sustain tissue viability: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Maintenance of cell membrane integrity and cytoskeletal tension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Ion transport — primarily Na⁺/K⁺-ATPase, estimated to consume 25–40% of cellular ATP [14]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Basal protein synthesis and turnover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Preservation of tissue architecture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2.2 Steady-State Balance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 steady-state tissue with cell number N₀ and basal energetic cost per cell q₀:</w:t>
      </w:r>
    </w:p>
    <w:p>
      <w:pPr>
        <w:spacing w:after="140" w:before="140" w:line="276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111111"/>
          <w:sz w:val="23"/>
          <w:szCs w:val="23"/>
        </w:rPr>
        <w:t xml:space="preserve">E₀ ≈ q₀ · N₀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parameter q₀ is tissue-specific and can be estimated from oxygen consumption measurements [14–16].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2.3 Physical Meaning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E₀ defines the energetic baseline of the tissue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It sets the lower bound of viable tissue mass under normal conditions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It consumes energy that is unavailable for proliferation or repair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4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2E"/>
          <w:sz w:val="30"/>
          <w:szCs w:val="30"/>
        </w:rPr>
        <w:t xml:space="preserve">3. The Regeneration Pendulum</w:t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3.1 Definition and Mechanism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Superimposed on the basal level is an oscillatory process Nᵣ(t) ⇔ Eᵣ(t), following the cycle:</w:t>
      </w:r>
    </w:p>
    <w:p>
      <w:pPr>
        <w:spacing w:after="140" w:before="140" w:line="276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111111"/>
          <w:sz w:val="23"/>
          <w:szCs w:val="23"/>
        </w:rPr>
        <w:t xml:space="preserve">growth → energy deficit → partial cell loss → remodeling → ↑E flux → growth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3.2 Experimental Basis: Ultradian Rhythms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oscillatory character of tissue dynamics is not an artifact of the model. Ultradian metabolic rhythms have been documented at every level of biological organization [1–3]: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Intracellular: oscillations in ATP concentration, cytoplasmic pH, and enzyme activity [1]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Cellular: glycolytic oscillations, ERK and AKT signaling pulses in epithelial cells [2,3]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Tissue: ultradian rhythms in gene expression and calcium signaling [3]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Critically, these rhythms persist when the circadian clock is disrupted, confirming that they are driven by independent metabolic oscillators [2,3]. The regeneration pendulum is the tissue-level expression of this universal dynamic.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3.3 Amplitude as a Control Parameter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Let A denote oscillation amplitude.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3"/>
        <w:spacing w:after="60" w:before="16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D6B8F"/>
          <w:sz w:val="24"/>
          <w:szCs w:val="24"/>
        </w:rPr>
        <w:t xml:space="preserve">Steady-State Tissue  (A ≈ A₀)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Low-amplitude oscillations maintaining continuous cellular turnover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Mitotic index: ~0.5–2% in intestinal epithelium; &lt; 0.1% in cardiac muscle [19]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3"/>
        <w:spacing w:after="60" w:before="16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3D6B8F"/>
          <w:sz w:val="24"/>
          <w:szCs w:val="24"/>
        </w:rPr>
        <w:t xml:space="preserve">Post-Injury Regeneration  (A ≫ A₀)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Amplitude amplification driven by injury signals (VEGF, PDGF) [21,22]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Active repair with elevated mitotic index and increased perfusion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3.4 Total Energy</w:t>
      </w:r>
    </w:p>
    <w:p>
      <w:pPr>
        <w:spacing w:after="140" w:before="140" w:line="276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111111"/>
          <w:sz w:val="23"/>
          <w:szCs w:val="23"/>
        </w:rPr>
        <w:t xml:space="preserve">E(t) = E₀ + Eᵣ(t)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4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2E"/>
          <w:sz w:val="30"/>
          <w:szCs w:val="30"/>
        </w:rPr>
        <w:t xml:space="preserve">4. Energetic Constraint of Tissue</w:t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4.1 Vascular Basis: Hagen–Poiseuille Scaling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Blood flow in a vessel of radius R is described by the Hagen–Poiseuille equation [4]:</w:t>
      </w:r>
    </w:p>
    <w:p>
      <w:pPr>
        <w:spacing w:after="140" w:before="140" w:line="276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111111"/>
          <w:sz w:val="23"/>
          <w:szCs w:val="23"/>
        </w:rPr>
        <w:t xml:space="preserve">Q = (π R⁴ ΔP) / (8ηL)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where Q is volumetric flow rate, ΔP is the pressure gradient, η is blood viscosity, and L is vessel length. The R⁴ dependence creates an extremely sensitive geometric constraint: a 10% reduction in vessel radius reduces flow by ~34%.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Since energy flux is proportional to flow under approximately constant oxygen extraction, the maximal energy supply to a tissue compartment is bounded by:</w:t>
      </w:r>
    </w:p>
    <w:p>
      <w:pPr>
        <w:spacing w:after="140" w:before="140" w:line="276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111111"/>
          <w:sz w:val="23"/>
          <w:szCs w:val="23"/>
        </w:rPr>
        <w:t xml:space="preserve">E(t) ≤ Eᵏᵢₘ = λ R⁴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where λ = πΔP / 8ηL absorbs fixed physiological parameters. This represents a hard geometric constraint imposed by vascular anatomy [4–6,23,24].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4.2 Free Energy — Regenerative Reserve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energy available for proliferation above basal requirements:</w:t>
      </w:r>
    </w:p>
    <w:p>
      <w:pPr>
        <w:spacing w:after="140" w:before="140" w:line="276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111111"/>
          <w:sz w:val="23"/>
          <w:szCs w:val="23"/>
        </w:rPr>
        <w:t xml:space="preserve">Eḟᵣᵉᵉ = Eᵏᵢₘ − E₀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thick" w:color="2E4057" w:sz="14" w:space="12"/>
        </w:pBdr>
        <w:spacing w:after="120" w:before="120" w:line="276"/>
        <w:ind w:left="720" w:righ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4057"/>
          <w:sz w:val="24"/>
          <w:szCs w:val="24"/>
        </w:rPr>
        <w:t xml:space="preserve">E_free is the central quantity of the model: it defines the maximum regenerative capacity of the tissue. Tissues operating near their energetic ceiling cannot mount an effective proliferative response regardless of cellular signaling.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accounts for a well-known clinical observation: ischemic or fibrotic tissues with compromised vascular supply show regenerative failure disproportionate to cell loss alone, because R is reduced and therefore Eᵏᵢₘ — and hence E_free — is diminished.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4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2E"/>
          <w:sz w:val="30"/>
          <w:szCs w:val="30"/>
        </w:rPr>
        <w:t xml:space="preserve">5. Mitotic Index as a Quantitative Parameter</w:t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5.1 Definition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mitotic index MI(t) is the fraction of cells actively dividing at time t:</w:t>
      </w:r>
    </w:p>
    <w:p>
      <w:pPr>
        <w:spacing w:after="140" w:before="140" w:line="276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111111"/>
          <w:sz w:val="23"/>
          <w:szCs w:val="23"/>
        </w:rPr>
        <w:t xml:space="preserve">MI(t) = Nₘ(t) / N(t)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Experimentally, MI is assessed by Ki-67 immunostaining (all active cell-cycle phases) or phospho-histone H3 (PHH3, mitosis specifically) [7].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5.2 Relation to Regeneration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number of cells contributing to net tissue renewal at any moment:</w:t>
      </w:r>
    </w:p>
    <w:p>
      <w:pPr>
        <w:spacing w:after="140" w:before="140" w:line="276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111111"/>
          <w:sz w:val="23"/>
          <w:szCs w:val="23"/>
        </w:rPr>
        <w:t xml:space="preserve">Nᵣ(t) ≈ kᴹᴵ · N(t) · MI(t)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dimensionless coefficient kᴹᴵ accounts for cell-cycle duration and the proportion of proliferating cells that contribute to net renewal rather than replacement of apoptotic loss. In steady-state tissue kᴹᴵ ≈ 1; during injury-driven regeneration kᴹᴵ may exceed 1 due to altered division symmetry. This parameter requires empirical determination per tissue type (see Section 8).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5.3 Energetic Interpretation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Each dividing cell requires energy qₘ for DNA replication, spindle assembly, and cytokinesis. Since qₘ &gt; q₀ [17,18]:</w:t>
      </w:r>
    </w:p>
    <w:p>
      <w:pPr>
        <w:spacing w:after="140" w:before="140" w:line="276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111111"/>
          <w:sz w:val="23"/>
          <w:szCs w:val="23"/>
        </w:rPr>
        <w:t xml:space="preserve">Eᵣ(t) ≈ qₘ · N(t) · MI(t)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5.4 Complete Energy Balance</w:t>
      </w:r>
    </w:p>
    <w:p>
      <w:pPr>
        <w:spacing w:after="140" w:before="140" w:line="276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111111"/>
          <w:sz w:val="23"/>
          <w:szCs w:val="23"/>
        </w:rPr>
        <w:t xml:space="preserve">E(t) = E₀ + qₘ · N(t) · MI(t)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4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2E"/>
          <w:sz w:val="30"/>
          <w:szCs w:val="30"/>
        </w:rPr>
        <w:t xml:space="preserve">6. Energetic Limitation of the Mitotic Index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Applying the vascular constraint E(t) ≤ Eᵏᵢₘ:</w:t>
      </w:r>
    </w:p>
    <w:p>
      <w:pPr>
        <w:spacing w:after="140" w:before="140" w:line="276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111111"/>
          <w:sz w:val="23"/>
          <w:szCs w:val="23"/>
        </w:rPr>
        <w:t xml:space="preserve">qₘ · N(t) · MI(t)  ≤  Eᵏᵢₘ − E₀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6.1 Maximum Mitotic Index</w:t>
      </w:r>
    </w:p>
    <w:p>
      <w:pPr>
        <w:spacing w:after="140" w:before="140" w:line="276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111111"/>
          <w:sz w:val="23"/>
          <w:szCs w:val="23"/>
        </w:rPr>
        <w:t xml:space="preserve">MIₘₐˣ = (Eᵏᵢₘ − E₀) / (qₘ · N)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6.2 Order-of-Magnitude Consistency Check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As a consistency test, consider intestinal epithelium — the most proliferative tissue in the adult body: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Measured MI (Ki-67) in crypts: 15–25% [10,19]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E₀ estimated at ~40% of Eᵏᵢₘ from O₂ consumption data [14,16]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Since qₘ &gt; q₀ [17,18], the formula yields MIₘₐˣ in the range 20–35%, consistent with observed peak values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 low-turnover cardiac muscle (E₀/Eᵏᵢₘ ≈ 0.85), the formula predicts MIₘₐˣ &lt; 2%, also matching observations [19]. These estimates are order-of-magnitude; precise calibration requires tissue-specific measurement of qₘ and E₀.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6.3 Interpretation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mitotic index is constrained not only by intrinsic cellular programs but by the energetic geometry of vascular supply. The same cell population in a better-perfused environment can sustain a higher MI. This prediction is experimentally accessible via paired Doppler and histological measurements.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4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2E"/>
          <w:sz w:val="30"/>
          <w:szCs w:val="30"/>
        </w:rPr>
        <w:t xml:space="preserve">7. Interpretation of the Model</w:t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7.1 Unity of Processes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Basal metabolism and regeneration are components of a single energy-flux system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Their difference arises solely through oscillation amplitude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7.2 Continuity Principle</w:t>
      </w:r>
    </w:p>
    <w:p>
      <w:pPr>
        <w:pBdr>
          <w:left w:val="thick" w:color="2E4057" w:sz="14" w:space="12"/>
        </w:pBdr>
        <w:spacing w:after="120" w:before="120" w:line="276"/>
        <w:ind w:left="720" w:righ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4057"/>
          <w:sz w:val="24"/>
          <w:szCs w:val="24"/>
        </w:rPr>
        <w:t xml:space="preserve">There is no separate regeneration mechanism — only amplitude modulation of a continuously operating baseline oscillatory process.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7.3 Biological Implications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High E₀ (neural tissue, cardiac muscle) → small E_free → poor regenerative response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High Eᵏᵢₘ (young, well-vascularized tissue) → large E_free → effective repair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Regeneration intensity ∝ MI ∝ E_free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Aging and fibrosis reduce R → reduce Eᵏᵢₘ → reduce MIₘₐˣ → progressive impairment of regeneration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4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2E"/>
          <w:sz w:val="30"/>
          <w:szCs w:val="30"/>
        </w:rPr>
        <w:t xml:space="preserve">8. Model Limitations and Assumptions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following simplifying assumptions are made explicit: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thick" w:color="8B2500" w:sz="14" w:space="12"/>
        </w:pBdr>
        <w:spacing w:after="100" w:before="100" w:line="276"/>
        <w:ind w:left="720" w:right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2500"/>
          <w:sz w:val="22"/>
          <w:szCs w:val="22"/>
        </w:rPr>
        <w:t xml:space="preserve">Assumption 1 — Linearity: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22"/>
          <w:szCs w:val="22"/>
        </w:rPr>
        <w:t xml:space="preserve">Energy cost scales linearly with MI. In reality metabolic coupling between proliferating and quiescent cells introduces nonlinearity.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thick" w:color="8B2500" w:sz="14" w:space="12"/>
        </w:pBdr>
        <w:spacing w:after="100" w:before="100" w:line="276"/>
        <w:ind w:left="720" w:right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2500"/>
          <w:sz w:val="22"/>
          <w:szCs w:val="22"/>
        </w:rPr>
        <w:t xml:space="preserve">Assumption 2 — Spatial homogeneity: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22"/>
          <w:szCs w:val="22"/>
        </w:rPr>
        <w:t xml:space="preserve">N and MI are treated as spatially averaged. Real tissues are heterogeneous (e.g., intestinal crypts MI ~20% vs. villi MI &lt;1%).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thick" w:color="8B2500" w:sz="14" w:space="12"/>
        </w:pBdr>
        <w:spacing w:after="100" w:before="100" w:line="276"/>
        <w:ind w:left="720" w:right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2500"/>
          <w:sz w:val="22"/>
          <w:szCs w:val="22"/>
        </w:rPr>
        <w:t xml:space="preserve">Assumption 3 — Stationary E₀: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22"/>
          <w:szCs w:val="22"/>
        </w:rPr>
        <w:t xml:space="preserve">Basal consumption is treated as approximately constant; it shifts during inflammation, hypoxia, or hormonal stimulation.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thick" w:color="8B2500" w:sz="14" w:space="12"/>
        </w:pBdr>
        <w:spacing w:after="100" w:before="100" w:line="276"/>
        <w:ind w:left="720" w:right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2500"/>
          <w:sz w:val="22"/>
          <w:szCs w:val="22"/>
        </w:rPr>
        <w:t xml:space="preserve">Assumption 4 — Single feeding vessel: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22"/>
          <w:szCs w:val="22"/>
        </w:rPr>
        <w:t xml:space="preserve">Eᵏᵢₘ = λR⁴ models one dominant vessel. A more complete treatment requires Murray’s law for hierarchical branching networks [23,24].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thick" w:color="8B2500" w:sz="14" w:space="12"/>
        </w:pBdr>
        <w:spacing w:after="100" w:before="100" w:line="276"/>
        <w:ind w:left="720" w:right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2500"/>
          <w:sz w:val="22"/>
          <w:szCs w:val="22"/>
        </w:rPr>
        <w:t xml:space="preserve">Open parameter: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22"/>
          <w:szCs w:val="22"/>
        </w:rPr>
        <w:t xml:space="preserve">The coupling coefficient kᴹᴵ (Section 5.2) is not independently constrained by the model and must be determined empirically per tissue type.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4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2E"/>
          <w:sz w:val="30"/>
          <w:szCs w:val="30"/>
        </w:rPr>
        <w:t xml:space="preserve">9. Key Statements</w:t>
      </w:r>
    </w:p>
    <w:p>
      <w:pPr>
        <w:pStyle w:val="ListParagraph"/>
        <w:numPr>
          <w:ilvl w:val="0"/>
          <w:numId w:val="3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Tissue is an energy-constrained oscillatory system.</w:t>
      </w:r>
    </w:p>
    <w:p>
      <w:pPr>
        <w:pStyle w:val="ListParagraph"/>
        <w:numPr>
          <w:ilvl w:val="0"/>
          <w:numId w:val="3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Tissue turnover = basal consumption + amplitude-modulated oscillatory renewal.</w:t>
      </w:r>
    </w:p>
    <w:p>
      <w:pPr>
        <w:pStyle w:val="ListParagraph"/>
        <w:numPr>
          <w:ilvl w:val="0"/>
          <w:numId w:val="3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Regeneration = amplitude modulation of a continuously operating process.</w:t>
      </w:r>
    </w:p>
    <w:p>
      <w:pPr>
        <w:pStyle w:val="ListParagraph"/>
        <w:numPr>
          <w:ilvl w:val="0"/>
          <w:numId w:val="3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mitotic index reflects pendulum amplitude and is bounded by E_free / (qₘ · N).</w:t>
      </w:r>
    </w:p>
    <w:p>
      <w:pPr>
        <w:pStyle w:val="ListParagraph"/>
        <w:numPr>
          <w:ilvl w:val="0"/>
          <w:numId w:val="3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Vascular geometry (R⁴) is the fundamental physical constraint on proliferative capacity.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4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2E"/>
          <w:sz w:val="30"/>
          <w:szCs w:val="30"/>
        </w:rPr>
        <w:t xml:space="preserve">10. Conclusion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 propose a unified energy-based framework for tissue dynamics in which basal metabolism and regeneration are two regimes of a single oscillatory system. The model connects vascular geometry, energy flux, and cell proliferation through a compact algebraic structure: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top w:val="single" w:color="2E4057" w:sz="8" w:space="8"/>
          <w:bottom w:val="single" w:color="2E4057" w:sz="8" w:space="8"/>
          <w:left w:val="single" w:color="2E4057" w:sz="8" w:space="8"/>
          <w:right w:val="single" w:color="2E4057" w:sz="8" w:space="8"/>
        </w:pBdr>
        <w:spacing w:after="200" w:before="200" w:line="276"/>
        <w:jc w:val="center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1A1A2E"/>
          <w:sz w:val="32"/>
          <w:szCs w:val="32"/>
        </w:rPr>
        <w:t xml:space="preserve">E(t) = E₀ + qₘ · N(t) · MI(t)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central insight is that regenerative capacity is not primarily a molecular property of stem-cell populations, but a thermodynamic property of the tissue’s energetic environment. Tissues with high vascular supply (large R, high Eᵏᵢₘ) can sustain high mitotic indices; those with compromised perfusion cannot, regardless of the intrinsic proliferative potential of their cells.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model generates falsifiable quantitative predictions and connects directly to non-invasive perfusion imaging modalities, making experimental testing feasible with current clinical technology.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bottom w:val="single" w:color="AAAAAA" w:sz="4" w:space="1"/>
        </w:pBdr>
        <w:spacing w:after="180" w:before="180" w:line="276"/>
      </w:pPr>
      <w:r>
        <w:t xml:space="preserve"/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4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2E"/>
          <w:sz w:val="30"/>
          <w:szCs w:val="30"/>
        </w:rPr>
        <w:t xml:space="preserve">11. Experimental Validation — Doppler-Based Assessment</w:t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11.1 Energy–Flow Relationship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Since tissue energy supply is delivered by blood flow and oxygen extraction fraction is approximately constant at the tissue level, energy flux is proportional to volumetric flow rate:</w:t>
      </w:r>
    </w:p>
    <w:p>
      <w:pPr>
        <w:spacing w:after="140" w:before="140" w:line="276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111111"/>
          <w:sz w:val="23"/>
          <w:szCs w:val="23"/>
        </w:rPr>
        <w:t xml:space="preserve">E(t) ∝ F(t)      ⟹      E(t) ≈ Cᴸ · F(t)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where Cᴸ incorporates blood oxygen content and metabolic coupling efficiency.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11.2 Flow Decomposition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Analogous to the energy decomposition, total perfusion separates into basal and regenerative components:</w:t>
      </w:r>
    </w:p>
    <w:p>
      <w:pPr>
        <w:spacing w:after="140" w:before="140" w:line="276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111111"/>
          <w:sz w:val="23"/>
          <w:szCs w:val="23"/>
        </w:rPr>
        <w:t xml:space="preserve">F(t) = F₀ + Fᵣ(t)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11.3 Predicted Link to Mitotic Index</w:t>
      </w:r>
    </w:p>
    <w:p>
      <w:pPr>
        <w:spacing w:after="140" w:before="140" w:line="276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111111"/>
          <w:sz w:val="23"/>
          <w:szCs w:val="23"/>
        </w:rPr>
        <w:t xml:space="preserve">Fᵣ(t) ∝ N(t) · MI(t)</w:t>
      </w:r>
    </w:p>
    <w:p>
      <w:pPr>
        <w:spacing w:after="140" w:before="140" w:line="276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111111"/>
          <w:sz w:val="23"/>
          <w:szCs w:val="23"/>
        </w:rPr>
        <w:t xml:space="preserve">MI(t) ∝ [F(t) − F₀] / N(t)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11.4 Empirical Consistency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These predictions are consistent with three independent published datasets: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Breast carcinoma (DCE-MRI, n = 60): perfusion metrics IAUGC, Kᵗʳᵃⁿˢ, Kᵉᵖ showed significant correlations with Ki-67 index (ρ = 0.619, 0.554, 0.454; all p &lt; 0.01) [7]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Endometrial carcinoma: high-Ki-67 tumors showed significantly higher diffusion-derived vessel density (DDVD 44.2 vs. 16.1, p &lt; 0.001) [8]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Nasopharyngeal carcinoma (ASL-MRI): blood flow BFₘᵉₐⁿ correlated positively with Ki-67 labeling index (r = 0.415, p &lt; 0.05) [9]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thick" w:color="8B2500" w:sz="14" w:space="12"/>
        </w:pBdr>
        <w:spacing w:after="100" w:before="100" w:line="276"/>
        <w:ind w:left="720" w:right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2500"/>
          <w:sz w:val="22"/>
          <w:szCs w:val="22"/>
        </w:rPr>
        <w:t xml:space="preserve">Caveat: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22"/>
          <w:szCs w:val="22"/>
        </w:rPr>
        <w:t xml:space="preserve">Doppler perfusion elevation is not specific to regeneration — inflammation produces an identical signal. Histological markers (Ki-67, PHH3) are required to distinguish proliferation-driven from inflammation-driven flow increases [11].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11.5 Testable Predictions</w:t>
      </w:r>
    </w:p>
    <w:p>
      <w:pPr>
        <w:pStyle w:val="ListParagraph"/>
        <w:numPr>
          <w:ilvl w:val="0"/>
          <w:numId w:val="3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F(t) &gt; F₀ during active regeneration, with perfusion peak co-localizing with peak MI</w:t>
      </w:r>
    </w:p>
    <w:p>
      <w:pPr>
        <w:pStyle w:val="ListParagraph"/>
        <w:numPr>
          <w:ilvl w:val="0"/>
          <w:numId w:val="3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F(t) → F₀ after tissue recovery</w:t>
      </w:r>
    </w:p>
    <w:p>
      <w:pPr>
        <w:pStyle w:val="ListParagraph"/>
        <w:numPr>
          <w:ilvl w:val="0"/>
          <w:numId w:val="3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Fᵣ(t)/N(t) ∝ MI(t) across tissue types and injury models</w:t>
      </w:r>
    </w:p>
    <w:p>
      <w:pPr>
        <w:pStyle w:val="ListParagraph"/>
        <w:numPr>
          <w:ilvl w:val="0"/>
          <w:numId w:val="3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MIₘₐˣ correlates with vessel radius R (measurable by high-resolution Doppler)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11.6 Experimental Protocol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Doppler perfusion measurement (color Doppler or laser Doppler flowmetry) at serial time points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Parallel histological assessment: Ki-67 (proliferation index), PHH3 (mitosis), CD31 (vascularity)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Spatial co-registration of perfusion map with proliferation map</w:t>
      </w:r>
    </w:p>
    <w:p>
      <w:pPr>
        <w:pStyle w:val="ListParagraph"/>
        <w:numPr>
          <w:ilvl w:val="0"/>
          <w:numId w:val="2"/>
        </w:numPr>
        <w:spacing w:after="4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Regression analysis of MI vs. [F − F₀]/N across patient cohorts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5"/>
          <w:szCs w:val="25"/>
        </w:rPr>
        <w:t xml:space="preserve">11.7 Interpretation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Doppler perfusion provides a non-invasive proxy for tissue energy flux and, when combined with cell-count estimates, allows estimation of E_free and MIₘₐˣ without biopsy. This has potential clinical utility for pre-operative assessment of tissue regenerative capacity.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bottom w:val="single" w:color="AAAAAA" w:sz="4" w:space="1"/>
        </w:pBdr>
        <w:spacing w:after="180" w:before="180" w:line="276"/>
      </w:pPr>
      <w:r>
        <w:t xml:space="preserve"/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4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2E"/>
          <w:sz w:val="30"/>
          <w:szCs w:val="30"/>
        </w:rPr>
        <w:t xml:space="preserve">References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2"/>
          <w:szCs w:val="22"/>
        </w:rPr>
        <w:t xml:space="preserve">1. Ultradian metabolic rhythms</w:t>
      </w:r>
    </w:p>
    <w:p>
      <w:pPr>
        <w:spacing w:after="36" w:before="36" w:line="276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[1] Brodsky VYa. (2014). Circahoralian (ultradian) metabolic rhythms. Ageing Research Reviews, 16, 81–91.</w:t>
      </w:r>
    </w:p>
    <w:p>
      <w:pPr>
        <w:spacing w:after="36" w:before="36" w:line="276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[2] van der Veen DR, Gerkema MP. (2024). Re-scoping ultradian rhythms in the context of metabolism. Frontiers in Physiology, 15, 1504879.</w:t>
      </w:r>
    </w:p>
    <w:p>
      <w:pPr>
        <w:spacing w:after="36" w:before="36" w:line="276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[3] Causton HC et al. (2022). Coupling-dependent metabolic ultradian rhythms in confluent cells. PNAS, 119(45), e2211424119.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2"/>
          <w:szCs w:val="22"/>
        </w:rPr>
        <w:t xml:space="preserve">2. Hagen–Poiseuille flow and vascular constraints</w:t>
      </w:r>
    </w:p>
    <w:p>
      <w:pPr>
        <w:spacing w:after="36" w:before="36" w:line="276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[4] Hagen G. (1839). Über die Bewegung des Wassers in engen zylindrischen Röhren. Poggendorfs Annalen, 46, 423–442.</w:t>
      </w:r>
    </w:p>
    <w:p>
      <w:pPr>
        <w:spacing w:after="36" w:before="36" w:line="276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[5] West GB, Brown JH, Enquist BJ. (1997). A general model for the origin of allometric scaling laws in biology. Science, 276(5309), 122–126.</w:t>
      </w:r>
    </w:p>
    <w:p>
      <w:pPr>
        <w:spacing w:after="36" w:before="36" w:line="276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[6] Agutter PS, Tuszynski JA. (2011). Analytic theories of allometric scaling. Journal of Experimental Biology, 214(7), 1055–1062.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2"/>
          <w:szCs w:val="22"/>
        </w:rPr>
        <w:t xml:space="preserve">3. Perfusion–Ki-67 correlation studies</w:t>
      </w:r>
    </w:p>
    <w:p>
      <w:pPr>
        <w:spacing w:after="36" w:before="36" w:line="276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[7] Uncu UY, Aksu SA. (2023). Correlation of perfusion metrics with Ki-67 proliferation index and axillary involvement in breast carcinoma: a DCE-MRI study. Diagnostics, 13(20), 3260.</w:t>
      </w:r>
    </w:p>
    <w:p>
      <w:pPr>
        <w:spacing w:after="36" w:before="36" w:line="276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[8] Wang H et al. (2025). High correlation between Ki-67 expression and diffusion-derived vessel density (DDVD) in endometrial carcinoma. Magnetic Resonance Imaging, 118, 110338.</w:t>
      </w:r>
    </w:p>
    <w:p>
      <w:pPr>
        <w:spacing w:after="36" w:before="36" w:line="276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[9] Xiao Y et al. (2021). 3D pulsed continuous ASL and IVIM of nasopharyngeal carcinoma: correlations with Ki-67 proliferation status. Quantitative Imaging in Medicine and Surgery, 11(3), 930–942.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2"/>
          <w:szCs w:val="22"/>
        </w:rPr>
        <w:t xml:space="preserve">4. Doppler in tissue regeneration</w:t>
      </w:r>
    </w:p>
    <w:p>
      <w:pPr>
        <w:spacing w:after="36" w:before="36" w:line="276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[10] Galarraga-Vinueza ME et al. (2024). Doppler ultrasonographic evaluation of tissue revascularization following connective tissue graft at implant sites. Journal of Clinical Periodontology, 51(S27), e14748.</w:t>
      </w:r>
    </w:p>
    <w:p>
      <w:pPr>
        <w:spacing w:after="36" w:before="36" w:line="276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[11] Smolle C et al. (2013). Correlation of histopathologic and dynamic tissue perfusion measurement findings in transplanted kidneys. BMC Nephrology, 14, 143.</w:t>
      </w:r>
    </w:p>
    <w:p>
      <w:pPr>
        <w:spacing w:after="36" w:before="36" w:line="276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[12] Saiag P et al. (2017). First insights into human fingertip regeneration by Echo-Doppler imaging. PLoS ONE, 12(5), e0177767.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2"/>
          <w:szCs w:val="22"/>
        </w:rPr>
        <w:t xml:space="preserve">5. Basal energy consumption and ion transport</w:t>
      </w:r>
    </w:p>
    <w:p>
      <w:pPr>
        <w:spacing w:after="36" w:before="36" w:line="276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[13] Rolfe DFS, Brown GC. (1997). Cellular energy utilization and molecular origin of standard metabolic rate in mammals. Physiological Reviews, 77(3), 731–758.</w:t>
      </w:r>
    </w:p>
    <w:p>
      <w:pPr>
        <w:spacing w:after="36" w:before="36" w:line="276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[14] Skou JC. (1957). The influence of some cations on an adenosine triphosphatase from peripheral nerves. Biochimica et Biophysica Acta, 23(2), 394–401.</w:t>
      </w:r>
    </w:p>
    <w:p>
      <w:pPr>
        <w:spacing w:after="36" w:before="36" w:line="276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[15] Brand MD, Nicholls DG. (2011). Assessing mitochondrial dysfunction in cells. Biochemical Journal, 435(2), 297–312.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2"/>
          <w:szCs w:val="22"/>
        </w:rPr>
        <w:t xml:space="preserve">6. Cell cycle energetics and mitotic index</w:t>
      </w:r>
    </w:p>
    <w:p>
      <w:pPr>
        <w:spacing w:after="36" w:before="36" w:line="276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[16] Salazar-Roa M, Malumbres M. (2017). Fueling the cell division cycle. Trends in Cell Biology, 27(1), 69–81.</w:t>
      </w:r>
    </w:p>
    <w:p>
      <w:pPr>
        <w:spacing w:after="36" w:before="36" w:line="276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[17] Skog S, Tribukait B, Wallström B. (1982). Energy metabolism and ATP turnover time during the cell cycle of Ehrlich ascites tumour cells. Experimental Cell Research, 141(1), 23–29.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2"/>
          <w:szCs w:val="22"/>
        </w:rPr>
        <w:t xml:space="preserve">7. Tissue homeostasis and cell turnover</w:t>
      </w:r>
    </w:p>
    <w:p>
      <w:pPr>
        <w:spacing w:after="36" w:before="36" w:line="276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[18] Pellettieri J, Sánchez Alvarado A. (2007). Cell turnover and adult tissue homeostasis: from humans to planarians. Annual Review of Genetics, 41, 83–105.</w:t>
      </w:r>
    </w:p>
    <w:p>
      <w:pPr>
        <w:spacing w:after="36" w:before="36" w:line="276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[19] Leblond CP, Stevens CE, Bogoroch R. (1948). Histological localization of newly formed deoxyribonucleic acid. Science, 108(2803), 531–533.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2"/>
          <w:szCs w:val="22"/>
        </w:rPr>
        <w:t xml:space="preserve">8. Metabolic adaptation and regeneration</w:t>
      </w:r>
    </w:p>
    <w:p>
      <w:pPr>
        <w:spacing w:after="36" w:before="36" w:line="276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[20] Moreira S et al. (2022). A regeneration-triggered metabolic adaptation is necessary for cell identity transitions and cell cycle re-entry. eLife, 11, e76987.</w:t>
      </w:r>
    </w:p>
    <w:p>
      <w:pPr>
        <w:spacing w:after="36" w:before="36" w:line="276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[21] Mathieu J, Ruohola-Baker H. (2017). Metabolic remodeling during the loss and acquisition of pluripotency. Development, 144(4), 541–551.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4057"/>
          <w:sz w:val="22"/>
          <w:szCs w:val="22"/>
        </w:rPr>
        <w:t xml:space="preserve">9. Vascular network optimization</w:t>
      </w:r>
    </w:p>
    <w:p>
      <w:pPr>
        <w:spacing w:after="36" w:before="36" w:line="276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[22] Murray CD. (1926). The physiological principle of minimum work. PNAS, 12(3), 207–214.</w:t>
      </w:r>
    </w:p>
    <w:p>
      <w:pPr>
        <w:spacing w:after="36" w:before="36" w:line="276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[23] Huo Y, Kassab GS. (2009). The scaling of blood flow resistance: from a single vessel to the entire distal tree. Biophysical Journal, 96(1), 339–346.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4"/>
      </w:pBdr>
      <w:spacing w:after="0" w:before="80" w:line="276"/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3" w:space="4"/>
      </w:pBdr>
      <w:spacing w:after="100" w:before="0" w:line="276"/>
      <w:jc w:val="right"/>
    </w:pPr>
    <w:r>
      <w:rPr>
        <w:rFonts w:ascii="Times New Roman" w:cs="Times New Roman" w:eastAsia="Times New Roman" w:hAnsi="Times New Roman"/>
        <w:b w:val="false"/>
        <w:bCs w:val="false"/>
        <w:i/>
        <w:iCs/>
        <w:color w:val="777777"/>
        <w:sz w:val="18"/>
        <w:szCs w:val="18"/>
      </w:rPr>
      <w:t xml:space="preserve">The Energy Matrix of Tissue — Basal Metabolism, Regeneration Pendulum, and Mitotic Index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Times New Roman" w:cs="Times New Roman" w:eastAsia="Times New Roman" w:hAnsi="Times New Roman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Times New Roman" w:hAnsi="Times New Roman"/>
      <w:b/>
      <w:bCs/>
      <w:color w:val="2E405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imes New Roman" w:cs="Times New Roman" w:eastAsia="Times New Roman" w:hAnsi="Times New Roman"/>
      <w:b/>
      <w:bCs/>
      <w:i/>
      <w:iCs/>
      <w:color w:val="3D6B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2026-05-02T18:57:30.596Z</dcterms:created>
  <dcterms:modified xsi:type="dcterms:W3CDTF">2026-05-02T18:57:30.614Z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