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jc w:val="center"/>
      </w:pPr>
      <w:r>
        <w:rPr>
          <w:rFonts w:ascii="Times New Roman" w:cs="Times New Roman" w:eastAsia="Times New Roman" w:hAnsi="Times New Roman"/>
          <w:b/>
          <w:bCs/>
          <w:sz w:val="32"/>
          <w:szCs w:val="32"/>
        </w:rPr>
        <w:t xml:space="preserve">Metabolic and Spatial Regulation of Genome Stability: The Redox Window and Basal Glycolytic Regime</w:t>
      </w:r>
    </w:p>
    <w:p>
      <w:pPr>
        <w:pStyle w:val="Heading1"/>
        <w:spacing w:after="160" w:before="240"/>
      </w:pPr>
      <w:r>
        <w:rPr>
          <w:rFonts w:ascii="Times New Roman" w:cs="Times New Roman" w:eastAsia="Times New Roman" w:hAnsi="Times New Roman"/>
          <w:b/>
          <w:bCs/>
          <w:sz w:val="28"/>
          <w:szCs w:val="28"/>
        </w:rPr>
        <w:t xml:space="preserve">Abstract</w:t>
      </w:r>
    </w:p>
    <w:p>
      <w:pPr>
        <w:spacing w:after="160" w:line="276"/>
        <w:jc w:val="both"/>
      </w:pPr>
      <w:r>
        <w:rPr>
          <w:rFonts w:ascii="Times New Roman" w:cs="Times New Roman" w:eastAsia="Times New Roman" w:hAnsi="Times New Roman"/>
          <w:sz w:val="24"/>
          <w:szCs w:val="24"/>
        </w:rPr>
        <w:t xml:space="preserve">Molecular oxygen, while essential for eukaryotic energy metabolism, continuously generates reactive oxygen species (ROS) as byproducts of mitochondrial respiration, posing a persistent threat to genomic stability. Cells in which high-fidelity genetic information storage is critical—including oocytes, early embryonic cells, and adult stem cells—have evolved a multi-level strategy to minimize oxidative damage to DNA. At the metabolic level, this is achieved through what we propose to term the basal glycolytic regime (BGR), in which energy production occurs with limited reliance on oxidative phosphorylation. At the tissue level, spatial redox gradients restrict oxidative load to zones with lower demands for genomic fidelity. At the intracellular level, perinuclear mitochondrial organization modulates the local redox environment in the vicinity of chromatin. Together, these mechanisms define a constrained range of permissible redox states—herein conceptualized as the redox window—within which the fidelity of DNA replication, transcription, and chromatin organization is maintained. The BGR represents the most constrained and genome-protective position within this window and may be considered an evolutionarily conserved cellular state prioritizing genomic integrity over metabolic efficiency.</w:t>
      </w:r>
    </w:p>
    <w:p>
      <w:pPr>
        <w:spacing w:after="24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reactive oxygen species; genomic stability; glycolysis; redox window; perinuclear mitochondria; oocytes; stem cells</w:t>
      </w:r>
    </w:p>
    <w:p>
      <w:pPr>
        <w:pStyle w:val="Heading1"/>
        <w:spacing w:after="160" w:before="240"/>
      </w:pPr>
      <w:r>
        <w:rPr>
          <w:rFonts w:ascii="Times New Roman" w:cs="Times New Roman" w:eastAsia="Times New Roman" w:hAnsi="Times New Roman"/>
          <w:b/>
          <w:bCs/>
          <w:sz w:val="28"/>
          <w:szCs w:val="28"/>
        </w:rPr>
        <w:t xml:space="preserve">1. Introduction</w:t>
      </w:r>
    </w:p>
    <w:p>
      <w:pPr>
        <w:spacing w:after="160" w:line="276"/>
        <w:jc w:val="both"/>
      </w:pPr>
      <w:r>
        <w:rPr>
          <w:rFonts w:ascii="Times New Roman" w:cs="Times New Roman" w:eastAsia="Times New Roman" w:hAnsi="Times New Roman"/>
          <w:sz w:val="24"/>
          <w:szCs w:val="24"/>
        </w:rPr>
        <w:t xml:space="preserve">Molecular oxygen is essential for the energy metabolism of most eukaryotic cells; however, it simultaneously represents a persistent threat to genomic stability. Reactive oxygen species (ROS)—including superoxide, hydrogen peroxide, and hydroxyl radicals—are continuously generated as byproducts of mitochondrial electron transport and can directly damage DNA through base oxidation, single- and double-strand breaks, and replication fork stalling [1,2]. In general, increased reliance on oxidative phosphorylation is associated with a higher probability of somatic mutations and disruptions of epigenetic regulation [3].</w:t>
      </w:r>
    </w:p>
    <w:p>
      <w:pPr>
        <w:spacing w:after="160" w:line="276"/>
        <w:jc w:val="both"/>
      </w:pPr>
      <w:r>
        <w:rPr>
          <w:rFonts w:ascii="Times New Roman" w:cs="Times New Roman" w:eastAsia="Times New Roman" w:hAnsi="Times New Roman"/>
          <w:sz w:val="24"/>
          <w:szCs w:val="24"/>
        </w:rPr>
        <w:t xml:space="preserve">Cells in which the accuracy of genetic information storage and transmission is critical—such as oocytes, early embryonic cells, and adult stem cells—constitute the functional core of organismal maintenance and reproductive systems. In these cell types, the preservation of genomic integrity represents a primary constraint shaping both metabolic and structural organization.</w:t>
      </w:r>
    </w:p>
    <w:p>
      <w:pPr>
        <w:spacing w:after="160" w:line="276"/>
        <w:jc w:val="both"/>
      </w:pPr>
      <w:r>
        <w:rPr>
          <w:rFonts w:ascii="Times New Roman" w:cs="Times New Roman" w:eastAsia="Times New Roman" w:hAnsi="Times New Roman"/>
          <w:sz w:val="24"/>
          <w:szCs w:val="24"/>
        </w:rPr>
        <w:t xml:space="preserve">To address this constraint, such cells implement a comprehensive, multi-level strategy to limit oxidative burden on DNA. The present article proposes a conceptual framework integrating three levels of this strategy: (i) the metabolic level, via the basal glycolytic regime (BGR); (ii) the tissue-level spatial organization of redox gradients; and (iii) the intracellular spatial control of mitochondrial function through perinuclear organization. Together, these mechanisms define what we term the redox window—a permissible range of oxidative states compatible with high-fidelity genomic function.</w:t>
      </w:r>
    </w:p>
    <w:p>
      <w:pPr>
        <w:pStyle w:val="Heading1"/>
        <w:spacing w:after="160" w:before="240"/>
      </w:pPr>
      <w:r>
        <w:rPr>
          <w:rFonts w:ascii="Times New Roman" w:cs="Times New Roman" w:eastAsia="Times New Roman" w:hAnsi="Times New Roman"/>
          <w:b/>
          <w:bCs/>
          <w:sz w:val="28"/>
          <w:szCs w:val="28"/>
        </w:rPr>
        <w:t xml:space="preserve">2. Oxidative Metabolism as a Threat to Genomic Integrity</w:t>
      </w:r>
    </w:p>
    <w:p>
      <w:pPr>
        <w:spacing w:after="160" w:line="276"/>
        <w:jc w:val="both"/>
      </w:pPr>
      <w:r>
        <w:rPr>
          <w:rFonts w:ascii="Times New Roman" w:cs="Times New Roman" w:eastAsia="Times New Roman" w:hAnsi="Times New Roman"/>
          <w:sz w:val="24"/>
          <w:szCs w:val="24"/>
        </w:rPr>
        <w:t xml:space="preserve">The mitochondrial electron transport chain (ETC) is the primary endogenous source of ROS in eukaryotic cells, particularly at Complexes I and III [1]. Under physiological conditions, approximately 0.1–2% of electrons leak from the ETC and react with molecular oxygen to form superoxide, which is rapidly converted to hydrogen peroxide and, in the presence of transition metals, to the highly reactive hydroxyl radical [4].</w:t>
      </w:r>
    </w:p>
    <w:p>
      <w:pPr>
        <w:spacing w:after="160" w:line="276"/>
        <w:jc w:val="both"/>
      </w:pPr>
      <w:r>
        <w:rPr>
          <w:rFonts w:ascii="Times New Roman" w:cs="Times New Roman" w:eastAsia="Times New Roman" w:hAnsi="Times New Roman"/>
          <w:sz w:val="24"/>
          <w:szCs w:val="24"/>
        </w:rPr>
        <w:t xml:space="preserve">Oxidative damage to DNA is cumulative and, if unrepaired, results in mutations, chromosomal instability, and epigenetic dysregulation. For cells committed to transmitting genetic information across generations—such as oocytes and early blastomeres—even low rates of stochastic DNA damage carry significant fitness costs. It is therefore not surprising that such cells have evolved mechanisms to minimize rather than merely tolerate ROS production [5,6].</w:t>
      </w:r>
    </w:p>
    <w:p>
      <w:pPr>
        <w:spacing w:after="160" w:line="276"/>
        <w:jc w:val="both"/>
      </w:pPr>
      <w:r>
        <w:rPr>
          <w:rFonts w:ascii="Times New Roman" w:cs="Times New Roman" w:eastAsia="Times New Roman" w:hAnsi="Times New Roman"/>
          <w:sz w:val="24"/>
          <w:szCs w:val="24"/>
        </w:rPr>
        <w:t xml:space="preserve">A key insight is that the magnitude of ROS production is not simply a function of metabolic rate but is disproportionately elevated by reliance on oxidative phosphorylation. Glycolysis, by contrast, does not directly generate ROS. This distinction forms the mechanistic basis for the metabolic dimension of genome protection discussed below.</w:t>
      </w:r>
    </w:p>
    <w:p>
      <w:pPr>
        <w:pStyle w:val="Heading1"/>
        <w:spacing w:after="160" w:before="240"/>
      </w:pPr>
      <w:r>
        <w:rPr>
          <w:rFonts w:ascii="Times New Roman" w:cs="Times New Roman" w:eastAsia="Times New Roman" w:hAnsi="Times New Roman"/>
          <w:b/>
          <w:bCs/>
          <w:sz w:val="28"/>
          <w:szCs w:val="28"/>
        </w:rPr>
        <w:t xml:space="preserve">3. The Basal Glycolytic Regime as a Genome-Protective Metabolic State</w:t>
      </w:r>
    </w:p>
    <w:p>
      <w:pPr>
        <w:spacing w:after="160" w:line="276"/>
        <w:jc w:val="both"/>
      </w:pPr>
      <w:r>
        <w:rPr>
          <w:rFonts w:ascii="Times New Roman" w:cs="Times New Roman" w:eastAsia="Times New Roman" w:hAnsi="Times New Roman"/>
          <w:sz w:val="24"/>
          <w:szCs w:val="24"/>
        </w:rPr>
        <w:t xml:space="preserve">Oocytes and early embryonic cells function predominantly in a glycolytic mode, generating ATP with limited reliance on mitochondrial respiration [7,8]. This metabolic configuration is not indicative of energetic deficiency but represents an evolutionarily conserved strategy to minimize oxidative stress on the genome. Evidence from multiple model systems—including human, bovine, and Xenopus oocytes—demonstrates that these cells maintain low mitochondrial membrane potential and reduced ETC activity during critical developmental windows [5].</w:t>
      </w:r>
    </w:p>
    <w:p>
      <w:pPr>
        <w:spacing w:after="160" w:line="276"/>
        <w:jc w:val="both"/>
      </w:pPr>
      <w:r>
        <w:rPr>
          <w:rFonts w:ascii="Times New Roman" w:cs="Times New Roman" w:eastAsia="Times New Roman" w:hAnsi="Times New Roman"/>
          <w:sz w:val="24"/>
          <w:szCs w:val="24"/>
        </w:rPr>
        <w:t xml:space="preserve">A landmark study in Nature demonstrated that mammalian oocytes actively maintain a near-ROS-free metabolic state by eliminating Complex I of the mitochondrial ETC through targeted remodeling [6]. This finding establishes a direct mechanistic link between mitochondrial architecture and genomic protection, and suggests that the suppression of oxidative metabolism in these cells is an active, regulated process rather than a passive consequence of developmental stage.</w:t>
      </w:r>
    </w:p>
    <w:p>
      <w:pPr>
        <w:spacing w:after="160" w:line="276"/>
        <w:jc w:val="both"/>
      </w:pPr>
      <w:r>
        <w:rPr>
          <w:rFonts w:ascii="Times New Roman" w:cs="Times New Roman" w:eastAsia="Times New Roman" w:hAnsi="Times New Roman"/>
          <w:sz w:val="24"/>
          <w:szCs w:val="24"/>
        </w:rPr>
        <w:t xml:space="preserve">We propose that this metabolic configuration—low oxidative flux, predominant reliance on glycolysis, and reduced ROS generation—constitutes a distinct and fundamental cellular state, which we term the basal glycolytic regime (BGR). The BGR corresponds to the narrowest position within the redox window, offering maximal protection for DNA as an informational molecule.</w:t>
      </w:r>
    </w:p>
    <w:p>
      <w:pPr>
        <w:spacing w:after="160" w:line="276"/>
        <w:jc w:val="both"/>
      </w:pPr>
      <w:r>
        <w:rPr>
          <w:rFonts w:ascii="Times New Roman" w:cs="Times New Roman" w:eastAsia="Times New Roman" w:hAnsi="Times New Roman"/>
          <w:sz w:val="24"/>
          <w:szCs w:val="24"/>
        </w:rPr>
        <w:t xml:space="preserve">Notably, the BGR is not exclusive to germ cells. Adult stem cells in multiple lineages, including hematopoietic and neural stem cells, similarly exhibit glycolytic metabolism and reduced mitochondrial activity, particularly during quiescence [9]. This parallel suggests that the BGR represents a broadly conserved strategy for maintaining genomic integrity in cells with high requirements for long-term fidelity.</w:t>
      </w:r>
    </w:p>
    <w:p>
      <w:pPr>
        <w:pStyle w:val="Heading1"/>
        <w:spacing w:after="160" w:before="240"/>
      </w:pPr>
      <w:r>
        <w:rPr>
          <w:rFonts w:ascii="Times New Roman" w:cs="Times New Roman" w:eastAsia="Times New Roman" w:hAnsi="Times New Roman"/>
          <w:b/>
          <w:bCs/>
          <w:sz w:val="28"/>
          <w:szCs w:val="28"/>
        </w:rPr>
        <w:t xml:space="preserve">4. Spatial Redox Organization at the Tissue Level</w:t>
      </w:r>
    </w:p>
    <w:p>
      <w:pPr>
        <w:spacing w:after="160" w:line="276"/>
        <w:jc w:val="both"/>
      </w:pPr>
      <w:r>
        <w:rPr>
          <w:rFonts w:ascii="Times New Roman" w:cs="Times New Roman" w:eastAsia="Times New Roman" w:hAnsi="Times New Roman"/>
          <w:sz w:val="24"/>
          <w:szCs w:val="24"/>
        </w:rPr>
        <w:t xml:space="preserve">The same principle of oxidative load minimization is reflected, at the tissue level, in the spatial organization of redox states. Stem cell niches across diverse tissues are characterized by physiological hypoxia—typically 1–5% O₂—which reduces oxidative damage and supports the maintenance of stemness [9,10]. In the bone marrow, the endosteal niche maintains hematopoietic stem cells (HSCs) in a low-oxygen microenvironment, where reduced ROS levels are associated with quiescence and long-term self-renewal capacity [11].</w:t>
      </w:r>
    </w:p>
    <w:p>
      <w:pPr>
        <w:spacing w:after="160" w:line="276"/>
        <w:jc w:val="both"/>
      </w:pPr>
      <w:r>
        <w:rPr>
          <w:rFonts w:ascii="Times New Roman" w:cs="Times New Roman" w:eastAsia="Times New Roman" w:hAnsi="Times New Roman"/>
          <w:sz w:val="24"/>
          <w:szCs w:val="24"/>
        </w:rPr>
        <w:t xml:space="preserve">Low oxygen tension in stem cell niches is not merely a passive consequence of limited vascularity. Rather, it serves as an active metabolic signal: hypoxia stabilizes hypoxia-inducible factors (HIFs), which, in turn, upregulate glycolytic gene expression and suppress oxidative phosphorylation [10]. This creates a self-reinforcing circuit in which spatial hypoxia promotes the BGR, thereby reducing ROS and protecting genomic integrity.</w:t>
      </w:r>
    </w:p>
    <w:p>
      <w:pPr>
        <w:spacing w:after="160" w:line="276"/>
        <w:jc w:val="both"/>
      </w:pPr>
      <w:r>
        <w:rPr>
          <w:rFonts w:ascii="Times New Roman" w:cs="Times New Roman" w:eastAsia="Times New Roman" w:hAnsi="Times New Roman"/>
          <w:sz w:val="24"/>
          <w:szCs w:val="24"/>
        </w:rPr>
        <w:t xml:space="preserve">At the same time, redox gradients within tissues serve a dual function. While low-ROS compartments protect stem cells and cells with high genomic fidelity requirements, moderate ROS levels in adjacent zones support redox-dependent signaling, proliferative decisions, and differentiation [12,13]. Intestinal stem cells, for example, reside in a niche where the balance between hypoxia-induced ROS suppression and NADPH oxidase-derived oxidative signaling governs the decision between self-renewal and lineage commitment [13]. Thus, spatial redox gradients distribute oxidative load in a functionally organized manner, protecting critical genomic compartments while enabling adaptive signaling in others.</w:t>
      </w:r>
    </w:p>
    <w:p>
      <w:pPr>
        <w:pStyle w:val="Heading1"/>
        <w:spacing w:after="160" w:before="240"/>
      </w:pPr>
      <w:r>
        <w:rPr>
          <w:rFonts w:ascii="Times New Roman" w:cs="Times New Roman" w:eastAsia="Times New Roman" w:hAnsi="Times New Roman"/>
          <w:b/>
          <w:bCs/>
          <w:sz w:val="28"/>
          <w:szCs w:val="28"/>
        </w:rPr>
        <w:t xml:space="preserve">5. Perinuclear Mitochondrial Organization as an Intracellular Redox Buffer</w:t>
      </w:r>
    </w:p>
    <w:p>
      <w:pPr>
        <w:spacing w:after="160" w:line="276"/>
        <w:jc w:val="both"/>
      </w:pPr>
      <w:r>
        <w:rPr>
          <w:rFonts w:ascii="Times New Roman" w:cs="Times New Roman" w:eastAsia="Times New Roman" w:hAnsi="Times New Roman"/>
          <w:sz w:val="24"/>
          <w:szCs w:val="24"/>
        </w:rPr>
        <w:t xml:space="preserve">At the intracellular level, an additional layer of redox regulation is provided by the spatial control of mitochondrial function relative to the nucleus. The perinuclear region can be conceptualized as a functional regulatory compartment in which mitochondrial dynamics, mitophagy, and local redox signaling are coordinated to modulate the oxidative environment of chromatin.</w:t>
      </w:r>
    </w:p>
    <w:p>
      <w:pPr>
        <w:spacing w:after="160" w:line="276"/>
        <w:jc w:val="both"/>
      </w:pPr>
      <w:r>
        <w:rPr>
          <w:rFonts w:ascii="Times New Roman" w:cs="Times New Roman" w:eastAsia="Times New Roman" w:hAnsi="Times New Roman"/>
          <w:sz w:val="24"/>
          <w:szCs w:val="24"/>
        </w:rPr>
        <w:t xml:space="preserve">Mitochondrial clustering in the perinuclear zone has been shown to influence nuclear ROS concentrations directly. Studies in pulmonary endothelial cells demonstrated that perinuclear mitochondrial redistribution—dependent on microtubule dynamics and the motor protein dynein—results in elevated nuclear ROS, which in turn drives oxidative modifications of gene promoters and hypoxia-responsive transcriptional programs [14]. This bidirectional relationship between mitochondrial positioning and nuclear redox state underscores the importance of spatial mitochondrial organization as a regulatory mechanism.</w:t>
      </w:r>
    </w:p>
    <w:p>
      <w:pPr>
        <w:spacing w:after="160" w:line="276"/>
        <w:jc w:val="both"/>
      </w:pPr>
      <w:r>
        <w:rPr>
          <w:rFonts w:ascii="Times New Roman" w:cs="Times New Roman" w:eastAsia="Times New Roman" w:hAnsi="Times New Roman"/>
          <w:sz w:val="24"/>
          <w:szCs w:val="24"/>
        </w:rPr>
        <w:t xml:space="preserve">In cells with high requirements for genomic fidelity, the perinuclear region is associated with reduced mitochondrial oxidative activity, enhanced quality control mechanisms (including selective mitophagy and the mitochondrial unfolded protein response), and increased reliance on glycolytic metabolism [6,15]. These features collectively limit stochastic DNA damage in the immediate vicinity of the genome. Conversely, under specific signaling conditions—such as hypoxia-induced transcriptional reprogramming—perinuclear mitochondria in highly active or short-lived effector cells may support elevated ROS production to drive redox-sensitive signaling cascades [14].</w:t>
      </w:r>
    </w:p>
    <w:p>
      <w:pPr>
        <w:spacing w:after="160" w:line="276"/>
        <w:jc w:val="both"/>
      </w:pPr>
      <w:r>
        <w:rPr>
          <w:rFonts w:ascii="Times New Roman" w:cs="Times New Roman" w:eastAsia="Times New Roman" w:hAnsi="Times New Roman"/>
          <w:sz w:val="24"/>
          <w:szCs w:val="24"/>
        </w:rPr>
        <w:t xml:space="preserve">Mitochondrial quality control (MQC) in the perinuclear compartment involves the coordinated action of fission, fusion, and mitophagy pathways, which together ensure the selective elimination of damaged organelles and the maintenance of a pool of functionally competent mitochondria near the nucleus [15,16]. The efficiency of these processes is itself redox-sensitive, creating a feedback system in which the local redox environment regulates organelle quality, and organelle quality determines the local redox environment.</w:t>
      </w:r>
    </w:p>
    <w:p>
      <w:pPr>
        <w:pStyle w:val="Heading1"/>
        <w:spacing w:after="160" w:before="240"/>
      </w:pPr>
      <w:r>
        <w:rPr>
          <w:rFonts w:ascii="Times New Roman" w:cs="Times New Roman" w:eastAsia="Times New Roman" w:hAnsi="Times New Roman"/>
          <w:b/>
          <w:bCs/>
          <w:sz w:val="28"/>
          <w:szCs w:val="28"/>
        </w:rPr>
        <w:t xml:space="preserve">6. The Redox Window: An Integrative Framework</w:t>
      </w:r>
    </w:p>
    <w:p>
      <w:pPr>
        <w:spacing w:after="160" w:line="276"/>
        <w:jc w:val="both"/>
      </w:pPr>
      <w:r>
        <w:rPr>
          <w:rFonts w:ascii="Times New Roman" w:cs="Times New Roman" w:eastAsia="Times New Roman" w:hAnsi="Times New Roman"/>
          <w:sz w:val="24"/>
          <w:szCs w:val="24"/>
        </w:rPr>
        <w:t xml:space="preserve">The three levels of redox regulation described above—metabolic (BGR), spatial-tissue (redox gradients), and intracellular (perinuclear organization)—converge to define what we propose as the redox window: a constrained range of permissible oxidative states within which high-fidelity DNA replication, transcription, and chromatin organization are maintained.</w:t>
      </w:r>
    </w:p>
    <w:p>
      <w:pPr>
        <w:spacing w:after="160" w:line="276"/>
        <w:jc w:val="both"/>
      </w:pPr>
      <w:r>
        <w:rPr>
          <w:rFonts w:ascii="Times New Roman" w:cs="Times New Roman" w:eastAsia="Times New Roman" w:hAnsi="Times New Roman"/>
          <w:sz w:val="24"/>
          <w:szCs w:val="24"/>
        </w:rPr>
        <w:t xml:space="preserve">The redox window is not a fixed parameter but a cell-type-specific and context-dependent range, bounded on the lower end by the energetic requirements of the cell and on the upper end by the tolerance of the DNA repair and antioxidant systems. Cells occupying the narrowest position within this window—oocytes, early embryos, quiescent stem cells—prioritize genomic integrity at the cost of metabolic flexibility. Cells occupying broader positions within the window—differentiated effector cells, rapidly proliferating transit-amplifying cells—gain metabolic and signaling versatility at the cost of increased stochastic damage accumulation.</w:t>
      </w:r>
    </w:p>
    <w:p>
      <w:pPr>
        <w:spacing w:after="160" w:line="276"/>
        <w:jc w:val="both"/>
      </w:pPr>
      <w:r>
        <w:rPr>
          <w:rFonts w:ascii="Times New Roman" w:cs="Times New Roman" w:eastAsia="Times New Roman" w:hAnsi="Times New Roman"/>
          <w:sz w:val="24"/>
          <w:szCs w:val="24"/>
        </w:rPr>
        <w:t xml:space="preserve">This framework is consistent with the observation that disruption of redox homeostasis in either direction—excessive ROS or excessive antioxidant suppression—impairs cellular function. The redox window concept thus captures the regulatory logic of a system that must balance genomic protection with the functional demands of metabolism and signaling.</w:t>
      </w:r>
    </w:p>
    <w:p>
      <w:pPr>
        <w:spacing w:after="160" w:line="276"/>
        <w:jc w:val="both"/>
      </w:pPr>
      <w:r>
        <w:rPr>
          <w:rFonts w:ascii="Times New Roman" w:cs="Times New Roman" w:eastAsia="Times New Roman" w:hAnsi="Times New Roman"/>
          <w:sz w:val="24"/>
          <w:szCs w:val="24"/>
        </w:rPr>
        <w:t xml:space="preserve">It should be noted that the redox window framework is primarily conceptual and requires further empirical specification. In particular, quantitative boundaries of the window—in terms of specific metabolite ratios (e.g., GSH/GSSG, NAD⁺/NADH), ROS fluxes, or mitochondrial membrane potential—remain to be established for different cell types and developmental stages. Future work combining metabolomics, live-cell redox imaging, and single-cell transcriptomics will be essential to operationalize this framework.</w:t>
      </w:r>
    </w:p>
    <w:p>
      <w:pPr>
        <w:pStyle w:val="Heading1"/>
        <w:spacing w:after="160" w:before="240"/>
      </w:pPr>
      <w:r>
        <w:rPr>
          <w:rFonts w:ascii="Times New Roman" w:cs="Times New Roman" w:eastAsia="Times New Roman" w:hAnsi="Times New Roman"/>
          <w:b/>
          <w:bCs/>
          <w:sz w:val="28"/>
          <w:szCs w:val="28"/>
        </w:rPr>
        <w:t xml:space="preserve">7. Conclusions</w:t>
      </w:r>
    </w:p>
    <w:p>
      <w:pPr>
        <w:spacing w:after="160" w:line="276"/>
        <w:jc w:val="both"/>
      </w:pPr>
      <w:r>
        <w:rPr>
          <w:rFonts w:ascii="Times New Roman" w:cs="Times New Roman" w:eastAsia="Times New Roman" w:hAnsi="Times New Roman"/>
          <w:sz w:val="24"/>
          <w:szCs w:val="24"/>
        </w:rPr>
        <w:t xml:space="preserve">We propose that genome protection in cells with high requirements for genomic fidelity operates through an integrated, multi-level strategy converging on the maintenance of a narrow redox window. The basal glycolytic regime represents the metabolic foundation of this strategy, minimizing ROS generation at the source. Spatial redox gradients at the tissue level and perinuclear mitochondrial organization at the intracellular level provide additional layers of protection, buffering the nuclear environment against oxidative fluctuations.</w:t>
      </w:r>
    </w:p>
    <w:p>
      <w:pPr>
        <w:spacing w:after="160" w:line="276"/>
        <w:jc w:val="both"/>
      </w:pPr>
      <w:r>
        <w:rPr>
          <w:rFonts w:ascii="Times New Roman" w:cs="Times New Roman" w:eastAsia="Times New Roman" w:hAnsi="Times New Roman"/>
          <w:sz w:val="24"/>
          <w:szCs w:val="24"/>
        </w:rPr>
        <w:t xml:space="preserve">The concept of the redox window offers a unifying framework for understanding the seemingly disparate metabolic features of oocytes, embryonic cells, and adult stem cells. These features are not epiphenomena of developmental stage but reflect a conserved organizational principle: the prioritization of DNA's informational integrity through spatial and metabolic minimization of oxidative exposure.</w:t>
      </w:r>
    </w:p>
    <w:p>
      <w:pPr>
        <w:spacing w:after="160" w:line="276"/>
        <w:jc w:val="both"/>
      </w:pPr>
      <w:r>
        <w:rPr>
          <w:rFonts w:ascii="Times New Roman" w:cs="Times New Roman" w:eastAsia="Times New Roman" w:hAnsi="Times New Roman"/>
          <w:sz w:val="24"/>
          <w:szCs w:val="24"/>
        </w:rPr>
        <w:t xml:space="preserve">These modes of redox regulation should not be viewed as discrete categories but as extremes of a continuous regulatory spectrum, the traversal of which underlies key transitions in cellular identity—from pluripotency to differentiation, from quiescence to proliferation, and from genomic conservation to adaptive flexibility.</w:t>
      </w:r>
    </w:p>
    <w:p>
      <w:pPr>
        <w:pStyle w:val="Heading1"/>
        <w:spacing w:after="160" w:before="240"/>
      </w:pPr>
      <w:r>
        <w:rPr>
          <w:rFonts w:ascii="Times New Roman" w:cs="Times New Roman" w:eastAsia="Times New Roman" w:hAnsi="Times New Roman"/>
          <w:b/>
          <w:bCs/>
          <w:sz w:val="28"/>
          <w:szCs w:val="28"/>
        </w:rPr>
        <w:t xml:space="preserve">References</w:t>
      </w:r>
    </w:p>
    <w:p>
      <w:pPr>
        <w:spacing w:after="120"/>
        <w:ind w:left="720" w:hanging="720"/>
        <w:jc w:val="both"/>
      </w:pPr>
      <w:r>
        <w:rPr>
          <w:rFonts w:ascii="Times New Roman" w:cs="Times New Roman" w:eastAsia="Times New Roman" w:hAnsi="Times New Roman"/>
          <w:sz w:val="22"/>
          <w:szCs w:val="22"/>
        </w:rPr>
        <w:t xml:space="preserve">1. Murphy, M.P. How mitochondria produce reactive oxygen species. Biochem. J. 2009, 417, 1–13.</w:t>
      </w:r>
    </w:p>
    <w:p>
      <w:pPr>
        <w:spacing w:after="120"/>
        <w:ind w:left="720" w:hanging="720"/>
        <w:jc w:val="both"/>
      </w:pPr>
      <w:r>
        <w:rPr>
          <w:rFonts w:ascii="Times New Roman" w:cs="Times New Roman" w:eastAsia="Times New Roman" w:hAnsi="Times New Roman"/>
          <w:sz w:val="22"/>
          <w:szCs w:val="22"/>
        </w:rPr>
        <w:t xml:space="preserve">2. Poetsch, A.R. The genomics of oxidative DNA damage, repair, and resulting mutagenesis. Comput. Struct. Biotechnol. J. 2020, 18, 207–219.</w:t>
      </w:r>
    </w:p>
    <w:p>
      <w:pPr>
        <w:spacing w:after="120"/>
        <w:ind w:left="720" w:hanging="720"/>
        <w:jc w:val="both"/>
      </w:pPr>
      <w:r>
        <w:rPr>
          <w:rFonts w:ascii="Times New Roman" w:cs="Times New Roman" w:eastAsia="Times New Roman" w:hAnsi="Times New Roman"/>
          <w:sz w:val="22"/>
          <w:szCs w:val="22"/>
        </w:rPr>
        <w:t xml:space="preserve">3. Wallace, D.C. Mitochondria and cancer. Nat. Rev. Cancer 2012, 12, 685–698.</w:t>
      </w:r>
    </w:p>
    <w:p>
      <w:pPr>
        <w:spacing w:after="120"/>
        <w:ind w:left="720" w:hanging="720"/>
        <w:jc w:val="both"/>
      </w:pPr>
      <w:r>
        <w:rPr>
          <w:rFonts w:ascii="Times New Roman" w:cs="Times New Roman" w:eastAsia="Times New Roman" w:hAnsi="Times New Roman"/>
          <w:sz w:val="22"/>
          <w:szCs w:val="22"/>
        </w:rPr>
        <w:t xml:space="preserve">4. Brand, M.D. Mitochondrial generation of superoxide and hydrogen peroxide as the source of mitochondrial redox signaling. Free Radic. Biol. Med. 2016, 100, 14–31.</w:t>
      </w:r>
    </w:p>
    <w:p>
      <w:pPr>
        <w:spacing w:after="120"/>
        <w:ind w:left="720" w:hanging="720"/>
        <w:jc w:val="both"/>
      </w:pPr>
      <w:r>
        <w:rPr>
          <w:rFonts w:ascii="Times New Roman" w:cs="Times New Roman" w:eastAsia="Times New Roman" w:hAnsi="Times New Roman"/>
          <w:sz w:val="22"/>
          <w:szCs w:val="22"/>
        </w:rPr>
        <w:t xml:space="preserve">5. Dumollard, R.; Duchen, M.; Carroll, J. The role of mitochondrial function in the oocyte and embryo. Curr. Top. Dev. Biol. 2007, 77, 21–49.</w:t>
      </w:r>
    </w:p>
    <w:p>
      <w:pPr>
        <w:spacing w:after="120"/>
        <w:ind w:left="720" w:hanging="720"/>
        <w:jc w:val="both"/>
      </w:pPr>
      <w:r>
        <w:rPr>
          <w:rFonts w:ascii="Times New Roman" w:cs="Times New Roman" w:eastAsia="Times New Roman" w:hAnsi="Times New Roman"/>
          <w:sz w:val="22"/>
          <w:szCs w:val="22"/>
        </w:rPr>
        <w:t xml:space="preserve">6. Rodríguez-Nuevo, A.; Torres-Sanchez, A.; Duran, J.M.; De Guirior, C.; Martínez-Zamora, M.A.; Böke, E. Oocytes maintain ROS-free mitochondrial metabolism by suppressing complex I. Nature 2022, 607, 756–761.</w:t>
      </w:r>
    </w:p>
    <w:p>
      <w:pPr>
        <w:spacing w:after="120"/>
        <w:ind w:left="720" w:hanging="720"/>
        <w:jc w:val="both"/>
      </w:pPr>
      <w:r>
        <w:rPr>
          <w:rFonts w:ascii="Times New Roman" w:cs="Times New Roman" w:eastAsia="Times New Roman" w:hAnsi="Times New Roman"/>
          <w:sz w:val="22"/>
          <w:szCs w:val="22"/>
        </w:rPr>
        <w:t xml:space="preserve">7. Leese, H.J. Quiet please, do not disturb: a hypothesis of embryo metabolism and viability. BioEssays 2002, 24, 845–849.</w:t>
      </w:r>
    </w:p>
    <w:p>
      <w:pPr>
        <w:spacing w:after="120"/>
        <w:ind w:left="720" w:hanging="720"/>
        <w:jc w:val="both"/>
      </w:pPr>
      <w:r>
        <w:rPr>
          <w:rFonts w:ascii="Times New Roman" w:cs="Times New Roman" w:eastAsia="Times New Roman" w:hAnsi="Times New Roman"/>
          <w:sz w:val="22"/>
          <w:szCs w:val="22"/>
        </w:rPr>
        <w:t xml:space="preserve">8. Krisher, R.L.; Prather, R.S. A role for the Warburg effect in preimplantation embryo development: metabolic modification to support rapid cell proliferation. Mol. Reprod. Dev. 2012, 79, 311–320.</w:t>
      </w:r>
    </w:p>
    <w:p>
      <w:pPr>
        <w:spacing w:after="120"/>
        <w:ind w:left="720" w:hanging="720"/>
        <w:jc w:val="both"/>
      </w:pPr>
      <w:r>
        <w:rPr>
          <w:rFonts w:ascii="Times New Roman" w:cs="Times New Roman" w:eastAsia="Times New Roman" w:hAnsi="Times New Roman"/>
          <w:sz w:val="22"/>
          <w:szCs w:val="22"/>
        </w:rPr>
        <w:t xml:space="preserve">9. Simsek, T.; Kocabas, F.; Zheng, J.; Deberardinis, R.J.; Mahmoud, A.I.; Olson, E.N.; Bhatt, D.L.; Zhang, C.C.; Sadek, H.A. The distinct metabolic profile of hematopoietic stem cells reflects their location in a hypoxic niche. Cell Stem Cell 2010, 7, 380–390.</w:t>
      </w:r>
    </w:p>
    <w:p>
      <w:pPr>
        <w:spacing w:after="120"/>
        <w:ind w:left="720" w:hanging="720"/>
        <w:jc w:val="both"/>
      </w:pPr>
      <w:r>
        <w:rPr>
          <w:rFonts w:ascii="Times New Roman" w:cs="Times New Roman" w:eastAsia="Times New Roman" w:hAnsi="Times New Roman"/>
          <w:sz w:val="22"/>
          <w:szCs w:val="22"/>
        </w:rPr>
        <w:t xml:space="preserve">10. Mas-Bargues, C.; Sanz-Ros, J.; Román-Domínguez, A.; Inglés, M.; Gimeno-Mallench, L.; El Alami, M.; Viña-Almunia, J.; Gambini, J.; Viña, J.; Borrás, C. Relevance of oxygen concentration in stem cell culture for regenerative medicine. Int. J. Mol. Sci. 2019, 20, 1195.</w:t>
      </w:r>
    </w:p>
    <w:p>
      <w:pPr>
        <w:spacing w:after="120"/>
        <w:ind w:left="720" w:hanging="720"/>
        <w:jc w:val="both"/>
      </w:pPr>
      <w:r>
        <w:rPr>
          <w:rFonts w:ascii="Times New Roman" w:cs="Times New Roman" w:eastAsia="Times New Roman" w:hAnsi="Times New Roman"/>
          <w:sz w:val="22"/>
          <w:szCs w:val="22"/>
        </w:rPr>
        <w:t xml:space="preserve">11. Jang, Y.Y.; Sharkis, S.J. A low level of reactive oxygen species selects for primitive hematopoietic stem cells that may reside in the low-oxygenic niche. Blood 2007, 110, 3056–3063.</w:t>
      </w:r>
    </w:p>
    <w:p>
      <w:pPr>
        <w:spacing w:after="120"/>
        <w:ind w:left="720" w:hanging="720"/>
        <w:jc w:val="both"/>
      </w:pPr>
      <w:r>
        <w:rPr>
          <w:rFonts w:ascii="Times New Roman" w:cs="Times New Roman" w:eastAsia="Times New Roman" w:hAnsi="Times New Roman"/>
          <w:sz w:val="22"/>
          <w:szCs w:val="22"/>
        </w:rPr>
        <w:t xml:space="preserve">12. Bigarella, C.L.; Liang, R.; Ghaffari, S. Stem cells and the impact of ROS signaling. Development 2014, 141, 4206–4218.</w:t>
      </w:r>
    </w:p>
    <w:p>
      <w:pPr>
        <w:spacing w:after="120"/>
        <w:ind w:left="720" w:hanging="720"/>
        <w:jc w:val="both"/>
      </w:pPr>
      <w:r>
        <w:rPr>
          <w:rFonts w:ascii="Times New Roman" w:cs="Times New Roman" w:eastAsia="Times New Roman" w:hAnsi="Times New Roman"/>
          <w:sz w:val="22"/>
          <w:szCs w:val="22"/>
        </w:rPr>
        <w:t xml:space="preserve">13. Bhatt, M.; et al. A niche-dependent redox rheostat regulates epithelial stem cell fate. Nat. Commun. 2025, 16, 10448.</w:t>
      </w:r>
    </w:p>
    <w:p>
      <w:pPr>
        <w:spacing w:after="120"/>
        <w:ind w:left="720" w:hanging="720"/>
        <w:jc w:val="both"/>
      </w:pPr>
      <w:r>
        <w:rPr>
          <w:rFonts w:ascii="Times New Roman" w:cs="Times New Roman" w:eastAsia="Times New Roman" w:hAnsi="Times New Roman"/>
          <w:sz w:val="22"/>
          <w:szCs w:val="22"/>
        </w:rPr>
        <w:t xml:space="preserve">14. Al-Mehdi, A.B.; Pastukh, V.M.; Swiger, B.M.; Reed, D.J.; Patel, M.R.; Bardwell, G.C.; Pastukh, V.V.; Alexeyev, M.F.; Gillespie, M.N. Perinuclear mitochondrial clustering creates an oxidant-rich nuclear domain required for hypoxia-induced transcription. Sci. Signal. 2012, 5, ra47.</w:t>
      </w:r>
    </w:p>
    <w:p>
      <w:pPr>
        <w:spacing w:after="120"/>
        <w:ind w:left="720" w:hanging="720"/>
        <w:jc w:val="both"/>
      </w:pPr>
      <w:r>
        <w:rPr>
          <w:rFonts w:ascii="Times New Roman" w:cs="Times New Roman" w:eastAsia="Times New Roman" w:hAnsi="Times New Roman"/>
          <w:sz w:val="22"/>
          <w:szCs w:val="22"/>
        </w:rPr>
        <w:t xml:space="preserve">15. Ashrafi, G.; Schwarz, T.L. The pathways of mitophagy for quality control and clearance of mitochondria. Cell Death Differ. 2013, 20, 31–42.</w:t>
      </w:r>
    </w:p>
    <w:p>
      <w:pPr>
        <w:spacing w:after="120"/>
        <w:ind w:left="720" w:hanging="720"/>
        <w:jc w:val="both"/>
      </w:pPr>
      <w:r>
        <w:rPr>
          <w:rFonts w:ascii="Times New Roman" w:cs="Times New Roman" w:eastAsia="Times New Roman" w:hAnsi="Times New Roman"/>
          <w:sz w:val="22"/>
          <w:szCs w:val="22"/>
        </w:rPr>
        <w:t xml:space="preserve">16. Roca-Portoles, A.; Tait, S.W.G. Mitochondrial quality control: from molecule to organelle. Cell. Mol. Life Sci. 2021, 78, 3853–3866.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pPr>
      <w:spacing w:after="120" w:before="24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2026-05-03T14:17:24.810Z</dcterms:created>
  <dcterms:modified xsi:type="dcterms:W3CDTF">2026-05-03T14:17:24.828Z</dcterms:modified>
</cp:coreProperties>
</file>

<file path=docProps/custom.xml><?xml version="1.0" encoding="utf-8"?>
<Properties xmlns="http://schemas.openxmlformats.org/officeDocument/2006/custom-properties" xmlns:vt="http://schemas.openxmlformats.org/officeDocument/2006/docPropsVTypes"/>
</file>