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78FEB">
      <w:pPr>
        <w:pStyle w:val="2"/>
        <w:spacing w:before="0" w:beforeAutospacing="0" w:after="0" w:afterAutospacing="0" w:line="288" w:lineRule="auto"/>
        <w:rPr>
          <w:rFonts w:hint="eastAsia" w:ascii="宋体" w:hAnsi="宋体" w:eastAsia="宋体" w:cs="宋体"/>
          <w:color w:val="FF0000"/>
          <w:sz w:val="24"/>
          <w:szCs w:val="24"/>
        </w:rPr>
      </w:pPr>
      <w:r>
        <w:rPr>
          <w:rFonts w:hint="eastAsia" w:ascii="宋体" w:hAnsi="宋体" w:eastAsia="宋体" w:cs="宋体"/>
          <w:color w:val="FF0000"/>
          <w:sz w:val="24"/>
          <w:szCs w:val="24"/>
        </w:rPr>
        <w:t>1.</w:t>
      </w:r>
      <w:r>
        <w:rPr>
          <w:rFonts w:hint="eastAsia" w:ascii="宋体" w:hAnsi="宋体" w:eastAsia="宋体" w:cs="宋体"/>
          <w:color w:val="FF0000"/>
          <w:sz w:val="24"/>
          <w:szCs w:val="24"/>
        </w:rPr>
        <w:t>B</w:t>
      </w:r>
    </w:p>
    <w:p w14:paraId="7C9917C3">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sz w:val="24"/>
          <w:szCs w:val="24"/>
        </w:rPr>
        <w:t>解析：</w:t>
      </w:r>
    </w:p>
    <w:p w14:paraId="18319B8A">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sz w:val="24"/>
          <w:szCs w:val="24"/>
        </w:rPr>
        <w:t>人民对美好生活的向往，就是我们党的奋斗目标。习近平总书记指出：“要积极回应人民群众新要求新期待，坚持问题导向、目标导向，树立辩证思维和全局观念，系统研究谋划和解决法治领域人民群众反映强烈的突出问题，不断增强人民群众获得感、幸福感、安全感，用法治保障人民安居乐业。”（摘自《习近平法治思想学习纲要》）</w:t>
      </w:r>
    </w:p>
    <w:p w14:paraId="7F5C3DF5">
      <w:pPr>
        <w:pStyle w:val="2"/>
        <w:spacing w:before="0" w:beforeAutospacing="0" w:after="0" w:afterAutospacing="0" w:line="288" w:lineRule="auto"/>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2</w:t>
      </w:r>
      <w:r>
        <w:rPr>
          <w:rFonts w:hint="eastAsia" w:ascii="宋体" w:hAnsi="宋体" w:eastAsia="宋体" w:cs="宋体"/>
          <w:color w:val="FF0000"/>
          <w:sz w:val="24"/>
          <w:szCs w:val="24"/>
        </w:rPr>
        <w:t>.</w:t>
      </w:r>
      <w:r>
        <w:rPr>
          <w:rFonts w:hint="eastAsia" w:ascii="宋体" w:hAnsi="宋体" w:eastAsia="宋体" w:cs="宋体"/>
          <w:color w:val="FF0000"/>
          <w:sz w:val="24"/>
          <w:szCs w:val="24"/>
        </w:rPr>
        <w:t>A</w:t>
      </w:r>
    </w:p>
    <w:p w14:paraId="10C1E35B">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sz w:val="24"/>
          <w:szCs w:val="24"/>
        </w:rPr>
        <w:t>解析：</w:t>
      </w:r>
    </w:p>
    <w:p w14:paraId="18708AFE">
      <w:pPr>
        <w:rPr>
          <w:rFonts w:hint="eastAsia" w:ascii="宋体" w:hAnsi="宋体" w:eastAsia="宋体" w:cs="宋体"/>
          <w:sz w:val="24"/>
          <w:szCs w:val="24"/>
        </w:rPr>
      </w:pPr>
      <w:r>
        <w:rPr>
          <w:rFonts w:hint="eastAsia" w:ascii="宋体" w:hAnsi="宋体" w:eastAsia="宋体" w:cs="宋体"/>
          <w:sz w:val="24"/>
          <w:szCs w:val="24"/>
        </w:rPr>
        <w:t>《中国共产党纪律处分条例》第四十三条： 对于违纪行为所获得的经济利益，应当收缴或者责令退赔。对于主动上交的违纪所得和经济损失赔偿，应当予以接收，并按照规定收缴或者返还有关单位、个人。</w:t>
      </w:r>
    </w:p>
    <w:p w14:paraId="5A7F2345">
      <w:pPr>
        <w:pStyle w:val="2"/>
        <w:spacing w:before="0" w:beforeAutospacing="0" w:after="0" w:afterAutospacing="0" w:line="288" w:lineRule="auto"/>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3</w:t>
      </w:r>
      <w:r>
        <w:rPr>
          <w:rFonts w:hint="eastAsia" w:ascii="宋体" w:hAnsi="宋体" w:eastAsia="宋体" w:cs="宋体"/>
          <w:color w:val="FF0000"/>
          <w:sz w:val="24"/>
          <w:szCs w:val="24"/>
        </w:rPr>
        <w:t>.C</w:t>
      </w:r>
    </w:p>
    <w:p w14:paraId="5A78F611">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sz w:val="24"/>
          <w:szCs w:val="24"/>
        </w:rPr>
        <w:t>解析：</w:t>
      </w:r>
    </w:p>
    <w:p w14:paraId="1A0D175E">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sz w:val="24"/>
          <w:szCs w:val="24"/>
        </w:rPr>
        <w:t>《中国共产党纪律处分条例》：第四十四条：党纪处分决定作出后，应当在一个月内向受处分党员所在党的基层组织中的全体党员及其本人宣布，是领导班子成员的还应当向所在党组织领导班子宣布，并按照干部管理权限和组织关系将处分决定材料归入受处分者档案；对于受到撤销党内职务以上处分的，还应当在一个月内办理职务、工资、工作及其他有关待遇等相应变更手续；涉及撤销或者调整其党外职务的，应当建议党外组织及时撤销或者调整其党外职务。特殊情况下，经作出或者批准作出处分决定的组织批准，可以适当延长办理期限。办理期限最长不得超过六个月。</w:t>
      </w:r>
    </w:p>
    <w:p w14:paraId="472DB05E">
      <w:pPr>
        <w:pStyle w:val="2"/>
        <w:spacing w:before="0" w:beforeAutospacing="0" w:after="0" w:afterAutospacing="0" w:line="288" w:lineRule="auto"/>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4</w:t>
      </w:r>
      <w:r>
        <w:rPr>
          <w:rFonts w:hint="eastAsia" w:ascii="宋体" w:hAnsi="宋体" w:eastAsia="宋体" w:cs="宋体"/>
          <w:color w:val="FF0000"/>
          <w:sz w:val="24"/>
          <w:szCs w:val="24"/>
        </w:rPr>
        <w:t>.</w:t>
      </w:r>
      <w:r>
        <w:rPr>
          <w:rFonts w:hint="eastAsia" w:ascii="宋体" w:hAnsi="宋体" w:eastAsia="宋体" w:cs="宋体"/>
          <w:color w:val="FF0000"/>
          <w:sz w:val="24"/>
          <w:szCs w:val="24"/>
        </w:rPr>
        <w:t>D</w:t>
      </w:r>
    </w:p>
    <w:p w14:paraId="3ED3D533">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sz w:val="24"/>
          <w:szCs w:val="24"/>
        </w:rPr>
        <w:t>解析：</w:t>
      </w:r>
    </w:p>
    <w:p w14:paraId="5FA6D134">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sz w:val="24"/>
          <w:szCs w:val="24"/>
        </w:rPr>
        <w:t>中国特色社会主义制度是中国特色社会主义法治体系的根本制度基础，是全面推进依法治国的根本制度保障。习近平总书记指出：“衡量一个社会制度是否科学、是否先进，主要看是否符合国情、是否有效管用、是否得到人民拥护。”当今世界正经历百年未有之大变局，国与国的竞争日益激烈，归根结底是国家制度的竞争。中国发展呈现出“风景这边独好”的局面，这其中很重要的原因就是我国国家制度和法律制度具有显著优越性和强大生命力。实践证明，我们党把马克思主义基本原理同中国具体实际、同中华优秀传统文化结合起来，在古老的东方大国建立起保证亿万人民当家作主的新型国家制度，保障我国创造出经济快速发展、社会长期稳定的奇迹，也为发展中国家走向现代化提供了全新选择，为人类探索建设更好社会制度贡献了中国智慧和中国方案。（摘自《习近平法治思想学习纲要》）</w:t>
      </w:r>
    </w:p>
    <w:p w14:paraId="723C5090">
      <w:pPr>
        <w:pStyle w:val="2"/>
        <w:spacing w:before="0" w:beforeAutospacing="0" w:after="0" w:afterAutospacing="0" w:line="288" w:lineRule="auto"/>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5</w:t>
      </w:r>
      <w:r>
        <w:rPr>
          <w:rFonts w:hint="eastAsia" w:ascii="宋体" w:hAnsi="宋体" w:eastAsia="宋体" w:cs="宋体"/>
          <w:color w:val="FF0000"/>
          <w:sz w:val="24"/>
          <w:szCs w:val="24"/>
        </w:rPr>
        <w:t>.</w:t>
      </w:r>
      <w:r>
        <w:rPr>
          <w:rFonts w:hint="eastAsia" w:ascii="宋体" w:hAnsi="宋体" w:eastAsia="宋体" w:cs="宋体"/>
          <w:color w:val="FF0000"/>
          <w:sz w:val="24"/>
          <w:szCs w:val="24"/>
        </w:rPr>
        <w:t>B</w:t>
      </w:r>
    </w:p>
    <w:p w14:paraId="0EEBA92A">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sz w:val="24"/>
          <w:szCs w:val="24"/>
        </w:rPr>
        <w:t>解析：</w:t>
      </w:r>
    </w:p>
    <w:p w14:paraId="01C565B0">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sz w:val="24"/>
          <w:szCs w:val="24"/>
        </w:rPr>
        <w:t>习近平总书记指出:“坚持依法治国首先要坚持依宪治国，坚持依法执政首先要坚持依宪执政。”我国宪法以国家根本法的形式，确认了中国共产党领导人民进行革命、建设、改革的伟大斗争和根本成就，确立了国家的根本任务、指导思想、领导核心、发展道路、奋斗目标，规定了一系列基本政治制度和重要原则，规定了国家一系列大政方针，体现出鲜明的社会主义性质。特别是我国宪法确认了中国共产党领导，这是我国宪法最显著的特征，也是我国宪法得到全面贯彻实施的根本保证。我们讲坚持依宪治国、依宪执政，就包括坚持宪法确定的中国共产党领导地位不动摇，坚持宪法确定的人民民主专政的国体和人民代表大会制度的政体不动摇。（摘自《习近平法治思想学习纲要》）</w:t>
      </w:r>
    </w:p>
    <w:p w14:paraId="0839978E">
      <w:pPr>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6</w:t>
      </w:r>
      <w:r>
        <w:rPr>
          <w:rFonts w:hint="eastAsia" w:ascii="宋体" w:hAnsi="宋体" w:eastAsia="宋体" w:cs="宋体"/>
          <w:color w:val="FF0000"/>
          <w:sz w:val="24"/>
          <w:szCs w:val="24"/>
        </w:rPr>
        <w:t>.</w:t>
      </w:r>
      <w:r>
        <w:rPr>
          <w:rFonts w:hint="eastAsia" w:ascii="宋体" w:hAnsi="宋体" w:eastAsia="宋体" w:cs="宋体"/>
          <w:color w:val="FF0000"/>
          <w:sz w:val="24"/>
          <w:szCs w:val="24"/>
        </w:rPr>
        <w:t>D</w:t>
      </w:r>
    </w:p>
    <w:p w14:paraId="2477EA25">
      <w:pPr>
        <w:rPr>
          <w:rFonts w:hint="eastAsia" w:ascii="宋体" w:hAnsi="宋体" w:eastAsia="宋体" w:cs="宋体"/>
          <w:sz w:val="24"/>
          <w:szCs w:val="24"/>
        </w:rPr>
      </w:pPr>
      <w:r>
        <w:rPr>
          <w:rFonts w:hint="eastAsia" w:ascii="宋体" w:hAnsi="宋体" w:eastAsia="宋体" w:cs="宋体"/>
          <w:sz w:val="24"/>
          <w:szCs w:val="24"/>
        </w:rPr>
        <w:t>解析：</w:t>
      </w:r>
    </w:p>
    <w:p w14:paraId="275E52D4">
      <w:pPr>
        <w:rPr>
          <w:rFonts w:hint="eastAsia" w:ascii="宋体" w:hAnsi="宋体" w:eastAsia="宋体" w:cs="宋体"/>
          <w:sz w:val="24"/>
          <w:szCs w:val="24"/>
        </w:rPr>
      </w:pPr>
      <w:r>
        <w:rPr>
          <w:rFonts w:hint="eastAsia" w:ascii="宋体" w:hAnsi="宋体" w:eastAsia="宋体" w:cs="宋体"/>
          <w:sz w:val="24"/>
          <w:szCs w:val="24"/>
        </w:rPr>
        <w:t>“法者，治之端也。”习近平总书记强调:“法律是治国之重器，法治是国家治理体系和治理能力的重要依托。”全面依法治国，是国家治理领域一场广泛而深刻的革命，是实现国家治理体系和治理能力现代化的必然要求，事关我们党执政兴国，事关人民幸福安康，事关党和国家事业发展。只有全面依法治国，才能有效保障国家治理体系的系统性、规范性、协调性、稳定性，才能最大限度凝聚社会共识。（摘自《习近平法治思想学习纲要》）</w:t>
      </w:r>
    </w:p>
    <w:p w14:paraId="4ED4E041">
      <w:pPr>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7</w:t>
      </w:r>
      <w:r>
        <w:rPr>
          <w:rFonts w:hint="eastAsia" w:ascii="宋体" w:hAnsi="宋体" w:eastAsia="宋体" w:cs="宋体"/>
          <w:color w:val="FF0000"/>
          <w:sz w:val="24"/>
          <w:szCs w:val="24"/>
        </w:rPr>
        <w:t>.</w:t>
      </w:r>
      <w:r>
        <w:rPr>
          <w:rFonts w:hint="eastAsia" w:ascii="宋体" w:hAnsi="宋体" w:eastAsia="宋体" w:cs="宋体"/>
          <w:color w:val="FF0000"/>
          <w:sz w:val="24"/>
          <w:szCs w:val="24"/>
        </w:rPr>
        <w:t>A</w:t>
      </w:r>
    </w:p>
    <w:p w14:paraId="57ABF8A6">
      <w:pPr>
        <w:rPr>
          <w:rFonts w:hint="eastAsia" w:ascii="宋体" w:hAnsi="宋体" w:eastAsia="宋体" w:cs="宋体"/>
          <w:sz w:val="24"/>
          <w:szCs w:val="24"/>
        </w:rPr>
      </w:pPr>
      <w:r>
        <w:rPr>
          <w:rFonts w:hint="eastAsia" w:ascii="宋体" w:hAnsi="宋体" w:eastAsia="宋体" w:cs="宋体"/>
          <w:sz w:val="24"/>
          <w:szCs w:val="24"/>
        </w:rPr>
        <w:t>解析：</w:t>
      </w:r>
    </w:p>
    <w:p w14:paraId="7B6EECBD">
      <w:pPr>
        <w:rPr>
          <w:rFonts w:hint="eastAsia" w:ascii="宋体" w:hAnsi="宋体" w:eastAsia="宋体" w:cs="宋体"/>
          <w:sz w:val="24"/>
          <w:szCs w:val="24"/>
        </w:rPr>
      </w:pPr>
      <w:r>
        <w:rPr>
          <w:rFonts w:hint="eastAsia" w:ascii="宋体" w:hAnsi="宋体" w:eastAsia="宋体" w:cs="宋体"/>
          <w:sz w:val="24"/>
          <w:szCs w:val="24"/>
        </w:rPr>
        <w:t>监督宪法的实施，解释宪法，是宪法赋予全国人大及其常委会的重要职责。全国人大及其常委会和国家有关监督机关要担负起宪法和法律监督职责，加强对宪法和法律实施情况的监督检查，健全监督机制和程序，坚决纠正违宪违法行为。要完善人大工作机制设置，加强和改进宪法监督方面的工作。有关方面拟出台的法规规章、重要政策和重大举措，凡涉及宪法有关规定如何理解、如何适用的，都应当事先经过全国人大常委会合宪性审查，确保同宪法规定、宪法精神相符合。（摘自《习近平法治思想学习纲要》）</w:t>
      </w:r>
    </w:p>
    <w:p w14:paraId="7A1F30F9">
      <w:pPr>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8</w:t>
      </w:r>
      <w:r>
        <w:rPr>
          <w:rFonts w:hint="eastAsia" w:ascii="宋体" w:hAnsi="宋体" w:eastAsia="宋体" w:cs="宋体"/>
          <w:color w:val="FF0000"/>
          <w:sz w:val="24"/>
          <w:szCs w:val="24"/>
        </w:rPr>
        <w:t>.</w:t>
      </w:r>
      <w:r>
        <w:rPr>
          <w:rFonts w:hint="eastAsia" w:ascii="宋体" w:hAnsi="宋体" w:eastAsia="宋体" w:cs="宋体"/>
          <w:color w:val="FF0000"/>
          <w:sz w:val="24"/>
          <w:szCs w:val="24"/>
        </w:rPr>
        <w:t>A</w:t>
      </w:r>
    </w:p>
    <w:p w14:paraId="19A6C5C2">
      <w:pPr>
        <w:rPr>
          <w:rFonts w:hint="eastAsia" w:ascii="宋体" w:hAnsi="宋体" w:eastAsia="宋体" w:cs="宋体"/>
          <w:sz w:val="24"/>
          <w:szCs w:val="24"/>
        </w:rPr>
      </w:pPr>
      <w:r>
        <w:rPr>
          <w:rFonts w:hint="eastAsia" w:ascii="宋体" w:hAnsi="宋体" w:eastAsia="宋体" w:cs="宋体"/>
          <w:sz w:val="24"/>
          <w:szCs w:val="24"/>
        </w:rPr>
        <w:t>解析：</w:t>
      </w:r>
    </w:p>
    <w:p w14:paraId="2DFD5C59">
      <w:pPr>
        <w:rPr>
          <w:rFonts w:hint="eastAsia" w:ascii="宋体" w:hAnsi="宋体" w:eastAsia="宋体" w:cs="宋体"/>
          <w:sz w:val="24"/>
          <w:szCs w:val="24"/>
        </w:rPr>
      </w:pPr>
      <w:r>
        <w:rPr>
          <w:rFonts w:hint="eastAsia" w:ascii="宋体" w:hAnsi="宋体" w:eastAsia="宋体" w:cs="宋体"/>
          <w:sz w:val="24"/>
          <w:szCs w:val="24"/>
        </w:rPr>
        <w:t>党对军队绝对领导是依法治军的核心和根本要求。深入推进依法治军、从严治军，必须紧紧围绕党在新时代的强军目标，着眼全面加强革命化现代化正规化建设，坚持党对军队绝对领导，坚持战斗力标准，坚持官兵主体地位，坚持依法和从严相统一，坚持法治建设与思想政治建设相结合，创新发展依法治军理论和实践，构建完善的中国特色军事法治体系，提高国防和军队建设法治化水平。（摘自《习近平法治思想学习纲要》）</w:t>
      </w:r>
    </w:p>
    <w:p w14:paraId="5DCDD04D">
      <w:pPr>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9</w:t>
      </w:r>
      <w:r>
        <w:rPr>
          <w:rFonts w:hint="eastAsia" w:ascii="宋体" w:hAnsi="宋体" w:eastAsia="宋体" w:cs="宋体"/>
          <w:color w:val="FF0000"/>
          <w:sz w:val="24"/>
          <w:szCs w:val="24"/>
        </w:rPr>
        <w:t>.</w:t>
      </w:r>
      <w:r>
        <w:rPr>
          <w:rFonts w:hint="eastAsia" w:ascii="宋体" w:hAnsi="宋体" w:eastAsia="宋体" w:cs="宋体"/>
          <w:color w:val="FF0000"/>
          <w:sz w:val="24"/>
          <w:szCs w:val="24"/>
        </w:rPr>
        <w:t>D</w:t>
      </w:r>
    </w:p>
    <w:p w14:paraId="3BBCF23D">
      <w:pPr>
        <w:rPr>
          <w:rFonts w:hint="eastAsia" w:ascii="宋体" w:hAnsi="宋体" w:eastAsia="宋体" w:cs="宋体"/>
          <w:sz w:val="24"/>
          <w:szCs w:val="24"/>
        </w:rPr>
      </w:pPr>
      <w:r>
        <w:rPr>
          <w:rFonts w:hint="eastAsia" w:ascii="宋体" w:hAnsi="宋体" w:eastAsia="宋体" w:cs="宋体"/>
          <w:sz w:val="24"/>
          <w:szCs w:val="24"/>
        </w:rPr>
        <w:t>解析：</w:t>
      </w:r>
    </w:p>
    <w:p w14:paraId="5AA5E6F3">
      <w:pPr>
        <w:rPr>
          <w:rFonts w:hint="eastAsia" w:ascii="宋体" w:hAnsi="宋体" w:eastAsia="宋体" w:cs="宋体"/>
          <w:sz w:val="24"/>
          <w:szCs w:val="24"/>
        </w:rPr>
      </w:pPr>
      <w:r>
        <w:rPr>
          <w:rFonts w:hint="eastAsia" w:ascii="宋体" w:hAnsi="宋体" w:eastAsia="宋体" w:cs="宋体"/>
          <w:sz w:val="24"/>
          <w:szCs w:val="24"/>
        </w:rPr>
        <w:t>健全党和国家监督体系，以党内监督为主导，不断完善权力监督制度和执法执纪体系，各种监督协调贯通，形成常态长效的监督合力。加强政治、组织、队伍、人才、科技、信息等保障，为全面依法治国提供重要支撑。完善党内法规制定体制机制，注重党内法规同国家法律的衔接和协调，构建以党章为根本、若干配套党内法规为支撑的党内法规制度体系，提高党内法规执行力。（摘自《习近平法治思想学习纲要》）</w:t>
      </w:r>
    </w:p>
    <w:p w14:paraId="2B0867D2">
      <w:pPr>
        <w:rPr>
          <w:rFonts w:hint="eastAsia" w:ascii="宋体" w:hAnsi="宋体" w:eastAsia="宋体" w:cs="宋体"/>
          <w:sz w:val="24"/>
          <w:szCs w:val="24"/>
        </w:rPr>
      </w:pPr>
    </w:p>
    <w:p w14:paraId="2CDE6E02">
      <w:pPr>
        <w:rPr>
          <w:rFonts w:hint="eastAsia" w:ascii="宋体" w:hAnsi="宋体" w:eastAsia="宋体" w:cs="宋体"/>
          <w:sz w:val="24"/>
          <w:szCs w:val="24"/>
        </w:rPr>
      </w:pPr>
    </w:p>
    <w:p w14:paraId="0552EF89">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color w:val="FF0000"/>
          <w:sz w:val="24"/>
          <w:szCs w:val="24"/>
        </w:rPr>
        <w:t>1.</w:t>
      </w:r>
      <w:r>
        <w:rPr>
          <w:rFonts w:hint="eastAsia" w:ascii="宋体" w:hAnsi="宋体" w:eastAsia="宋体" w:cs="宋体"/>
          <w:color w:val="FF0000"/>
          <w:sz w:val="24"/>
          <w:szCs w:val="24"/>
        </w:rPr>
        <w:t>CD</w:t>
      </w:r>
    </w:p>
    <w:p w14:paraId="59BC1450">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sz w:val="24"/>
          <w:szCs w:val="24"/>
        </w:rPr>
        <w:t>解析：</w:t>
      </w:r>
    </w:p>
    <w:p w14:paraId="3F0D1B41">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sz w:val="24"/>
          <w:szCs w:val="24"/>
        </w:rPr>
        <w:t>《中国共产党纪律处分条例》第一百一十四条：违反有关规定自定薪酬或者滥发津贴、补贴、奖金、福利等，对直接责任者和领导责任者，情节较轻的，给予警告或者严重警告处分；情节较重的，给予撤销党内职务或者留党察看处分；情节严重的，给予开除党籍处分。</w:t>
      </w:r>
    </w:p>
    <w:p w14:paraId="5D5F6FD5">
      <w:pPr>
        <w:pStyle w:val="2"/>
        <w:spacing w:before="0" w:beforeAutospacing="0" w:after="0" w:afterAutospacing="0" w:line="288" w:lineRule="auto"/>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2</w:t>
      </w:r>
      <w:r>
        <w:rPr>
          <w:rFonts w:hint="eastAsia" w:ascii="宋体" w:hAnsi="宋体" w:eastAsia="宋体" w:cs="宋体"/>
          <w:color w:val="FF0000"/>
          <w:sz w:val="24"/>
          <w:szCs w:val="24"/>
        </w:rPr>
        <w:t>.</w:t>
      </w:r>
      <w:r>
        <w:rPr>
          <w:rFonts w:hint="eastAsia" w:ascii="宋体" w:hAnsi="宋体" w:eastAsia="宋体" w:cs="宋体"/>
          <w:color w:val="FF0000"/>
          <w:sz w:val="24"/>
          <w:szCs w:val="24"/>
        </w:rPr>
        <w:t>ACD</w:t>
      </w:r>
    </w:p>
    <w:p w14:paraId="31521FA3">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sz w:val="24"/>
          <w:szCs w:val="24"/>
        </w:rPr>
        <w:t>解析：</w:t>
      </w:r>
    </w:p>
    <w:p w14:paraId="36948137">
      <w:pPr>
        <w:pStyle w:val="2"/>
        <w:spacing w:before="0" w:beforeAutospacing="0" w:after="0" w:afterAutospacing="0" w:line="288" w:lineRule="auto"/>
        <w:rPr>
          <w:rFonts w:hint="eastAsia" w:ascii="宋体" w:hAnsi="宋体" w:eastAsia="宋体" w:cs="宋体"/>
          <w:sz w:val="24"/>
          <w:szCs w:val="24"/>
        </w:rPr>
      </w:pPr>
      <w:r>
        <w:rPr>
          <w:rFonts w:hint="eastAsia" w:ascii="宋体" w:hAnsi="宋体" w:eastAsia="宋体" w:cs="宋体"/>
          <w:sz w:val="24"/>
          <w:szCs w:val="24"/>
        </w:rPr>
        <w:t>推进全面依法治国这件大事能不能办好，最关键的是方向是不是正确、政治保证是不是坚强有力，具体讲就是要坚持党的领导，坚持中国特色社会主义制度，贯彻中国特色社会主义法治理论。这三个方面实质上是中国特色社会主义法治道路的核心要义，规定和确保了中国特色社会主义法治体系的制度属性和前进方向。（摘自《习近平法治思想学习纲要》）</w:t>
      </w:r>
    </w:p>
    <w:p w14:paraId="1F5958E8">
      <w:pPr>
        <w:pStyle w:val="2"/>
        <w:spacing w:before="0" w:beforeAutospacing="0" w:after="0" w:afterAutospacing="0" w:line="24" w:lineRule="atLeast"/>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3</w:t>
      </w:r>
      <w:r>
        <w:rPr>
          <w:rFonts w:hint="eastAsia" w:ascii="宋体" w:hAnsi="宋体" w:eastAsia="宋体" w:cs="宋体"/>
          <w:color w:val="FF0000"/>
          <w:sz w:val="24"/>
          <w:szCs w:val="24"/>
        </w:rPr>
        <w:t>.AC</w:t>
      </w:r>
    </w:p>
    <w:p w14:paraId="41B4760D">
      <w:pPr>
        <w:spacing w:line="24" w:lineRule="atLeast"/>
        <w:rPr>
          <w:rFonts w:hint="eastAsia" w:ascii="宋体" w:hAnsi="宋体" w:eastAsia="宋体" w:cs="宋体"/>
          <w:sz w:val="24"/>
          <w:szCs w:val="24"/>
        </w:rPr>
      </w:pPr>
      <w:r>
        <w:rPr>
          <w:rFonts w:hint="eastAsia" w:ascii="宋体" w:hAnsi="宋体" w:eastAsia="宋体" w:cs="宋体"/>
          <w:sz w:val="24"/>
          <w:szCs w:val="24"/>
        </w:rPr>
        <w:t>解析：领导干部要做尊法的模范，带头尊崇法治、敬畏法律。习近平总书记强调，要把尊法放在第一位，因为领导干部增强法治意识、提高法治素养，首先要解决好尊法问题。尊崇法治、敬畏法律，是领导干部必须具备的基本素质。只有内心尊崇法治，才能行为遵守法律。每个领导干部都要牢固树立宪法法律至上、法律面前人人平等、权由法定、权依法使等基本法治观念，彻底摒弃人治思想和长官意识，决不搞以言代法、以权压法。对各种危害法治、破坏法治、践踏法治的行为，领导干部要挺身而出、坚决斗争。（摘自《习近平法治思想学习纲要》）</w:t>
      </w:r>
    </w:p>
    <w:p w14:paraId="192B95E3">
      <w:pPr>
        <w:spacing w:line="24" w:lineRule="atLeast"/>
        <w:rPr>
          <w:rFonts w:hint="eastAsia" w:ascii="宋体" w:hAnsi="宋体" w:eastAsia="宋体" w:cs="宋体"/>
          <w:sz w:val="24"/>
          <w:szCs w:val="24"/>
        </w:rPr>
      </w:pPr>
    </w:p>
    <w:p w14:paraId="70120976">
      <w:pPr>
        <w:spacing w:line="24" w:lineRule="atLeast"/>
        <w:rPr>
          <w:rFonts w:hint="eastAsia" w:ascii="宋体" w:hAnsi="宋体" w:eastAsia="宋体" w:cs="宋体"/>
          <w:sz w:val="24"/>
          <w:szCs w:val="24"/>
        </w:rPr>
      </w:pPr>
      <w:bookmarkStart w:id="0" w:name="_GoBack"/>
      <w:bookmarkEnd w:id="0"/>
    </w:p>
    <w:p w14:paraId="44ABBE25">
      <w:pPr>
        <w:pStyle w:val="2"/>
        <w:spacing w:before="0" w:beforeAutospacing="0" w:after="0" w:afterAutospacing="0" w:line="288" w:lineRule="auto"/>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1</w:t>
      </w:r>
      <w:r>
        <w:rPr>
          <w:rFonts w:hint="eastAsia" w:ascii="宋体" w:hAnsi="宋体" w:eastAsia="宋体" w:cs="宋体"/>
          <w:color w:val="FF0000"/>
          <w:sz w:val="24"/>
          <w:szCs w:val="24"/>
        </w:rPr>
        <w:t>对</w:t>
      </w:r>
    </w:p>
    <w:p w14:paraId="0BAA6C7C">
      <w:pPr>
        <w:pStyle w:val="2"/>
        <w:spacing w:before="0" w:beforeAutospacing="0" w:after="0" w:afterAutospacing="0" w:line="24" w:lineRule="atLeast"/>
        <w:rPr>
          <w:rFonts w:hint="eastAsia" w:ascii="宋体" w:hAnsi="宋体" w:eastAsia="宋体" w:cs="宋体"/>
          <w:sz w:val="24"/>
          <w:szCs w:val="24"/>
        </w:rPr>
      </w:pPr>
      <w:r>
        <w:rPr>
          <w:rFonts w:hint="eastAsia" w:ascii="宋体" w:hAnsi="宋体" w:eastAsia="宋体" w:cs="宋体"/>
          <w:sz w:val="24"/>
          <w:szCs w:val="24"/>
        </w:rPr>
        <w:t>习近平总书记对宣传思想文化工作队伍的要求中，政治过硬始终是第一位。</w:t>
      </w:r>
    </w:p>
    <w:p w14:paraId="72E1CE15">
      <w:pPr>
        <w:pStyle w:val="2"/>
        <w:spacing w:before="0" w:beforeAutospacing="0" w:after="0" w:afterAutospacing="0" w:line="288" w:lineRule="auto"/>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2</w:t>
      </w:r>
      <w:r>
        <w:rPr>
          <w:rFonts w:hint="eastAsia" w:ascii="宋体" w:hAnsi="宋体" w:eastAsia="宋体" w:cs="宋体"/>
          <w:color w:val="FF0000"/>
          <w:sz w:val="24"/>
          <w:szCs w:val="24"/>
        </w:rPr>
        <w:t>.对</w:t>
      </w:r>
    </w:p>
    <w:p w14:paraId="5BABFF94">
      <w:pPr>
        <w:rPr>
          <w:rFonts w:hint="eastAsia" w:ascii="宋体" w:hAnsi="宋体" w:eastAsia="宋体" w:cs="宋体"/>
          <w:sz w:val="24"/>
          <w:szCs w:val="24"/>
        </w:rPr>
      </w:pPr>
      <w:r>
        <w:rPr>
          <w:rFonts w:hint="eastAsia" w:ascii="宋体" w:hAnsi="宋体" w:eastAsia="宋体" w:cs="宋体"/>
          <w:sz w:val="24"/>
          <w:szCs w:val="24"/>
        </w:rPr>
        <w:t>务必不忘初心、牢记使命。不忘初心，方得始终；牢记使命，才能致远。初心和使命，深刻揭示了一个政党安身立命之本和兴旺发达之要，是立党兴党强党取之不竭的力量源泉。</w:t>
      </w:r>
    </w:p>
    <w:p w14:paraId="10ADC548">
      <w:pPr>
        <w:pStyle w:val="2"/>
        <w:spacing w:before="0" w:beforeAutospacing="0" w:after="0" w:afterAutospacing="0" w:line="288" w:lineRule="auto"/>
        <w:rPr>
          <w:rFonts w:hint="eastAsia" w:ascii="宋体" w:hAnsi="宋体" w:eastAsia="宋体" w:cs="宋体"/>
          <w:color w:val="FF0000"/>
          <w:sz w:val="24"/>
          <w:szCs w:val="24"/>
        </w:rPr>
      </w:pPr>
      <w:r>
        <w:rPr>
          <w:rFonts w:hint="eastAsia" w:ascii="宋体" w:hAnsi="宋体" w:eastAsia="宋体" w:cs="宋体"/>
          <w:color w:val="FF0000"/>
          <w:sz w:val="24"/>
          <w:szCs w:val="24"/>
          <w:lang w:val="en-US" w:eastAsia="zh-CN"/>
        </w:rPr>
        <w:t>3</w:t>
      </w:r>
      <w:r>
        <w:rPr>
          <w:rFonts w:hint="eastAsia" w:ascii="宋体" w:hAnsi="宋体" w:eastAsia="宋体" w:cs="宋体"/>
          <w:color w:val="FF0000"/>
          <w:sz w:val="24"/>
          <w:szCs w:val="24"/>
        </w:rPr>
        <w:t>.错</w:t>
      </w:r>
    </w:p>
    <w:p w14:paraId="75762735">
      <w:pPr>
        <w:rPr>
          <w:rFonts w:hint="eastAsia" w:ascii="宋体" w:hAnsi="宋体" w:eastAsia="宋体" w:cs="宋体"/>
          <w:sz w:val="24"/>
          <w:szCs w:val="24"/>
        </w:rPr>
      </w:pPr>
      <w:r>
        <w:rPr>
          <w:rFonts w:hint="eastAsia" w:ascii="宋体" w:hAnsi="宋体" w:eastAsia="宋体" w:cs="宋体"/>
          <w:sz w:val="24"/>
          <w:szCs w:val="24"/>
        </w:rPr>
        <w:t>领导干部是否具有运用法治思维和法治方式的能力，直接决定着推进全面依法治国的成效，也直接决定着法治能否成为治国理政的基本方式。</w:t>
      </w:r>
    </w:p>
    <w:p w14:paraId="7614C2C0">
      <w:pPr>
        <w:rPr>
          <w:rFonts w:hint="eastAsia" w:ascii="宋体" w:hAnsi="宋体" w:eastAsia="宋体" w:cs="宋体"/>
          <w:sz w:val="24"/>
          <w:szCs w:val="24"/>
        </w:rPr>
      </w:pPr>
    </w:p>
    <w:p w14:paraId="41F9FCD3">
      <w:pPr>
        <w:rPr>
          <w:rFonts w:hint="eastAsia" w:ascii="宋体" w:hAnsi="宋体" w:eastAsia="宋体" w:cs="宋体"/>
          <w:sz w:val="24"/>
          <w:szCs w:val="24"/>
        </w:rPr>
      </w:pPr>
    </w:p>
    <w:p w14:paraId="00909D60">
      <w:pPr>
        <w:pStyle w:val="5"/>
        <w:numPr>
          <w:ilvl w:val="0"/>
          <w:numId w:val="1"/>
        </w:numPr>
        <w:spacing w:line="24" w:lineRule="atLeast"/>
        <w:ind w:firstLineChars="0"/>
        <w:rPr>
          <w:rFonts w:hint="eastAsia" w:ascii="宋体" w:hAnsi="宋体" w:eastAsia="宋体" w:cs="宋体"/>
          <w:sz w:val="24"/>
          <w:szCs w:val="24"/>
        </w:rPr>
      </w:pPr>
      <w:r>
        <w:rPr>
          <w:rFonts w:hint="eastAsia" w:ascii="宋体" w:hAnsi="宋体" w:eastAsia="宋体" w:cs="宋体"/>
          <w:sz w:val="24"/>
          <w:szCs w:val="24"/>
        </w:rPr>
        <w:t>不敢腐、不能腐、不想腐</w:t>
      </w:r>
    </w:p>
    <w:p w14:paraId="5DCC5371">
      <w:pPr>
        <w:pStyle w:val="5"/>
        <w:numPr>
          <w:ilvl w:val="0"/>
          <w:numId w:val="1"/>
        </w:numPr>
        <w:spacing w:line="24" w:lineRule="atLeast"/>
        <w:ind w:firstLineChars="0"/>
        <w:rPr>
          <w:rFonts w:hint="eastAsia" w:ascii="宋体" w:hAnsi="宋体" w:eastAsia="宋体" w:cs="宋体"/>
          <w:sz w:val="24"/>
          <w:szCs w:val="24"/>
        </w:rPr>
      </w:pPr>
      <w:r>
        <w:rPr>
          <w:rFonts w:hint="eastAsia" w:ascii="宋体" w:hAnsi="宋体" w:eastAsia="宋体" w:cs="宋体"/>
          <w:sz w:val="24"/>
          <w:szCs w:val="24"/>
        </w:rPr>
        <w:t>过频过繁</w:t>
      </w:r>
    </w:p>
    <w:p w14:paraId="3977B26D">
      <w:pPr>
        <w:pStyle w:val="5"/>
        <w:numPr>
          <w:ilvl w:val="0"/>
          <w:numId w:val="1"/>
        </w:numPr>
        <w:spacing w:line="24" w:lineRule="atLeast"/>
        <w:ind w:firstLineChars="0"/>
        <w:rPr>
          <w:rFonts w:hint="eastAsia" w:ascii="宋体" w:hAnsi="宋体" w:eastAsia="宋体" w:cs="宋体"/>
          <w:sz w:val="24"/>
          <w:szCs w:val="24"/>
        </w:rPr>
      </w:pPr>
      <w:r>
        <w:rPr>
          <w:rFonts w:hint="eastAsia" w:ascii="宋体" w:hAnsi="宋体" w:eastAsia="宋体" w:cs="宋体"/>
          <w:sz w:val="24"/>
          <w:szCs w:val="24"/>
        </w:rPr>
        <w:t>群众智慧</w:t>
      </w:r>
    </w:p>
    <w:p w14:paraId="46673ECD">
      <w:pPr>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6B4256"/>
    <w:multiLevelType w:val="multilevel"/>
    <w:tmpl w:val="196B425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BF69C0"/>
    <w:rsid w:val="46BF69C0"/>
    <w:rsid w:val="476A10AC"/>
    <w:rsid w:val="7F117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pPr>
    <w:rPr>
      <w:rFonts w:ascii="宋体" w:hAnsi="宋体" w:eastAsia="宋体" w:cs="宋体"/>
      <w:sz w:val="24"/>
      <w:szCs w:val="24"/>
    </w:rPr>
  </w:style>
  <w:style w:type="paragraph" w:styleId="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2025-10-26T14:25:00Z</dcterms:created>
  <dc:creator>無wwwi.</dc:creator>
  <cp:lastModifiedBy>無wwwi.</cp:lastModifiedBy>
  <dcterms:modified xsi:type="dcterms:W3CDTF">2025-10-26T14:31:20Z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8BCBA7E7C654481683CECFF441794ACD_11</vt:lpwstr>
  </property>
  <property fmtid="{D5CDD505-2E9C-101B-9397-08002B2CF9AE}" pid="4" name="KSOTemplateDocerSaveRecord">
    <vt:lpwstr>eyJoZGlkIjoiODk0NjhhZGYzYmZiMmUwMDRkNGVlNWU5NzRmNTNlOTMiLCJ1c2VySWQiOiI0ODI4NzMzODEifQ==</vt:lpwstr>
  </property>
</Properties>
</file>