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16C3B252" w:rsidR="002273D2" w:rsidRPr="00183226" w:rsidRDefault="00347962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Fernanda Costa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Rua F, 303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Salvador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BA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73ED2FC2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347962">
        <w:rPr>
          <w:rFonts w:ascii="HoloLens MDL2 Assets" w:hAnsi="HoloLens MDL2 Assets"/>
          <w:b/>
          <w:bCs/>
          <w:sz w:val="28"/>
          <w:szCs w:val="28"/>
        </w:rPr>
        <w:t>Fernanda Costa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50BE2DE4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347962">
        <w:rPr>
          <w:rFonts w:ascii="HoloLens MDL2 Assets" w:hAnsi="HoloLens MDL2 Assets"/>
          <w:b/>
          <w:bCs/>
          <w:sz w:val="28"/>
          <w:szCs w:val="28"/>
        </w:rPr>
        <w:t>TUV Solutions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347962"/>
    <w:rsid w:val="004A297B"/>
    <w:rsid w:val="005D73FF"/>
    <w:rsid w:val="0070169E"/>
    <w:rsid w:val="00935685"/>
    <w:rsid w:val="009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B9837-B198-43CD-8081-82BF38F28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334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