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/>
      </w:pPr>
      <w:r>
        <w:rPr>
          <w:b/>
          <w:color w:val="7A2632"/>
          <w:sz w:val="18"/>
          <w:szCs w:val="18"/>
        </w:rPr>
        <w:t xml:space="preserve">ACTA DE REUNIÓN</w:t>
      </w:r>
    </w:p>
    <w:p>
      <w:pPr>
        <w:pStyle w:val="Title"/>
      </w:pPr>
      <w:r>
        <w:t xml:space="preserve">Reunión 5 · Selección del modelo final</w:t>
      </w:r>
    </w:p>
    <w:p>
      <w:pPr>
        <w:spacing w:after="240"/>
      </w:pPr>
      <w:r>
        <w:rPr>
          <w:color w:val="4A5A60"/>
        </w:rPr>
        <w:t xml:space="preserve">ACTA-MOD-EJEMPLO-001-05  ·  Estado: </w:t>
      </w:r>
      <w:r>
        <w:rPr>
          <w:b/>
          <w:color w:val="7A2632"/>
        </w:rPr>
        <w:t xml:space="preserve">Aprobada</w:t>
      </w:r>
      <w:r>
        <w:rPr>
          <w:color w:val="4A5A60"/>
        </w:rPr>
        <w:t xml:space="preserve">  ·  Versión 1  ·  Requisito DES-D4-06.03.01</w:t>
      </w:r>
    </w:p>
    <w:p>
      <w:pPr>
        <w:pStyle w:val="Heading1"/>
        <w:keepNext/>
      </w:pPr>
      <w:r>
        <w:t xml:space="preserve">1. Datos generales</w:t>
      </w:r>
    </w:p>
    <w:tbl>
      <w:tblPr>
        <w:tblW w:w="9638" w:type="dxa"/>
        <w:tblBorders>
          <w:top w:val="single" w:sz="4" w:space="0" w:color="C9D1CE"/>
          <w:left w:val="single" w:sz="4" w:space="0" w:color="C9D1CE"/>
          <w:bottom w:val="single" w:sz="4" w:space="0" w:color="C9D1CE"/>
          <w:right w:val="single" w:sz="4" w:space="0" w:color="C9D1CE"/>
          <w:insideH w:val="single" w:sz="4" w:space="0" w:color="C9D1CE"/>
          <w:insideV w:val="single" w:sz="4" w:space="0" w:color="C9D1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2919"/>
        <w:gridCol w:w="1900"/>
        <w:gridCol w:w="2919"/>
      </w:tblGrid>
      <w:tr>
        <w:trPr>
          <w:cantSplit/>
        </w:trPr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Código de modelo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MOD-EJEMPLO-001</w:t>
            </w:r>
          </w:p>
        </w:tc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Nombre del modelo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Score de originación — ejemplo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Tier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II</w:t>
            </w:r>
          </w:p>
        </w:tc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Tipo de modelo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ML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Fecha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2026-10-20</w:t>
            </w:r>
          </w:p>
        </w:tc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Horario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10:00 – 11:15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Modalidad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Virtual</w:t>
            </w:r>
          </w:p>
        </w:tc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Lugar / enlace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Sala virtual del equipo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Secretario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Analista de modelos (ejemplo)</w:t>
            </w:r>
          </w:p>
        </w:tc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Hito del estándar</w:t>
            </w:r>
          </w:p>
        </w:tc>
        <w:tc>
          <w:tcPr>
            <w:tcW w:w="2919" w:type="dxa"/>
          </w:tcPr>
          <w:p>
            <w:pPr>
              <w:spacing w:after="0"/>
            </w:pPr>
            <w:r>
              <w:t xml:space="preserve">Acta 5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Participantes</w:t>
      </w:r>
    </w:p>
    <w:tbl>
      <w:tblPr>
        <w:tblW w:w="9638" w:type="dxa"/>
        <w:tblBorders>
          <w:top w:val="single" w:sz="4" w:space="0" w:color="C9D1CE"/>
          <w:left w:val="single" w:sz="4" w:space="0" w:color="C9D1CE"/>
          <w:bottom w:val="single" w:sz="4" w:space="0" w:color="C9D1CE"/>
          <w:right w:val="single" w:sz="4" w:space="0" w:color="C9D1CE"/>
          <w:insideH w:val="single" w:sz="4" w:space="0" w:color="C9D1CE"/>
          <w:insideV w:val="single" w:sz="4" w:space="0" w:color="C9D1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338"/>
        <w:gridCol w:w="1900"/>
        <w:gridCol w:w="1200"/>
      </w:tblGrid>
      <w:tr>
        <w:trPr>
          <w:tblHeader/>
          <w:cantSplit/>
        </w:trPr>
        <w:tc>
          <w:tcPr>
            <w:tcW w:w="32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Nombre</w:t>
            </w:r>
          </w:p>
        </w:tc>
        <w:tc>
          <w:tcPr>
            <w:tcW w:w="3338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Área</w:t>
            </w:r>
          </w:p>
        </w:tc>
        <w:tc>
          <w:tcPr>
            <w:tcW w:w="19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Rol</w:t>
            </w:r>
          </w:p>
        </w:tc>
        <w:tc>
          <w:tcPr>
            <w:tcW w:w="12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Asistió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t xml:space="preserve">Gerente de producto (ejemplo)</w:t>
            </w:r>
          </w:p>
        </w:tc>
        <w:tc>
          <w:tcPr>
            <w:tcW w:w="3338" w:type="dxa"/>
          </w:tcPr>
          <w:p>
            <w:pPr>
              <w:spacing w:after="0"/>
            </w:pPr>
            <w:r>
              <w:t xml:space="preserve">Negocio / banca usuaria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Decide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t xml:space="preserve">Jefe de modelos (ejemplo)</w:t>
            </w:r>
          </w:p>
        </w:tc>
        <w:tc>
          <w:tcPr>
            <w:tcW w:w="3338" w:type="dxa"/>
          </w:tcPr>
          <w:p>
            <w:pPr>
              <w:spacing w:after="0"/>
            </w:pPr>
            <w:r>
              <w:t xml:space="preserve">Jefatura de modelos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Aprueba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0"/>
            </w:pPr>
            <w:r>
              <w:t xml:space="preserve">Analista de modelos (ejemplo)</w:t>
            </w:r>
          </w:p>
        </w:tc>
        <w:tc>
          <w:tcPr>
            <w:tcW w:w="3338" w:type="dxa"/>
          </w:tcPr>
          <w:p>
            <w:pPr>
              <w:spacing w:after="0"/>
            </w:pPr>
            <w:r>
              <w:t xml:space="preserve">Equipo de modelos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t xml:space="preserve">Secretario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t xml:space="preserve">Sí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3. Objetivo</w:t>
      </w:r>
    </w:p>
    <w:p>
      <w:pPr>
        <w:spacing w:after="160"/>
      </w:pPr>
      <w:r>
        <w:t xml:space="preserve">Seleccionar el modelo final a partir de su desempeño, estabilidad y sentido económico.</w:t>
      </w:r>
    </w:p>
    <w:p>
      <w:pPr>
        <w:pStyle w:val="Heading1"/>
        <w:keepNext/>
      </w:pPr>
      <w:r>
        <w:t xml:space="preserve">4. Agenda</w:t>
      </w:r>
    </w:p>
    <w:p>
      <w:pPr>
        <w:spacing w:after="40"/>
      </w:pPr>
      <w:r>
        <w:rPr>
          <w:b/>
          <w:color w:val="7A2632"/>
        </w:rPr>
        <w:t xml:space="preserve">1.  </w:t>
      </w:r>
      <w:r>
        <w:t xml:space="preserve">Indicadores del modelo final (global, por mes, por segmento, meses recientes)</w:t>
      </w:r>
    </w:p>
    <w:p>
      <w:pPr>
        <w:spacing w:after="40"/>
      </w:pPr>
      <w:r>
        <w:rPr>
          <w:b/>
          <w:color w:val="7A2632"/>
        </w:rPr>
        <w:t xml:space="preserve">2.  </w:t>
      </w:r>
      <w:r>
        <w:t xml:space="preserve">Diferencia de desempeño Train vs. OOT</w:t>
      </w:r>
    </w:p>
    <w:p>
      <w:pPr>
        <w:spacing w:after="40"/>
      </w:pPr>
      <w:r>
        <w:rPr>
          <w:b/>
          <w:color w:val="7A2632"/>
        </w:rPr>
        <w:t xml:space="preserve">3.  </w:t>
      </w:r>
      <w:r>
        <w:t xml:space="preserve">Comparación con el modelo vigente</w:t>
      </w:r>
    </w:p>
    <w:p>
      <w:pPr>
        <w:spacing w:after="40"/>
      </w:pPr>
      <w:r>
        <w:rPr>
          <w:b/>
          <w:color w:val="7A2632"/>
        </w:rPr>
        <w:t xml:space="preserve">4.  </w:t>
      </w:r>
      <w:r>
        <w:t xml:space="preserve">Sentido económico de las variables finales</w:t>
      </w:r>
    </w:p>
    <w:p>
      <w:pPr>
        <w:spacing w:after="80"/>
      </w:pPr>
    </w:p>
    <w:p>
      <w:pPr>
        <w:pStyle w:val="Heading1"/>
        <w:keepNext/>
      </w:pPr>
      <w:r>
        <w:t xml:space="preserve">5. Desarrollo de la reunión</w:t>
      </w:r>
    </w:p>
    <w:p>
      <w:pPr>
        <w:spacing w:after="120"/>
      </w:pPr>
      <w:r>
        <w:t xml:space="preserve">Se presentaron tres modelos candidatos (XGBoost, LightGBM y logística WOE como benchmark). El XGBoost obtuvo Gini OOT de 52.1 frente a 54.0 en Train (diferencia de 1.9 pts, dentro de U-11) y supera al modelo vigente en 6.4 pts en las cosechas aprobadas de los últimos seis meses.</w:t>
      </w:r>
    </w:p>
    <w:p>
      <w:pPr>
        <w:spacing w:after="120"/>
      </w:pPr>
      <w:r>
        <w:t xml:space="preserve">Negocio revisó el sentido económico de las 24 variables finales; se pidió retirar una variable de canal por riesgo de sesgo operativo.</w:t>
      </w:r>
    </w:p>
    <w:p>
      <w:pPr>
        <w:pStyle w:val="Heading1"/>
        <w:keepNext/>
      </w:pPr>
      <w:r>
        <w:t xml:space="preserve">6. Decisiones</w:t>
      </w:r>
    </w:p>
    <w:tbl>
      <w:tblPr>
        <w:tblW w:w="9638" w:type="dxa"/>
        <w:tblBorders>
          <w:top w:val="single" w:sz="4" w:space="0" w:color="C9D1CE"/>
          <w:left w:val="single" w:sz="4" w:space="0" w:color="C9D1CE"/>
          <w:bottom w:val="single" w:sz="4" w:space="0" w:color="C9D1CE"/>
          <w:right w:val="single" w:sz="4" w:space="0" w:color="C9D1CE"/>
          <w:insideH w:val="single" w:sz="4" w:space="0" w:color="C9D1CE"/>
          <w:insideV w:val="single" w:sz="4" w:space="0" w:color="C9D1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0"/>
        <w:gridCol w:w="4100"/>
        <w:gridCol w:w="1700"/>
        <w:gridCol w:w="1800"/>
        <w:gridCol w:w="1588"/>
      </w:tblGrid>
      <w:tr>
        <w:trPr>
          <w:tblHeader/>
          <w:cantSplit/>
        </w:trPr>
        <w:tc>
          <w:tcPr>
            <w:tcW w:w="45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#</w:t>
            </w:r>
          </w:p>
        </w:tc>
        <w:tc>
          <w:tcPr>
            <w:tcW w:w="41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Decisión</w:t>
            </w:r>
          </w:p>
        </w:tc>
        <w:tc>
          <w:tcPr>
            <w:tcW w:w="17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Requisito</w:t>
            </w:r>
          </w:p>
        </w:tc>
        <w:tc>
          <w:tcPr>
            <w:tcW w:w="18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Responsable</w:t>
            </w:r>
          </w:p>
        </w:tc>
        <w:tc>
          <w:tcPr>
            <w:tcW w:w="1588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Estado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4100" w:type="dxa"/>
          </w:tcPr>
          <w:p>
            <w:pPr>
              <w:spacing w:after="0"/>
            </w:pPr>
            <w:r>
              <w:t xml:space="preserve">Modelo final seleccionado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DES-D4-06.03.01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Gerente de producto (ejemplo)</w:t>
            </w:r>
          </w:p>
        </w:tc>
        <w:tc>
          <w:tcPr>
            <w:tcW w:w="1588" w:type="dxa"/>
          </w:tcPr>
          <w:p>
            <w:pPr>
              <w:spacing w:after="0"/>
            </w:pPr>
            <w:r>
              <w:t xml:space="preserve">Acordada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100" w:type="dxa"/>
          </w:tcPr>
          <w:p>
            <w:pPr>
              <w:spacing w:after="0"/>
            </w:pPr>
            <w:r>
              <w:t xml:space="preserve">Diferencia de Gini Train–OOT ≤ 10 pts (o excepción sustentada)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U-11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Jefe de modelos (ejemplo)</w:t>
            </w:r>
          </w:p>
        </w:tc>
        <w:tc>
          <w:tcPr>
            <w:tcW w:w="1588" w:type="dxa"/>
          </w:tcPr>
          <w:p>
            <w:pPr>
              <w:spacing w:after="0"/>
            </w:pPr>
            <w:r>
              <w:t xml:space="preserve">Acordada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4100" w:type="dxa"/>
          </w:tcPr>
          <w:p>
            <w:pPr>
              <w:spacing w:after="0"/>
            </w:pPr>
            <w:r>
              <w:t xml:space="preserve">Variables finales con sentido económico validado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DES-D4-05.02.02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Jefe de modelos (ejemplo)</w:t>
            </w:r>
          </w:p>
        </w:tc>
        <w:tc>
          <w:tcPr>
            <w:tcW w:w="1588" w:type="dxa"/>
          </w:tcPr>
          <w:p>
            <w:pPr>
              <w:spacing w:after="0"/>
            </w:pPr>
            <w:r>
              <w:t xml:space="preserve">Acordada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7. Excepciones a umbrales</w:t>
      </w:r>
    </w:p>
    <w:p>
      <w:pPr>
        <w:spacing w:after="160"/>
      </w:pPr>
      <w:r>
        <w:rPr>
          <w:i/>
          <w:color w:val="4A5A60"/>
        </w:rPr>
        <w:t xml:space="preserve">No se registraron excepciones.</w:t>
      </w:r>
    </w:p>
    <w:p>
      <w:pPr>
        <w:pStyle w:val="Heading1"/>
        <w:keepNext/>
      </w:pPr>
      <w:r>
        <w:t xml:space="preserve">8. Acuerdos y pendientes</w:t>
      </w:r>
    </w:p>
    <w:tbl>
      <w:tblPr>
        <w:tblW w:w="9638" w:type="dxa"/>
        <w:tblBorders>
          <w:top w:val="single" w:sz="4" w:space="0" w:color="C9D1CE"/>
          <w:left w:val="single" w:sz="4" w:space="0" w:color="C9D1CE"/>
          <w:bottom w:val="single" w:sz="4" w:space="0" w:color="C9D1CE"/>
          <w:right w:val="single" w:sz="4" w:space="0" w:color="C9D1CE"/>
          <w:insideH w:val="single" w:sz="4" w:space="0" w:color="C9D1CE"/>
          <w:insideV w:val="single" w:sz="4" w:space="0" w:color="C9D1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0"/>
        <w:gridCol w:w="4500"/>
        <w:gridCol w:w="2000"/>
        <w:gridCol w:w="1588"/>
        <w:gridCol w:w="1100"/>
      </w:tblGrid>
      <w:tr>
        <w:trPr>
          <w:tblHeader/>
          <w:cantSplit/>
        </w:trPr>
        <w:tc>
          <w:tcPr>
            <w:tcW w:w="45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#</w:t>
            </w:r>
          </w:p>
        </w:tc>
        <w:tc>
          <w:tcPr>
            <w:tcW w:w="45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Acción</w:t>
            </w:r>
          </w:p>
        </w:tc>
        <w:tc>
          <w:tcPr>
            <w:tcW w:w="20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Responsable</w:t>
            </w:r>
          </w:p>
        </w:tc>
        <w:tc>
          <w:tcPr>
            <w:tcW w:w="1588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Fecha compromiso</w:t>
            </w:r>
          </w:p>
        </w:tc>
        <w:tc>
          <w:tcPr>
            <w:tcW w:w="11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Estado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Reentrenar sin la variable de canal y confirmar Gini OOT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Analista de modelos (ejemplo)</w:t>
            </w:r>
          </w:p>
        </w:tc>
        <w:tc>
          <w:tcPr>
            <w:tcW w:w="1588" w:type="dxa"/>
          </w:tcPr>
          <w:p>
            <w:pPr>
              <w:spacing w:after="0"/>
            </w:pPr>
            <w:r>
              <w:t xml:space="preserve">2026-10-24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Abierto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9. Evidencias y entregables revisados</w:t>
      </w:r>
    </w:p>
    <w:p>
      <w:pPr>
        <w:spacing w:after="40"/>
      </w:pPr>
      <w:r>
        <w:rPr>
          <w:color w:val="7A2632"/>
        </w:rPr>
        <w:t xml:space="preserve">▪  </w:t>
      </w:r>
      <w:r>
        <w:t xml:space="preserve">PPT 9 · Indicadores del modelo final</w:t>
      </w:r>
    </w:p>
    <w:p>
      <w:pPr>
        <w:spacing w:after="40"/>
      </w:pPr>
      <w:r>
        <w:rPr>
          <w:color w:val="7A2632"/>
        </w:rPr>
        <w:t xml:space="preserve">▪  </w:t>
      </w:r>
      <w:r>
        <w:t xml:space="preserve">PPT 10 · Comparación con el modelo vigente</w:t>
      </w:r>
    </w:p>
    <w:p>
      <w:pPr>
        <w:spacing w:after="80"/>
      </w:pPr>
    </w:p>
    <w:p>
      <w:pPr>
        <w:pStyle w:val="Heading1"/>
        <w:keepNext/>
      </w:pPr>
      <w:r>
        <w:t xml:space="preserve">10. Conformidad</w:t>
      </w:r>
    </w:p>
    <w:tbl>
      <w:tblPr>
        <w:tblW w:w="9638" w:type="dxa"/>
        <w:tblBorders>
          <w:top w:val="single" w:sz="4" w:space="0" w:color="C9D1CE"/>
          <w:left w:val="single" w:sz="4" w:space="0" w:color="C9D1CE"/>
          <w:bottom w:val="single" w:sz="4" w:space="0" w:color="C9D1CE"/>
          <w:right w:val="single" w:sz="4" w:space="0" w:color="C9D1CE"/>
          <w:insideH w:val="single" w:sz="4" w:space="0" w:color="C9D1CE"/>
          <w:insideV w:val="single" w:sz="4" w:space="0" w:color="C9D1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2200"/>
        <w:gridCol w:w="1300"/>
        <w:gridCol w:w="1200"/>
        <w:gridCol w:w="1100"/>
        <w:gridCol w:w="1838"/>
      </w:tblGrid>
      <w:tr>
        <w:trPr>
          <w:tblHeader/>
          <w:cantSplit/>
        </w:trPr>
        <w:tc>
          <w:tcPr>
            <w:tcW w:w="20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Nombre</w:t>
            </w:r>
          </w:p>
        </w:tc>
        <w:tc>
          <w:tcPr>
            <w:tcW w:w="22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Área / cargo</w:t>
            </w:r>
          </w:p>
        </w:tc>
        <w:tc>
          <w:tcPr>
            <w:tcW w:w="13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Conformidad</w:t>
            </w:r>
          </w:p>
        </w:tc>
        <w:tc>
          <w:tcPr>
            <w:tcW w:w="12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Fecha</w:t>
            </w:r>
          </w:p>
        </w:tc>
        <w:tc>
          <w:tcPr>
            <w:tcW w:w="11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Medio</w:t>
            </w:r>
          </w:p>
        </w:tc>
        <w:tc>
          <w:tcPr>
            <w:tcW w:w="1838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Firma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t xml:space="preserve">Gerente de producto (ejemplo)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Negocio / banca usuaria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>Conforme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t xml:space="preserve">2026-10-21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Correo</w:t>
            </w:r>
          </w:p>
        </w:tc>
        <w:tc>
          <w:tcPr>
            <w:tcW w:w="1838" w:type="dxa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t xml:space="preserve">Jefe de modelos (ejemplo)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Jefatura de modelos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t xml:space="preserve">Conforme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t xml:space="preserve">2026-10-21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t xml:space="preserve">Correo</w:t>
            </w:r>
          </w:p>
        </w:tc>
        <w:tc>
          <w:tcPr>
            <w:tcW w:w="1838" w:type="dxa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11. Control de cambios</w:t>
      </w:r>
    </w:p>
    <w:tbl>
      <w:tblPr>
        <w:tblW w:w="9638" w:type="dxa"/>
        <w:tblBorders>
          <w:top w:val="single" w:sz="4" w:space="0" w:color="C9D1CE"/>
          <w:left w:val="single" w:sz="4" w:space="0" w:color="C9D1CE"/>
          <w:bottom w:val="single" w:sz="4" w:space="0" w:color="C9D1CE"/>
          <w:right w:val="single" w:sz="4" w:space="0" w:color="C9D1CE"/>
          <w:insideH w:val="single" w:sz="4" w:space="0" w:color="C9D1CE"/>
          <w:insideV w:val="single" w:sz="4" w:space="0" w:color="C9D1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0"/>
        <w:gridCol w:w="1600"/>
        <w:gridCol w:w="7038"/>
      </w:tblGrid>
      <w:tr>
        <w:trPr>
          <w:tblHeader/>
          <w:cantSplit/>
        </w:trPr>
        <w:tc>
          <w:tcPr>
            <w:tcW w:w="10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Versión</w:t>
            </w:r>
          </w:p>
        </w:tc>
        <w:tc>
          <w:tcPr>
            <w:tcW w:w="1600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Fecha</w:t>
            </w:r>
          </w:p>
        </w:tc>
        <w:tc>
          <w:tcPr>
            <w:tcW w:w="7038" w:type="dxa"/>
            <w:shd w:val="clear" w:color="auto" w:fill="EAEFEC"/>
          </w:tcPr>
          <w:p>
            <w:pPr>
              <w:spacing w:after="0"/>
            </w:pPr>
            <w:r>
              <w:rPr>
                <w:b/>
                <w:color w:val="1B2A2F"/>
              </w:rPr>
              <w:t xml:space="preserve">Cambio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t xml:space="preserve">2026-10-20</w:t>
            </w:r>
          </w:p>
        </w:tc>
        <w:tc>
          <w:tcPr>
            <w:tcW w:w="7038" w:type="dxa"/>
          </w:tcPr>
          <w:p>
            <w:pPr>
              <w:spacing w:after="0"/>
            </w:pPr>
            <w:r>
              <w:t xml:space="preserve">Creación del acta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t xml:space="preserve">2026-10-21</w:t>
            </w:r>
          </w:p>
        </w:tc>
        <w:tc>
          <w:tcPr>
            <w:tcW w:w="7038" w:type="dxa"/>
          </w:tcPr>
          <w:p>
            <w:pPr>
              <w:spacing w:after="0"/>
            </w:pPr>
            <w:r>
              <w:t xml:space="preserve">Aprobada</w:t>
            </w:r>
          </w:p>
        </w:tc>
      </w:tr>
    </w:tbl>
    <w:p>
      <w:pPr>
        <w:spacing w:after="120"/>
      </w:pPr>
    </w:p>
    <w:sectPr>
      <w:headerReference w:type="default" r:id="rIdH"/>
      <w:footerReference w:type="default" r:id="rIdF"/>
      <w:pgSz w:w="11906" w:h="16838"/>
      <w:pgMar w:top="1418" w:right="1134" w:bottom="1247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1CE"/>
      </w:pBdr>
      <w:tabs>
        <w:tab w:val="right" w:pos="9638"/>
      </w:tabs>
    </w:pPr>
    <w:r>
      <w:rPr>
        <w:b/>
        <w:color w:val="1B2A2F"/>
        <w:sz w:val="16"/>
        <w:szCs w:val="16"/>
      </w:rPr>
      <w:t xml:space="preserve">Yuri Plasencia — Analytics Pricing &amp; Revenue Management</w:t>
    </w:r>
    <w:r>
      <w:rPr>
        <w:color w:val="4A5A60"/>
        <w:sz w:val="16"/>
        <w:szCs w:val="16"/>
      </w:rPr>
      <w:t xml:space="preserve">  ·  Uso interno</w:t>
    </w:r>
    <w:r>
      <w:tab/>
    </w:r>
    <w:r>
      <w:rPr>
        <w:color w:val="4A5A60"/>
        <w:sz w:val="16"/>
        <w:szCs w:val="16"/>
      </w:rPr>
      <w:t xml:space="preserve">Página </w:t>
    </w:r>
    <w:r>
      <w:rPr>
        <w:color w:val="4A5A60"/>
        <w:sz w:val="16"/>
      </w:rPr>
      <w:fldChar w:fldCharType="begin"/>
    </w:r>
    <w:r>
      <w:rPr>
        <w:color w:val="4A5A60"/>
        <w:sz w:val="16"/>
      </w:rPr>
      <w:instrText xml:space="preserve"> PAGE </w:instrText>
    </w:r>
    <w:r>
      <w:rPr>
        <w:color w:val="4A5A60"/>
        <w:sz w:val="16"/>
      </w:rPr>
      <w:fldChar w:fldCharType="separate"/>
    </w:r>
    <w:r>
      <w:rPr>
        <w:color w:val="4A5A60"/>
        <w:sz w:val="16"/>
      </w:rPr>
      <w:t>1</w:t>
    </w:r>
    <w:r>
      <w:rPr>
        <w:color w:val="4A5A60"/>
        <w:sz w:val="16"/>
      </w:rPr>
      <w:fldChar w:fldCharType="end"/>
    </w:r>
    <w:r>
      <w:rPr>
        <w:color w:val="4A5A60"/>
        <w:sz w:val="16"/>
        <w:szCs w:val="16"/>
      </w:rPr>
      <w:t xml:space="preserve"> de </w:t>
    </w:r>
    <w:r>
      <w:rPr>
        <w:color w:val="4A5A60"/>
        <w:sz w:val="16"/>
      </w:rPr>
      <w:fldChar w:fldCharType="begin"/>
    </w:r>
    <w:r>
      <w:rPr>
        <w:color w:val="4A5A60"/>
        <w:sz w:val="16"/>
      </w:rPr>
      <w:instrText xml:space="preserve"> NUMPAGES </w:instrText>
    </w:r>
    <w:r>
      <w:rPr>
        <w:color w:val="4A5A60"/>
        <w:sz w:val="16"/>
      </w:rPr>
      <w:fldChar w:fldCharType="separate"/>
    </w:r>
    <w:r>
      <w:rPr>
        <w:color w:val="4A5A60"/>
        <w:sz w:val="16"/>
      </w:rPr>
      <w:t>1</w:t>
    </w:r>
    <w:r>
      <w:rPr>
        <w:color w:val="4A5A60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7A2632"/>
      </w:pBdr>
      <w:tabs>
        <w:tab w:val="right" w:pos="9638"/>
      </w:tabs>
    </w:pPr>
    <w:r>
      <w:rPr>
        <w:b/>
        <w:color w:val="7A2632"/>
        <w:sz w:val="16"/>
        <w:szCs w:val="16"/>
      </w:rPr>
      <w:t xml:space="preserve">ESTÁNDARES DE MODELOS EN BANCA</w:t>
    </w:r>
    <w:r>
      <w:tab/>
    </w:r>
    <w:r>
      <w:rPr>
        <w:color w:val="4A5A60"/>
        <w:sz w:val="16"/>
        <w:szCs w:val="16"/>
      </w:rPr>
      <w:t xml:space="preserve">ACTA-MOD-EJEMPLO-001-05  ·  MOD-EJEMPLO-001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1B2A2F"/>
        <w:sz w:val="21"/>
        <w:szCs w:val="21"/>
        <w:lang w:val="es-PE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</w:pPr>
    <w:rPr>
      <w:rFonts w:ascii="Georgia" w:hAnsi="Georgia"/>
      <w:color w:val="1B2A2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2" w:color="C9D1CE"/>
      </w:pBdr>
      <w:spacing w:before="280" w:after="100"/>
      <w:outlineLvl w:val="0"/>
    </w:pPr>
    <w:rPr>
      <w:rFonts w:ascii="Georgia" w:hAnsi="Georgia"/>
      <w:b/>
      <w:color w:val="7A2632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Estándares de Modelos en Banca</Application>
  <Company>Yuri Plasencia — Analytics Pricing &amp; Revenue Management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ACTA-MOD-EJEMPLO-001-05 · Reunión 5 · Selección del modelo final</dc:title>
  <dc:subject>MOD-EJEMPLO-001 · Score de originación — ejemplo</dc:subject>
  <dc:creator>Estándares de Modelos en Banca</dc:creator>
  <cp:keywords>acta; R5; MOD-EJEMPLO-001</cp:keywords>
  <dcterms:created xsi:type="dcterms:W3CDTF">2026-10-17T16:44:49Z</dcterms:created>
  <dcterms:modified xsi:type="dcterms:W3CDTF">2026-10-17T16:44:49Z</dcterms:modified>
</cp:coreProperties>
</file>