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Score de originación de tarjeta de crédito</w:t>
      </w:r>
    </w:p>
    <w:p>
      <w:pPr>
        <w:pStyle w:val="Subtitle"/>
      </w:pPr>
      <w:r>
        <w:t xml:space="preserve">Documento metodológico del modelo · MOD-EJEMPLO-001</w:t>
      </w:r>
    </w:p>
    <w:p>
      <w:pPr>
        <w:pStyle w:val="Author"/>
      </w:pPr>
      <w:r>
        <w:t xml:space="preserve">Analista de modelos (ejemplo) (Desarrollo)</w:t>
      </w:r>
    </w:p>
    <w:p>
      <w:pPr>
        <w:pStyle w:val="Author"/>
      </w:pPr>
      <w:r>
        <w:t xml:space="preserve">Jefe de modelos (ejemplo) (Revisión)</w:t>
      </w:r>
    </w:p>
    <w:p>
      <w:pPr>
        <w:pStyle w:val="Date"/>
      </w:pPr>
      <w:r>
        <w:t xml:space="preserve">2026-10-20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control-del-documento"/>
    <w:p>
      <w:pPr>
        <w:pStyle w:val="Heading1"/>
      </w:pPr>
      <w:r>
        <w:t xml:space="preserve">Control del documento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 de modelo</w:t>
            </w:r>
          </w:p>
        </w:tc>
        <w:tc>
          <w:tcPr/>
          <w:p>
            <w:pPr>
              <w:pStyle w:val="Compact"/>
            </w:pPr>
            <w:r>
              <w:t xml:space="preserve">MOD-EJEMPLO-001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Score de originación TC — ejemplo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Estándar aplicado</w:t>
            </w:r>
          </w:p>
        </w:tc>
        <w:tc>
          <w:tcPr/>
          <w:p>
            <w:pPr>
              <w:pStyle w:val="Compact"/>
            </w:pPr>
            <w:r>
              <w:t xml:space="preserve">Desarrollo · Tier II · Machine learning · enfoque ágil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Versión y estado</w:t>
            </w:r>
          </w:p>
        </w:tc>
        <w:tc>
          <w:tcPr/>
          <w:p>
            <w:pPr>
              <w:pStyle w:val="Compact"/>
            </w:pPr>
            <w:r>
              <w:t xml:space="preserve">1.0 · Para Comité de Modelos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Clasificación</w:t>
            </w:r>
          </w:p>
        </w:tc>
        <w:tc>
          <w:tcPr/>
          <w:p>
            <w:pPr>
              <w:pStyle w:val="Compact"/>
            </w:pPr>
            <w:r>
              <w:t xml:space="preserve">Uso interno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Versión del estándar</w:t>
            </w:r>
          </w:p>
        </w:tc>
        <w:tc>
          <w:tcPr/>
          <w:p>
            <w:pPr>
              <w:pStyle w:val="Compact"/>
            </w:pPr>
            <w:r>
              <w:t xml:space="preserve">Estándares de Modelos en Banca v3.0.0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Control de cambios</w:t>
      </w:r>
      <w:r>
        <w:t xml:space="preserve"> </w:t>
      </w:r>
      <w:r>
        <w:t xml:space="preserve">(DES-D4-11.01.03)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Autor</w:t>
            </w:r>
          </w:p>
        </w:tc>
        <w:tc>
          <w:tcPr/>
          <w:p>
            <w:pPr>
              <w:pStyle w:val="Compact"/>
            </w:pPr>
            <w:r>
              <w:t xml:space="preserve">Cambio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2026-10-20</w:t>
            </w:r>
          </w:p>
        </w:tc>
        <w:tc>
          <w:tcPr/>
          <w:p>
            <w:pPr>
              <w:pStyle w:val="Compact"/>
            </w:pPr>
            <w:r>
              <w:t xml:space="preserve">Analista de modelos (ejemplo)</w:t>
            </w:r>
          </w:p>
        </w:tc>
        <w:tc>
          <w:tcPr/>
          <w:p>
            <w:pPr>
              <w:pStyle w:val="Compact"/>
            </w:pPr>
            <w:r>
              <w:t xml:space="preserve">Versión para Comité de Modelos</w:t>
            </w:r>
          </w:p>
        </w:tc>
      </w:tr>
    </w:tbl>
    <w:bookmarkEnd w:id="9"/>
    <w:bookmarkStart w:id="10" w:name="resumen-ejecutivo"/>
    <w:p>
      <w:pPr>
        <w:pStyle w:val="Heading1"/>
      </w:pPr>
      <w:r>
        <w:t xml:space="preserve">Resumen ejecutivo</w:t>
      </w:r>
    </w:p>
    <w:p>
      <w:pPr>
        <w:pStyle w:val="FirstParagraph"/>
      </w:pPr>
      <w:r>
        <w:t xml:space="preserve">El modelo es un gradient boosting con restricciones monotónicas sobre 24 variables de buró, de relación con el banco y de la solicitud. Alcanza un Gini OOT de 52.1 (54.0 en entrenamiento; diferencia de 1.9 pts) y supera en 6.4 pts al modelo vigente en el mes OOT, la última cosecha con desempeño completo. Su uso propuesto reduce en 0.8 pp la mora a 12 meses de la cosecha manteniendo el volumen de aprobación.</w:t>
      </w:r>
    </w:p>
    <w:bookmarkEnd w:id="10"/>
    <w:bookmarkStart w:id="11" w:name="propósito-uso-y-alcance"/>
    <w:p>
      <w:pPr>
        <w:pStyle w:val="Heading1"/>
      </w:pPr>
      <w:r>
        <w:t xml:space="preserve">Propósito, uso y alcance</w:t>
      </w:r>
    </w:p>
    <w:p>
      <w:pPr>
        <w:pStyle w:val="FirstParagraph"/>
      </w:pPr>
      <w:r>
        <w:rPr>
          <w:b/>
          <w:bCs/>
        </w:rPr>
        <w:t xml:space="preserve">Propósito.</w:t>
      </w:r>
      <w:r>
        <w:t xml:space="preserve"> </w:t>
      </w:r>
      <w:r>
        <w:t xml:space="preserve">Ordenar por riesgo las solicitudes de tarjeta de crédito para sustentar la decisión de aprobación y el tramo de línea inicial.</w:t>
      </w:r>
    </w:p>
    <w:p>
      <w:pPr>
        <w:pStyle w:val="BodyText"/>
      </w:pPr>
      <w:r>
        <w:rPr>
          <w:b/>
          <w:bCs/>
        </w:rPr>
        <w:t xml:space="preserve">Uso aprobado.</w:t>
      </w:r>
      <w:r>
        <w:t xml:space="preserve"> </w:t>
      </w:r>
      <w:r>
        <w:t xml:space="preserve">Admisión de solicitudes de tarjeta de crédito de personas naturales</w:t>
      </w:r>
    </w:p>
    <w:p>
      <w:pPr>
        <w:pStyle w:val="BodyText"/>
      </w:pPr>
      <w:r>
        <w:rPr>
          <w:b/>
          <w:bCs/>
        </w:rPr>
        <w:t xml:space="preserve">Usos no permitidos.</w:t>
      </w:r>
    </w:p>
    <w:p>
      <w:pPr>
        <w:pStyle w:val="Compact"/>
        <w:numPr>
          <w:ilvl w:val="0"/>
          <w:numId w:val="1001"/>
        </w:numPr>
      </w:pPr>
      <w:r>
        <w:t xml:space="preserve">Pricing individual sin un modelo de respuesta aprobado (estándar PRC).</w:t>
      </w:r>
    </w:p>
    <w:p>
      <w:pPr>
        <w:pStyle w:val="Compact"/>
        <w:numPr>
          <w:ilvl w:val="0"/>
          <w:numId w:val="1001"/>
        </w:numPr>
      </w:pPr>
      <w:r>
        <w:t xml:space="preserve">Clientes con más de 6 meses de antigüedad (corresponde el modelo de comportamiento).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Dueño del modelo</w:t>
            </w:r>
          </w:p>
        </w:tc>
        <w:tc>
          <w:tcPr/>
          <w:p>
            <w:pPr>
              <w:pStyle w:val="Compact"/>
            </w:pPr>
            <w:r>
              <w:t xml:space="preserve">Gerencia de producto de tarjetas (ejemplo)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Modelo que reemplaza</w:t>
            </w:r>
          </w:p>
        </w:tc>
        <w:tc>
          <w:tcPr/>
          <w:p>
            <w:pPr>
              <w:pStyle w:val="Compact"/>
            </w:pPr>
            <w:r>
              <w:t xml:space="preserve">MOD-EJEMPLO-000 (versión 2021)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Categoría (Tier)</w:t>
            </w:r>
          </w:p>
        </w:tc>
        <w:tc>
          <w:tcPr/>
          <w:p>
            <w:pPr>
              <w:pStyle w:val="Compact"/>
            </w:pPr>
            <w:r>
              <w:t xml:space="preserve">II — determina la profundidad de validación y seguimiento (U-35)</w:t>
            </w:r>
          </w:p>
        </w:tc>
      </w:tr>
    </w:tbl>
    <w:bookmarkEnd w:id="11"/>
    <w:bookmarkStart w:id="16" w:name="datos"/>
    <w:p>
      <w:pPr>
        <w:pStyle w:val="Heading1"/>
      </w:pPr>
      <w:r>
        <w:t xml:space="preserve">Datos</w:t>
      </w:r>
    </w:p>
    <w:bookmarkStart w:id="12" w:name="fuentes-y-no-anticipación"/>
    <w:p>
      <w:pPr>
        <w:pStyle w:val="Heading2"/>
      </w:pPr>
      <w:r>
        <w:t xml:space="preserve">Fuentes y no anticipación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Fuente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  <w:tc>
          <w:tcPr/>
          <w:p>
            <w:pPr>
              <w:pStyle w:val="Compact"/>
            </w:pPr>
            <w:r>
              <w:t xml:space="preserve">Desfase de disponibilidad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Buró de crédito</w:t>
            </w:r>
          </w:p>
        </w:tc>
        <w:tc>
          <w:tcPr/>
          <w:p>
            <w:pPr>
              <w:pStyle w:val="Compact"/>
            </w:pPr>
            <w:r>
              <w:t xml:space="preserve">Endeudamiento y comportamiento en el sistema</w:t>
            </w:r>
          </w:p>
        </w:tc>
        <w:tc>
          <w:tcPr/>
          <w:p>
            <w:pPr>
              <w:pStyle w:val="Compact"/>
            </w:pPr>
            <w:r>
              <w:t xml:space="preserve">1 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Relación con el banco</w:t>
            </w:r>
          </w:p>
        </w:tc>
        <w:tc>
          <w:tcPr/>
          <w:p>
            <w:pPr>
              <w:pStyle w:val="Compact"/>
            </w:pPr>
            <w:r>
              <w:t xml:space="preserve">Productos, saldos y comportamiento de pago interno</w:t>
            </w:r>
          </w:p>
        </w:tc>
        <w:tc>
          <w:tcPr/>
          <w:p>
            <w:pPr>
              <w:pStyle w:val="Compact"/>
            </w:pPr>
            <w:r>
              <w:t xml:space="preserve">0 meses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Solicitud</w:t>
            </w:r>
          </w:p>
        </w:tc>
        <w:tc>
          <w:tcPr/>
          <w:p>
            <w:pPr>
              <w:pStyle w:val="Compact"/>
            </w:pPr>
            <w:r>
              <w:t xml:space="preserve">Datos declarados y del canal al momento de la solicitud</w:t>
            </w:r>
          </w:p>
        </w:tc>
        <w:tc>
          <w:tcPr/>
          <w:p>
            <w:pPr>
              <w:pStyle w:val="Compact"/>
            </w:pPr>
            <w:r>
              <w:t xml:space="preserve">0 meses</w:t>
            </w:r>
          </w:p>
        </w:tc>
      </w:tr>
    </w:tbl>
    <w:p>
      <w:pPr>
        <w:pStyle w:val="BodyText"/>
      </w:pPr>
      <w:r>
        <w:t xml:space="preserve">Las 412 variables candidatas tienen fecha de referencia y desfase documentados; la prueba automática confirmó que ninguna usa información posterior a la fecha de solicitud.</w:t>
      </w:r>
    </w:p>
    <w:bookmarkEnd w:id="12"/>
    <w:bookmarkStart w:id="13" w:name="universo-ventana-y-definición-de-default"/>
    <w:p>
      <w:pPr>
        <w:pStyle w:val="Heading2"/>
      </w:pPr>
      <w:r>
        <w:t xml:space="preserve">Universo, ventana y definición de default</w:t>
      </w:r>
    </w:p>
    <w:p>
      <w:pPr>
        <w:pStyle w:val="FirstParagraph"/>
      </w:pPr>
      <w:r>
        <w:rPr>
          <w:b/>
          <w:bCs/>
        </w:rPr>
        <w:t xml:space="preserve">Universo.</w:t>
      </w:r>
      <w:r>
        <w:t xml:space="preserve"> </w:t>
      </w:r>
      <w:r>
        <w:t xml:space="preserve">Solicitudes aprobadas de tarjeta de crédito de personas naturales, enero 2023 a julio 2024.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Muestra</w:t>
            </w:r>
          </w:p>
        </w:tc>
        <w:tc>
          <w:tcPr/>
          <w:p>
            <w:pPr>
              <w:pStyle w:val="Compact"/>
            </w:pPr>
            <w:r>
              <w:t xml:space="preserve">Período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Entrenamiento y prueba</w:t>
            </w:r>
          </w:p>
        </w:tc>
        <w:tc>
          <w:tcPr/>
          <w:p>
            <w:pPr>
              <w:pStyle w:val="Compact"/>
            </w:pPr>
            <w:r>
              <w:t xml:space="preserve">enero 2023 a junio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Fuera de tiempo (OOT)</w:t>
            </w:r>
          </w:p>
        </w:tc>
        <w:tc>
          <w:tcPr/>
          <w:p>
            <w:pPr>
              <w:pStyle w:val="Compact"/>
            </w:pPr>
            <w:r>
              <w:t xml:space="preserve">julio 2024 (última cosecha con 12 meses de desempeño)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Default.</w:t>
      </w:r>
      <w:r>
        <w:t xml:space="preserve"> </w:t>
      </w:r>
      <w:r>
        <w:t xml:space="preserve">Atraso mayor a 60 días al menos una vez en los 12 meses siguientes a la originación (U-17).</w:t>
      </w:r>
    </w:p>
    <w:bookmarkEnd w:id="13"/>
    <w:bookmarkStart w:id="14" w:name="exclusiones"/>
    <w:p>
      <w:pPr>
        <w:pStyle w:val="Heading2"/>
      </w:pPr>
      <w:r>
        <w:t xml:space="preserve">Exclusiones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Registros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del universo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Pautas duras de política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41 250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Desempeño incompleto (menos de 12 meses)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18 400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Indeterminados (atraso máximo entre 31 y 60 días)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9 870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Fraude confirmado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0.1 %</w:t>
            </w:r>
          </w:p>
        </w:tc>
      </w:tr>
    </w:tbl>
    <w:bookmarkEnd w:id="14"/>
    <w:bookmarkStart w:id="15" w:name="calidad-de-datos"/>
    <w:p>
      <w:pPr>
        <w:pStyle w:val="Heading2"/>
      </w:pPr>
      <w:r>
        <w:t xml:space="preserve">Calidad de datos</w:t>
      </w:r>
    </w:p>
    <w:p>
      <w:pPr>
        <w:pStyle w:val="FirstParagraph"/>
      </w:pPr>
      <w:r>
        <w:t xml:space="preserve">Certificación de calidad aprobada (Documento 6). Sin duplicados; fill rate mínimo de las variables finales de 91 %.</w:t>
      </w:r>
    </w:p>
    <w:bookmarkEnd w:id="15"/>
    <w:bookmarkEnd w:id="16"/>
    <w:bookmarkStart w:id="17" w:name="segmentación"/>
    <w:p>
      <w:pPr>
        <w:pStyle w:val="Heading1"/>
      </w:pPr>
      <w:r>
        <w:t xml:space="preserve">Segmentación</w:t>
      </w:r>
    </w:p>
    <w:p>
      <w:pPr>
        <w:pStyle w:val="FirstParagraph"/>
      </w:pPr>
      <w:r>
        <w:rPr>
          <w:b/>
          <w:bCs/>
        </w:rPr>
        <w:t xml:space="preserve">Decisión.</w:t>
      </w:r>
      <w:r>
        <w:t xml:space="preserve"> </w:t>
      </w:r>
      <w:r>
        <w:t xml:space="preserve">Modelo unisegmento.</w:t>
      </w:r>
    </w:p>
    <w:p>
      <w:pPr>
        <w:pStyle w:val="BodyText"/>
      </w:pPr>
      <w:r>
        <w:t xml:space="preserve">Los modelos por segmento (ingreso dependiente e independiente) no superaron al unisegmento en más de 0.6 pts de Gini OOT y reducían la materialidad de defaults por segmento.</w:t>
      </w:r>
    </w:p>
    <w:bookmarkEnd w:id="17"/>
    <w:bookmarkStart w:id="20" w:name="variables"/>
    <w:p>
      <w:pPr>
        <w:pStyle w:val="Heading1"/>
      </w:pPr>
      <w:r>
        <w:t xml:space="preserve">Variables</w:t>
      </w:r>
    </w:p>
    <w:bookmarkStart w:id="18" w:name="embudo-de-variables"/>
    <w:p>
      <w:pPr>
        <w:pStyle w:val="Heading2"/>
      </w:pPr>
      <w:r>
        <w:t xml:space="preserve">Embudo de variables</w:t>
      </w:r>
    </w:p>
    <w:p>
      <w:pPr>
        <w:pStyle w:val="FirstParagraph"/>
      </w:pPr>
      <w:r>
        <w:t xml:space="preserve">Orden aplicado antes del entrenamiento: no anticipación, univariado, fill rate y estabilidad, bivariado (WOE/IV),</w:t>
      </w:r>
      <w:r>
        <w:t xml:space="preserve"> </w:t>
      </w:r>
      <w:r>
        <w:t xml:space="preserve">sospecha de fuga, filtro de confiables y correlación (DES-D4-03.03.04).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24"/>
        <w:gridCol w:w="1070"/>
        <w:gridCol w:w="34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Variables que quedan</w:t>
            </w:r>
          </w:p>
        </w:tc>
        <w:tc>
          <w:tcPr/>
          <w:p>
            <w:pPr>
              <w:pStyle w:val="Compact"/>
            </w:pPr>
            <w:r>
              <w:t xml:space="preserve">Motivo de las salidas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Variables candidatas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 anticipación (U-39)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405</w:t>
            </w:r>
          </w:p>
        </w:tc>
        <w:tc>
          <w:tcPr/>
          <w:p>
            <w:pPr>
              <w:pStyle w:val="Compact"/>
            </w:pPr>
            <w:r>
              <w:t xml:space="preserve">7 variables contemporáneas (saldos al cierre del mes de solicitud)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Fill rate mínimo del plan (70 %)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351</w:t>
            </w:r>
          </w:p>
        </w:tc>
        <w:tc>
          <w:tcPr/>
          <w:p>
            <w:pPr>
              <w:pStyle w:val="Compact"/>
            </w:pPr>
            <w:r>
              <w:t xml:space="preserve">54 variables con bajo poblamiento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Estabilidad PSI ≤ 10 % (U-02)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318</w:t>
            </w:r>
          </w:p>
        </w:tc>
        <w:tc>
          <w:tcPr/>
          <w:p>
            <w:pPr>
              <w:pStyle w:val="Compact"/>
            </w:pPr>
            <w:r>
              <w:t xml:space="preserve">33 variables inestables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 entre 0.02 y 0.50 (U-38)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196</w:t>
            </w:r>
          </w:p>
        </w:tc>
        <w:tc>
          <w:tcPr/>
          <w:p>
            <w:pPr>
              <w:pStyle w:val="Compact"/>
            </w:pPr>
            <w:r>
              <w:t xml:space="preserve">120 sin poder predictivo y 2 con sospecha de fuga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Correlación &lt; 60 % (U-06)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Selección por gain y sentido económico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</w:p>
        </w:tc>
      </w:tr>
    </w:tbl>
    <w:bookmarkEnd w:id="18"/>
    <w:bookmarkStart w:id="19" w:name="variables-finales"/>
    <w:p>
      <w:pPr>
        <w:pStyle w:val="Heading2"/>
      </w:pPr>
      <w:r>
        <w:t xml:space="preserve">Variables finales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02"/>
        <w:gridCol w:w="3737"/>
        <w:gridCol w:w="622"/>
        <w:gridCol w:w="622"/>
        <w:gridCol w:w="5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max_atraso_buro_6m</w:t>
            </w:r>
          </w:p>
        </w:tc>
        <w:tc>
          <w:tcPr/>
          <w:p>
            <w:pPr>
              <w:pStyle w:val="Compact"/>
            </w:pPr>
            <w:r>
              <w:t xml:space="preserve">Atraso máximo en el sistema en los 6 meses previos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utilizacion_lineas_buro</w:t>
            </w:r>
          </w:p>
        </w:tc>
        <w:tc>
          <w:tcPr/>
          <w:p>
            <w:pPr>
              <w:pStyle w:val="Compact"/>
            </w:pPr>
            <w:r>
              <w:t xml:space="preserve">Uso promedio de líneas revolventes en el sistema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antiguedad_buro_meses</w:t>
            </w:r>
          </w:p>
        </w:tc>
        <w:tc>
          <w:tcPr/>
          <w:p>
            <w:pPr>
              <w:pStyle w:val="Compact"/>
            </w:pPr>
            <w:r>
              <w:t xml:space="preserve">Meses desde el primer producto en el sistema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num_consultas_3m</w:t>
            </w:r>
          </w:p>
        </w:tc>
        <w:tc>
          <w:tcPr/>
          <w:p>
            <w:pPr>
              <w:pStyle w:val="Compact"/>
            </w:pPr>
            <w:r>
              <w:t xml:space="preserve">Consultas al buró en los 3 meses previos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ratio_cuota_ingreso</w:t>
            </w:r>
          </w:p>
        </w:tc>
        <w:tc>
          <w:tcPr/>
          <w:p>
            <w:pPr>
              <w:pStyle w:val="Compact"/>
            </w:pPr>
            <w:r>
              <w:t xml:space="preserve">Cuota estimada sobre ingreso declarado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</w:tr>
    </w:tbl>
    <w:bookmarkEnd w:id="19"/>
    <w:bookmarkEnd w:id="20"/>
    <w:bookmarkStart w:id="21" w:name="metodología"/>
    <w:p>
      <w:pPr>
        <w:pStyle w:val="Heading1"/>
      </w:pPr>
      <w:r>
        <w:t xml:space="preserve">Metodología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Algoritmo</w:t>
            </w:r>
          </w:p>
        </w:tc>
        <w:tc>
          <w:tcPr/>
          <w:p>
            <w:pPr>
              <w:pStyle w:val="Compact"/>
            </w:pPr>
            <w:r>
              <w:t xml:space="preserve">Gradient boosting (XGBoost) con restricciones monotónicas en las 24 variables.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 interpretable</w:t>
            </w:r>
          </w:p>
        </w:tc>
        <w:tc>
          <w:tcPr/>
          <w:p>
            <w:pPr>
              <w:pStyle w:val="Compact"/>
            </w:pPr>
            <w:r>
              <w:t xml:space="preserve">Regresión logística con WOE (Gini OOT 49.3)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Validación cruzada</w:t>
            </w:r>
          </w:p>
        </w:tc>
        <w:tc>
          <w:tcPr/>
          <w:p>
            <w:pPr>
              <w:pStyle w:val="Compact"/>
            </w:pPr>
            <w:r>
              <w:t xml:space="preserve">5 particiones temporales.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Combinaciones de hiperparámetros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Semilla</w:t>
            </w:r>
          </w:p>
        </w:tc>
        <w:tc>
          <w:tcPr/>
          <w:p>
            <w:pPr>
              <w:pStyle w:val="Compact"/>
            </w:pPr>
            <w:r>
              <w:t xml:space="preserve">20261017</w:t>
            </w:r>
          </w:p>
        </w:tc>
      </w:tr>
    </w:tbl>
    <w:p>
      <w:pPr>
        <w:pStyle w:val="BodyText"/>
      </w:pPr>
      <w:r>
        <w:rPr>
          <w:b/>
          <w:bCs/>
        </w:rPr>
        <w:t xml:space="preserve">Hiperparámetros finales:</w:t>
      </w:r>
      <w:r>
        <w:t xml:space="preserve"> </w:t>
      </w:r>
      <w:r>
        <w:rPr>
          <w:rStyle w:val="VerbatimChar"/>
        </w:rPr>
        <w:t xml:space="preserve">max_depth</w:t>
      </w:r>
      <w:r>
        <w:t xml:space="preserve"> </w:t>
      </w:r>
      <w:r>
        <w:t xml:space="preserve">= 4 ·</w:t>
      </w:r>
      <w:r>
        <w:t xml:space="preserve"> </w:t>
      </w:r>
      <w:r>
        <w:rPr>
          <w:rStyle w:val="VerbatimChar"/>
        </w:rPr>
        <w:t xml:space="preserve">eta</w:t>
      </w:r>
      <w:r>
        <w:t xml:space="preserve"> </w:t>
      </w:r>
      <w:r>
        <w:t xml:space="preserve">= 0.05 ·</w:t>
      </w:r>
      <w:r>
        <w:t xml:space="preserve"> </w:t>
      </w:r>
      <w:r>
        <w:rPr>
          <w:rStyle w:val="VerbatimChar"/>
        </w:rPr>
        <w:t xml:space="preserve">n_estimators</w:t>
      </w:r>
      <w:r>
        <w:t xml:space="preserve"> </w:t>
      </w:r>
      <w:r>
        <w:t xml:space="preserve">= 600 ·</w:t>
      </w:r>
      <w:r>
        <w:t xml:space="preserve"> </w:t>
      </w:r>
      <w:r>
        <w:rPr>
          <w:rStyle w:val="VerbatimChar"/>
        </w:rPr>
        <w:t xml:space="preserve">subsample</w:t>
      </w:r>
      <w:r>
        <w:t xml:space="preserve"> </w:t>
      </w:r>
      <w:r>
        <w:t xml:space="preserve">= 0.8 ·</w:t>
      </w:r>
      <w:r>
        <w:t xml:space="preserve"> </w:t>
      </w:r>
      <w:r>
        <w:rPr>
          <w:rStyle w:val="VerbatimChar"/>
        </w:rPr>
        <w:t xml:space="preserve">colsample_bytree</w:t>
      </w:r>
      <w:r>
        <w:t xml:space="preserve"> </w:t>
      </w:r>
      <w:r>
        <w:t xml:space="preserve">= 0.7.</w:t>
      </w:r>
    </w:p>
    <w:bookmarkEnd w:id="21"/>
    <w:bookmarkStart w:id="28" w:name="desempeño"/>
    <w:p>
      <w:pPr>
        <w:pStyle w:val="Heading1"/>
      </w:pPr>
      <w:r>
        <w:t xml:space="preserve">Desempeño</w:t>
      </w:r>
    </w:p>
    <w:bookmarkStart w:id="22" w:name="discriminación-por-muestra"/>
    <w:p>
      <w:pPr>
        <w:pStyle w:val="Heading2"/>
      </w:pPr>
      <w:r>
        <w:t xml:space="preserve">Discriminación por muestra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Muestra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Registros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Tasa de 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Gini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Entrenamiento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412 300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103 080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OOT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16 080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39.2</w:t>
            </w:r>
          </w:p>
        </w:tc>
      </w:tr>
    </w:tbl>
    <w:p>
      <w:pPr>
        <w:pStyle w:val="BodyText"/>
      </w:pPr>
      <w:r>
        <w:t xml:space="preserve">Diferencia de Gini entre entrenamiento y OOT:</w:t>
      </w:r>
      <w:r>
        <w:t xml:space="preserve"> </w:t>
      </w:r>
      <w:r>
        <w:rPr>
          <w:b/>
          <w:bCs/>
        </w:rPr>
        <w:t xml:space="preserve">1.9 pts</w:t>
      </w:r>
      <w:r>
        <w:t xml:space="preserve"> </w:t>
      </w:r>
      <w:r>
        <w:t xml:space="preserve">— cumple U-11 (máximo 10 pts). El modelo vigente tiene un Gini OOT de 45.7: mejora de</w:t>
      </w:r>
      <w:r>
        <w:t xml:space="preserve"> </w:t>
      </w:r>
      <w:r>
        <w:rPr>
          <w:b/>
          <w:bCs/>
        </w:rPr>
        <w:t xml:space="preserve">6.4 pts</w:t>
      </w:r>
      <w:r>
        <w:t xml:space="preserve">.</w:t>
      </w:r>
    </w:p>
    <w:bookmarkEnd w:id="22"/>
    <w:bookmarkStart w:id="26" w:name="estabilidad-mensual"/>
    <w:p>
      <w:pPr>
        <w:pStyle w:val="Heading2"/>
      </w:pPr>
      <w:r>
        <w:t xml:space="preserve">Estabilidad mensual</w:t>
      </w:r>
    </w:p>
    <w:p>
      <w:pPr>
        <w:pStyle w:val="CaptionedFigure"/>
      </w:pPr>
      <w:r>
        <w:drawing>
          <wp:inline>
            <wp:extent cx="5192395" cy="2435480"/>
            <wp:effectExtent b="0" l="0" r="0" t="0"/>
            <wp:docPr descr="Gini por mes del periodo de construcción y del mes OOT, frente al de entrenamiento" title="" id="24" name="Picture"/>
            <a:graphic>
              <a:graphicData uri="http://schemas.openxmlformats.org/drawingml/2006/picture">
                <pic:pic>
                  <pic:nvPicPr>
                    <pic:cNvPr descr="grafico-gini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395" cy="2435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Gini por mes del periodo de construcción y del mes OOT, frente al de entrenamiento</w:t>
      </w:r>
    </w:p>
    <w:bookmarkEnd w:id="26"/>
    <w:bookmarkStart w:id="27" w:name="calibración"/>
    <w:p>
      <w:pPr>
        <w:pStyle w:val="Heading2"/>
      </w:pPr>
      <w:r>
        <w:t xml:space="preserve">Calibración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Registros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PD estimada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Tasa observada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Desvío relativo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−8.3 %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+8.3 %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−4.9 %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+4.4 %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11.2 %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10.8 %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−3.6 %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19.8 %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20.4 %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+3.0 %</w:t>
            </w:r>
          </w:p>
        </w:tc>
      </w:tr>
    </w:tbl>
    <w:bookmarkEnd w:id="27"/>
    <w:bookmarkEnd w:id="28"/>
    <w:bookmarkStart w:id="29" w:name="interpretabilidad-sensibilidad-y-equidad"/>
    <w:p>
      <w:pPr>
        <w:pStyle w:val="Heading1"/>
      </w:pPr>
      <w:r>
        <w:t xml:space="preserve">Interpretabilidad, sensibilidad y equidad</w:t>
      </w:r>
    </w:p>
    <w:p>
      <w:pPr>
        <w:pStyle w:val="FirstParagraph"/>
      </w:pPr>
      <w:r>
        <w:rPr>
          <w:b/>
          <w:bCs/>
        </w:rPr>
        <w:t xml:space="preserve">Interpretabilidad.</w:t>
      </w:r>
      <w:r>
        <w:t xml:space="preserve"> </w:t>
      </w:r>
      <w:r>
        <w:t xml:space="preserve">Las contribuciones SHAP confirman el sentido económico de las 24 variables; la estabilidad de las explicaciones se verificó en 50 remuestreos y no hubo variables con contribución inestable.</w:t>
      </w:r>
    </w:p>
    <w:p>
      <w:pPr>
        <w:pStyle w:val="BodyText"/>
      </w:pPr>
      <w:r>
        <w:rPr>
          <w:b/>
          <w:bCs/>
        </w:rPr>
        <w:t xml:space="preserve">Sensibilidad.</w:t>
      </w:r>
      <w:r>
        <w:t xml:space="preserve"> </w:t>
      </w:r>
      <w:r>
        <w:t xml:space="preserve">Un deterioro de 10 % en las variables de buró aumenta la PD promedio de 7.1 % a 7.9 %; el ordenamiento se mantiene.</w:t>
      </w:r>
    </w:p>
    <w:p>
      <w:pPr>
        <w:pStyle w:val="BodyText"/>
      </w:pPr>
      <w:r>
        <w:rPr>
          <w:b/>
          <w:bCs/>
        </w:rPr>
        <w:t xml:space="preserve">Equidad.</w:t>
      </w:r>
      <w:r>
        <w:t xml:space="preserve"> </w:t>
      </w:r>
      <w:r>
        <w:t xml:space="preserve">No se usan atributos protegidos. La edad se probó como proxy: el AUC para predecirla con las variables del modelo es 0.58. Las tasas de verdaderos positivos por rango de edad difieren en menos de 3 pp.</w:t>
      </w:r>
    </w:p>
    <w:bookmarkEnd w:id="29"/>
    <w:bookmarkStart w:id="30" w:name="integración-a-la-gestión"/>
    <w:p>
      <w:pPr>
        <w:pStyle w:val="Heading1"/>
      </w:pPr>
      <w:r>
        <w:t xml:space="preserve">Integración a la gestión</w:t>
      </w:r>
    </w:p>
    <w:p>
      <w:pPr>
        <w:pStyle w:val="FirstParagraph"/>
      </w:pPr>
      <w:r>
        <w:rPr>
          <w:b/>
          <w:bCs/>
        </w:rPr>
        <w:t xml:space="preserve">Punto de corte.</w:t>
      </w:r>
      <w:r>
        <w:t xml:space="preserve"> </w:t>
      </w:r>
      <w:r>
        <w:t xml:space="preserve">Aprobación hasta el tramo 5; el tramo 6 pasa a revisión manual.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Propuesto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Tasa de aprobación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62.0 %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Mora 60+ a 12 meses de la cosecha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6.3 %</w:t>
            </w:r>
          </w:p>
        </w:tc>
      </w:tr>
    </w:tbl>
    <w:p>
      <w:pPr>
        <w:pStyle w:val="BodyText"/>
      </w:pPr>
      <w:r>
        <w:rPr>
          <w:b/>
          <w:bCs/>
        </w:rPr>
        <w:t xml:space="preserve">Forzajes.</w:t>
      </w:r>
      <w:r>
        <w:t xml:space="preserve"> </w:t>
      </w:r>
      <w:r>
        <w:t xml:space="preserve">Solo jefaturas de agencia, con motivo de una lista cerrada, hasta 3 % de las decisiones (U-36).</w:t>
      </w:r>
    </w:p>
    <w:bookmarkEnd w:id="30"/>
    <w:bookmarkStart w:id="31" w:name="limitaciones"/>
    <w:p>
      <w:pPr>
        <w:pStyle w:val="Heading1"/>
      </w:pPr>
      <w:r>
        <w:t xml:space="preserve">Limitaciones</w:t>
      </w:r>
    </w:p>
    <w:p>
      <w:pPr>
        <w:pStyle w:val="Compact"/>
        <w:numPr>
          <w:ilvl w:val="0"/>
          <w:numId w:val="1002"/>
        </w:numPr>
      </w:pPr>
      <w:r>
        <w:t xml:space="preserve">El modelo no se validó para clientes sin historial en el buró (5 % de las solicitudes); se usa una política experta.</w:t>
      </w:r>
    </w:p>
    <w:p>
      <w:pPr>
        <w:pStyle w:val="Compact"/>
        <w:numPr>
          <w:ilvl w:val="0"/>
          <w:numId w:val="1002"/>
        </w:numPr>
      </w:pPr>
      <w:r>
        <w:t xml:space="preserve">El desempeño en el canal digital es 3 pts de Gini menor y se monitoreará por separado.</w:t>
      </w:r>
    </w:p>
    <w:bookmarkEnd w:id="31"/>
    <w:bookmarkStart w:id="32" w:name="seguimiento"/>
    <w:p>
      <w:pPr>
        <w:pStyle w:val="Heading1"/>
      </w:pPr>
      <w:r>
        <w:t xml:space="preserve">Seguimiento</w:t>
      </w:r>
    </w:p>
    <w:p>
      <w:pPr>
        <w:pStyle w:val="FirstParagraph"/>
      </w:pPr>
      <w:r>
        <w:t xml:space="preserve">Seguimiento mensual de PSI y forzajes; discriminación y calibración trimestral con cosechas maduras (SEG-S1).</w:t>
      </w:r>
    </w:p>
    <w:bookmarkEnd w:id="32"/>
    <w:bookmarkStart w:id="35" w:name="cumplimiento-del-estándar"/>
    <w:p>
      <w:pPr>
        <w:pStyle w:val="Heading1"/>
      </w:pPr>
      <w:r>
        <w:t xml:space="preserve">Cumplimiento del estándar</w:t>
      </w:r>
    </w:p>
    <w:bookmarkStart w:id="33" w:name="umbrales"/>
    <w:p>
      <w:pPr>
        <w:pStyle w:val="Heading2"/>
      </w:pPr>
      <w:r>
        <w:t xml:space="preserve">Umbrales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33"/>
        <w:gridCol w:w="2313"/>
        <w:gridCol w:w="711"/>
        <w:gridCol w:w="3203"/>
        <w:gridCol w:w="11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Umbral</w:t>
            </w:r>
          </w:p>
        </w:tc>
        <w:tc>
          <w:tcPr/>
          <w:p>
            <w:pPr>
              <w:pStyle w:val="Compact"/>
            </w:pPr>
            <w:r>
              <w:t xml:space="preserve">Tema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Valor obtenido</w:t>
            </w:r>
          </w:p>
        </w:tc>
        <w:tc>
          <w:tcPr/>
          <w:p>
            <w:pPr>
              <w:pStyle w:val="Compact"/>
            </w:pPr>
            <w:r>
              <w:t xml:space="preserve">Regla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U-01</w:t>
            </w:r>
          </w:p>
        </w:tc>
        <w:tc>
          <w:tcPr/>
          <w:p>
            <w:pPr>
              <w:pStyle w:val="Compact"/>
            </w:pPr>
            <w:r>
              <w:t xml:space="preserve">Ventana de modelamiento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 + 1</w:t>
            </w:r>
          </w:p>
        </w:tc>
        <w:tc>
          <w:tcPr/>
          <w:p>
            <w:pPr>
              <w:pStyle w:val="Compact"/>
            </w:pPr>
            <w:r>
              <w:t xml:space="preserve">≥ 12 meses entrenamiento/prueba; OOT = último mes con desempeño (1 mes)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U-02</w:t>
            </w:r>
          </w:p>
        </w:tc>
        <w:tc>
          <w:tcPr/>
          <w:p>
            <w:pPr>
              <w:pStyle w:val="Compact"/>
            </w:pPr>
            <w:r>
              <w:t xml:space="preserve">Estabilidad poblacional / de variables (PSI)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</w:t>
            </w:r>
          </w:p>
        </w:tc>
        <w:tc>
          <w:tcPr/>
          <w:p>
            <w:pPr>
              <w:pStyle w:val="Compact"/>
            </w:pPr>
            <w:r>
              <w:t xml:space="preserve">PSI máximo de las variables del modelo ≤ 0.10 (≤ 0.20 con excepción)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U-03</w:t>
            </w:r>
          </w:p>
        </w:tc>
        <w:tc>
          <w:tcPr/>
          <w:p>
            <w:pPr>
              <w:pStyle w:val="Compact"/>
            </w:pPr>
            <w:r>
              <w:t xml:space="preserve">Representatividad de la muestra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</w:pPr>
            <w:r>
              <w:t xml:space="preserve">Ratio TM/TG entre 0.95 y 1.05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U-06</w:t>
            </w:r>
          </w:p>
        </w:tc>
        <w:tc>
          <w:tcPr/>
          <w:p>
            <w:pPr>
              <w:pStyle w:val="Compact"/>
            </w:pPr>
            <w:r>
              <w:t xml:space="preserve">Correlación entre variables continuas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</w:t>
            </w:r>
          </w:p>
        </w:tc>
        <w:tc>
          <w:tcPr/>
          <w:p>
            <w:pPr>
              <w:pStyle w:val="Compact"/>
            </w:pPr>
            <w:r>
              <w:t xml:space="preserve">Correlación máxima entre continuas &lt; 0.60 (≤ 0.95 con sustento)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U-10</w:t>
            </w:r>
          </w:p>
        </w:tc>
        <w:tc>
          <w:tcPr/>
          <w:p>
            <w:pPr>
              <w:pStyle w:val="Compact"/>
            </w:pPr>
            <w:r>
              <w:t xml:space="preserve">Optimización de hiperparámetros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Combinaciones de hiperparámetros probadas ≥ 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U-11</w:t>
            </w:r>
          </w:p>
        </w:tc>
        <w:tc>
          <w:tcPr/>
          <w:p>
            <w:pPr>
              <w:pStyle w:val="Compact"/>
            </w:pPr>
            <w:r>
              <w:t xml:space="preserve">Sobreajuste Train vs OOT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</w:t>
            </w:r>
          </w:p>
        </w:tc>
        <w:tc>
          <w:tcPr/>
          <w:p>
            <w:pPr>
              <w:pStyle w:val="Compact"/>
            </w:pPr>
            <w:r>
              <w:t xml:space="preserve">|Gini Train − Gini OOT| ≤ 10 pts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U-38</w:t>
            </w:r>
          </w:p>
        </w:tc>
        <w:tc>
          <w:tcPr/>
          <w:p>
            <w:pPr>
              <w:pStyle w:val="Compact"/>
            </w:pPr>
            <w:r>
              <w:t xml:space="preserve">Rango de IV y sospecha de fuga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</w:t>
            </w:r>
          </w:p>
        </w:tc>
        <w:tc>
          <w:tcPr/>
          <w:p>
            <w:pPr>
              <w:pStyle w:val="Compact"/>
            </w:pPr>
            <w:r>
              <w:t xml:space="preserve">IV máximo de las variables del modelo ≤ 0.50 (salvo investigación de fuga documentada)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U-39</w:t>
            </w:r>
          </w:p>
        </w:tc>
        <w:tc>
          <w:tcPr/>
          <w:p>
            <w:pPr>
              <w:pStyle w:val="Compact"/>
            </w:pPr>
            <w:r>
              <w:t xml:space="preserve">No anticipación temporal de las variables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Variables con información posterior a la observación = 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U-40</w:t>
            </w:r>
          </w:p>
        </w:tc>
        <w:tc>
          <w:tcPr/>
          <w:p>
            <w:pPr>
              <w:pStyle w:val="Compact"/>
            </w:pPr>
            <w:r>
              <w:t xml:space="preserve">Plazo máximo de desarrollo de un modelo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Duración del desarrollo con 2 personas ≤ 13 semanas (con agentes de IA ≤ 15 días hábiles)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Cumple</w:t>
            </w:r>
          </w:p>
        </w:tc>
      </w:tr>
    </w:tbl>
    <w:bookmarkEnd w:id="33"/>
    <w:bookmarkStart w:id="34" w:name="matriz-de-requisitos"/>
    <w:p>
      <w:pPr>
        <w:pStyle w:val="Heading2"/>
      </w:pPr>
      <w:r>
        <w:t xml:space="preserve">Matriz de requisitos</w:t>
      </w:r>
    </w:p>
    <w:p>
      <w:pPr>
        <w:pStyle w:val="FirstParagraph"/>
      </w:pPr>
      <w:r>
        <w:t xml:space="preserve">Requisitos aplicables a un modelo Desarrollo Tier II, Machine learning, enfoque ágil. Sin manifiesto de evidencias: todos figuran como pendientes (ver</w:t>
      </w:r>
      <w:r>
        <w:t xml:space="preserve"> </w:t>
      </w:r>
      <w:r>
        <w:rPr>
          <w:rStyle w:val="VerbatimChar"/>
        </w:rPr>
        <w:t xml:space="preserve">tools/verificar.py --init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23"/>
        <w:gridCol w:w="739"/>
        <w:gridCol w:w="739"/>
        <w:gridCol w:w="739"/>
        <w:gridCol w:w="739"/>
        <w:gridCol w:w="7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Aplicables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Cumplidos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Excepción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aplica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Pendientes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DES-D1 · Definición, alcance, diseño y extracción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DES-D2 · Preparación, calidad y entendimiento de los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DES-D3 · Segmentación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DES-D4 · Modelamiento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DES-D5 · Integración a la gestión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DES-D7 · Gobierno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 · Implementación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202</w:t>
            </w:r>
          </w:p>
        </w:tc>
      </w:tr>
    </w:tbl>
    <w:bookmarkEnd w:id="34"/>
    <w:bookmarkEnd w:id="35"/>
    <w:bookmarkStart w:id="36" w:name="gobierno-y-aprobaciones"/>
    <w:p>
      <w:pPr>
        <w:pStyle w:val="Heading1"/>
      </w:pPr>
      <w:r>
        <w:t xml:space="preserve">Gobierno y aprobaciones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Acta</w:t>
            </w:r>
          </w:p>
        </w:tc>
        <w:tc>
          <w:tcPr/>
          <w:p>
            <w:pPr>
              <w:pStyle w:val="Compact"/>
            </w:pPr>
            <w:r>
              <w:t xml:space="preserve">Hito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ACTA-MOD-EJEMPLO-001-01</w:t>
            </w:r>
          </w:p>
        </w:tc>
        <w:tc>
          <w:tcPr/>
          <w:p>
            <w:pPr>
              <w:pStyle w:val="Compact"/>
            </w:pPr>
            <w:r>
              <w:t xml:space="preserve">Reunión 1</w:t>
            </w:r>
          </w:p>
        </w:tc>
        <w:tc>
          <w:tcPr/>
          <w:p>
            <w:pPr>
              <w:pStyle w:val="Compact"/>
            </w:pPr>
            <w:r>
              <w:t xml:space="preserve">2026-06-02</w:t>
            </w:r>
          </w:p>
        </w:tc>
        <w:tc>
          <w:tcPr/>
          <w:p>
            <w:pPr>
              <w:pStyle w:val="Compact"/>
            </w:pPr>
            <w:r>
              <w:t xml:space="preserve">Aprobada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ACTA-MOD-EJEMPLO-001-05</w:t>
            </w:r>
          </w:p>
        </w:tc>
        <w:tc>
          <w:tcPr/>
          <w:p>
            <w:pPr>
              <w:pStyle w:val="Compact"/>
            </w:pPr>
            <w:r>
              <w:t xml:space="preserve">Reunión 5 · Selección del modelo final</w:t>
            </w:r>
          </w:p>
        </w:tc>
        <w:tc>
          <w:tcPr/>
          <w:p>
            <w:pPr>
              <w:pStyle w:val="Compact"/>
            </w:pPr>
            <w:r>
              <w:t xml:space="preserve">2026-09-18</w:t>
            </w:r>
          </w:p>
        </w:tc>
        <w:tc>
          <w:tcPr/>
          <w:p>
            <w:pPr>
              <w:pStyle w:val="Compact"/>
            </w:pPr>
            <w:r>
              <w:t xml:space="preserve">Aprobada</w:t>
            </w:r>
          </w:p>
        </w:tc>
      </w:tr>
    </w:tbl>
    <w:p>
      <w:pPr>
        <w:pStyle w:val="BodyText"/>
      </w:pPr>
      <w:r>
        <w:t xml:space="preserve">El modelo no se usa sin la aprobación previa del comité de riesgos de modelo (GOB-G3-01.01.01).</w:t>
      </w:r>
    </w:p>
    <w:bookmarkEnd w:id="36"/>
    <w:bookmarkStart w:id="37" w:name="referencias"/>
    <w:p>
      <w:pPr>
        <w:pStyle w:val="Heading1"/>
      </w:pPr>
      <w:r>
        <w:t xml:space="preserve">Referencias</w:t>
      </w:r>
    </w:p>
    <w:p>
      <w:pPr>
        <w:pStyle w:val="Compact"/>
        <w:numPr>
          <w:ilvl w:val="0"/>
          <w:numId w:val="1003"/>
        </w:numPr>
      </w:pPr>
      <w:r>
        <w:t xml:space="preserve">Siddiqi, N. (2017).</w:t>
      </w:r>
      <w:r>
        <w:t xml:space="preserve"> </w:t>
      </w:r>
      <w:r>
        <w:rPr>
          <w:i/>
          <w:iCs/>
        </w:rPr>
        <w:t xml:space="preserve">Intelligent Credit Scoring: Building and Implementing Better Credit Risk Scorecards</w:t>
      </w:r>
      <w:r>
        <w:t xml:space="preserve"> </w:t>
      </w:r>
      <w:r>
        <w:t xml:space="preserve">(2.ª ed.). Wiley.</w:t>
      </w:r>
    </w:p>
    <w:p>
      <w:pPr>
        <w:pStyle w:val="Compact"/>
        <w:numPr>
          <w:ilvl w:val="0"/>
          <w:numId w:val="1003"/>
        </w:numPr>
      </w:pPr>
      <w:r>
        <w:t xml:space="preserve">Board of Governors of the Federal Reserve System, OCC y FDIC (2026).</w:t>
      </w:r>
      <w:r>
        <w:t xml:space="preserve"> </w:t>
      </w:r>
      <w:r>
        <w:rPr>
          <w:i/>
          <w:iCs/>
        </w:rPr>
        <w:t xml:space="preserve">Revised Guidance on Model Risk Management</w:t>
      </w:r>
      <w:r>
        <w:t xml:space="preserve"> </w:t>
      </w:r>
      <w:r>
        <w:t xml:space="preserve">(SR 26-2; OCC Bulletin 2026-13; FDIC FIL-15-2026).</w:t>
      </w:r>
    </w:p>
    <w:p>
      <w:pPr>
        <w:pStyle w:val="Compact"/>
        <w:numPr>
          <w:ilvl w:val="0"/>
          <w:numId w:val="1003"/>
        </w:numPr>
      </w:pPr>
      <w:r>
        <w:t xml:space="preserve">Superintendencia de Banca, Seguros y AFP (2023).</w:t>
      </w:r>
      <w:r>
        <w:t xml:space="preserve"> </w:t>
      </w:r>
      <w:r>
        <w:rPr>
          <w:i/>
          <w:iCs/>
        </w:rPr>
        <w:t xml:space="preserve">Reglamento de Gestión de Riesgos de Modelo</w:t>
      </w:r>
      <w:r>
        <w:t xml:space="preserve"> </w:t>
      </w:r>
      <w:r>
        <w:t xml:space="preserve">(Resolución SBS n.º 00053-2023).</w:t>
      </w:r>
    </w:p>
    <w:bookmarkEnd w:id="37"/>
    <w:sectPr>
      <w:headerReference r:id="rIdHdr1" w:type="default"/>
      <w:footerReference r:id="rIdFtr1" w:type="default"/>
      <w:pgSz w:h="16838" w:w="11906"/>
      <w:pgMar w:bottom="1247" w:footer="567" w:gutter="0" w:header="567" w:left="1134" w:right="1134" w:top="141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D5DBD8"/>
      </w:pBdr>
      <w:tabs>
        <w:tab w:val="right" w:pos="9638"/>
      </w:tabs>
    </w:pPr>
    <w:r>
      <w:rPr>
        <w:b/>
        <w:color w:val="1B2A2F"/>
        <w:sz w:val="15"/>
      </w:rPr>
      <w:t xml:space="preserve">Yuri Plasencia — Analytics Pricing &amp; Revenue Management</w:t>
    </w:r>
    <w:r>
      <w:rPr>
        <w:color w:val="5E6B70"/>
        <w:sz w:val="15"/>
      </w:rPr>
      <w:t xml:space="preserve">  ·  Uso interno</w:t>
    </w:r>
    <w:r>
      <w:tab/>
    </w:r>
    <w:r>
      <w:rPr>
        <w:color w:val="5E6B70"/>
        <w:sz w:val="15"/>
      </w:rPr>
      <w:t xml:space="preserve">Página </w:t>
    </w:r>
    <w:fldSimple w:instr=" PAGE ">
      <w:r>
        <w:rPr>
          <w:color w:val="5E6B70"/>
          <w:sz w:val="15"/>
        </w:rPr>
        <w:t>1</w:t>
      </w:r>
    </w:fldSimple>
    <w:r>
      <w:rPr>
        <w:color w:val="5E6B70"/>
        <w:sz w:val="15"/>
      </w:rPr>
      <w:t xml:space="preserve"> de </w:t>
    </w:r>
    <w:fldSimple w:instr=" NUMPAGES ">
      <w:r>
        <w:rPr>
          <w:color w:val="5E6B70"/>
          <w:sz w:val="15"/>
        </w:rP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Bdr>
        <w:bottom w:val="single" w:sz="6" w:space="4" w:color="7A2632"/>
      </w:pBdr>
      <w:tabs>
        <w:tab w:val="right" w:pos="9638"/>
      </w:tabs>
    </w:pPr>
    <w:r>
      <w:rPr>
        <w:b/>
        <w:color w:val="7A2632"/>
        <w:sz w:val="15"/>
      </w:rPr>
      <w:t xml:space="preserve">ESTÁNDARES DE MODELOS EN BANCA</w:t>
    </w:r>
    <w:r>
      <w:tab/>
    </w:r>
    <w:fldSimple w:instr=" TITLE ">
      <w:r>
        <w:rPr>
          <w:color w:val="5E6B70"/>
          <w:sz w:val="15"/>
        </w:rPr>
        <w:t>Documento metodológico</w:t>
      </w:r>
    </w:fldSimple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Calibri" w:hAnsi="Calibri"/>
        <w:color w:val="1B2A2F"/>
        <w:sz w:val="21"/>
        <w:szCs w:val="21"/>
        <w:lang w:val="es-P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Georgia" w:cs="Georgia" w:eastAsia="Georgia" w:hAnsi="Georgia"/>
      <w:b/>
      <w:color w:val="1B2A2F"/>
      <w:sz w:val="48"/>
      <w:szCs w:val="4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color w:val="5E6B70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pBdr>
        <w:bottom w:color="D5DBD8" w:space="2" w:sz="4" w:val="single"/>
      </w:pBdr>
      <w:spacing w:after="140" w:before="360"/>
      <w:outlineLvl w:val="0"/>
    </w:pPr>
    <w:rPr>
      <w:rFonts w:ascii="Georgia" w:cs="Georgia" w:eastAsia="Georgia" w:hAnsi="Georgia"/>
      <w:b/>
      <w:color w:val="7A2632"/>
      <w:sz w:val="30"/>
      <w:szCs w:val="3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00" w:before="240"/>
      <w:outlineLvl w:val="1"/>
    </w:pPr>
    <w:rPr>
      <w:rFonts w:ascii="Georgia" w:cs="Georgia" w:eastAsia="Georgia" w:hAnsi="Georgia"/>
      <w:b/>
      <w:color w:val="1B2A2F"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b/>
      <w:color w:val="5E6B70"/>
      <w:sz w:val="21"/>
      <w:szCs w:val="21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7A2632" w:space="8" w:sz="18" w:val="single"/>
      </w:pBdr>
      <w:shd w:color="auto" w:fill="F1F4F2" w:val="clear"/>
      <w:spacing w:after="120" w:before="120"/>
      <w:ind w:left="240" w:right="240"/>
    </w:pPr>
    <w:rPr>
      <w:i/>
      <w:color w:val="1B2A2F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1B2A2F" w:space="0" w:sz="8" w:val="single"/>
        <w:bottom w:color="D5DBD8" w:space="0" w:sz="4" w:val="single"/>
        <w:insideH w:color="D5DBD8" w:space="0" w:sz="4" w:val="single"/>
      </w:tblBorders>
      <w:tblCellMar>
        <w:top w:type="dxa" w:w="50"/>
        <w:left w:type="dxa" w:w="90"/>
        <w:bottom w:type="dxa" w:w="50"/>
        <w:right w:type="dxa" w:w="90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7A2632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Ftr1" Target="footer1.xml" Type="http://schemas.openxmlformats.org/officeDocument/2006/relationships/footer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Score de originación de tarjeta de crédito</dc:title>
  <dc:creator>Analista de modelos (ejemplo) (Desarrollo); Jefe de modelos (ejemplo) (Revisión)</dc:creator>
  <dc:language>es-PE</dc:language>
  <cp:keywords/>
  <dcterms:created xsi:type="dcterms:W3CDTF">2026-10-17T22:43:11Z</dcterms:created>
  <dcterms:modified xsi:type="dcterms:W3CDTF">2026-10-17T22:43:11Z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2026-10-20</vt:lpwstr>
  </property>
  <property fmtid="{D5CDD505-2E9C-101B-9397-08002B2CF9AE}" pid="3" name="number-sections">
    <vt:lpwstr>True</vt:lpwstr>
  </property>
  <property fmtid="{D5CDD505-2E9C-101B-9397-08002B2CF9AE}" pid="4" name="subtitle">
    <vt:lpwstr>Documento metodológico del modelo · MOD-EJEMPLO-001</vt:lpwstr>
  </property>
  <property fmtid="{D5CDD505-2E9C-101B-9397-08002B2CF9AE}" pid="5" name="toc">
    <vt:lpwstr>True</vt:lpwstr>
  </property>
  <property fmtid="{D5CDD505-2E9C-101B-9397-08002B2CF9AE}" pid="6" name="toc-depth">
    <vt:lpwstr>2</vt:lpwstr>
  </property>
</Properties>
</file>