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color w:val="00a2e8"/>
          <w:sz w:val="68"/>
          <w:szCs w:val="68"/>
        </w:rPr>
      </w:pPr>
      <w:r w:rsidDel="00000000" w:rsidR="00000000" w:rsidRPr="00000000">
        <w:rPr>
          <w:color w:val="00a2e8"/>
          <w:sz w:val="68"/>
          <w:szCs w:val="68"/>
          <w:rtl w:val="0"/>
        </w:rPr>
        <w:t xml:space="preserve">Перелік компетенцій: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395"/>
        <w:tblGridChange w:id="0">
          <w:tblGrid>
            <w:gridCol w:w="4470"/>
            <w:gridCol w:w="4395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Приватизація нерухомості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Аліменти, розлучення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Поділ майна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Трудові спори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Кримінальне право та процес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Визнання фізичної особи банкрутом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Податкові спори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Спадкові спори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Списання кредитів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Супровід та реєстрація бізнесу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Військові питання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Поділ/реєстрація землі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Реєстрація ТМ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Юридичний супровід тендерів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