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E58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ВСТУП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Актуальність теми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sz w:val="28"/>
          <w:szCs w:val="28"/>
          <w:highlight w:val="green"/>
        </w:rPr>
        <w:t>В умовах недостатнього забезпечення власними паливно-енергетичними ресурсами, систематичного зростання цін на вітчизняні та імпортовані енергоресурси, для України все більш нагальною стає необхідність практичного вирішення задач енергозбереження в усіх ланках національної економіки. Цілеспрямована діяльність у сфері енергозбереження потребує постійного управління на державному, регіональному та галузевому рівнях.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both"/>
        <w:rPr>
          <w:rStyle w:val="apple-converted-space"/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</w:pPr>
      <w:r w:rsidRPr="004A3622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Наявність доступних і зручних для використання джерел енергії є найважливішим чинником розвитку економіки. Кожному рівню соціально-економічного розвитку відповідає своя структура енергоспоживання, яка зазвичай прагне до оптимальної. Перехід до наступного ступеня можливий тільки на основі нової технічної бази й, як правило, супроводжується значним зростанням енергоспоживання.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</w:pPr>
      <w:r w:rsidRPr="004A3622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Енергетична інфраструктура світового господарства, що сформувалася протягом останніх десятиліть, заснована, головним чином, на використанні вичерпних паливно-енергетичних ресурсів (ПЕР). Застосування альтернативних – обмежено високими витратами та вимагає створення принципово нової інфраструктури господарства й тому навряд чи стане визначальним у недалекому майбутньому. Нові види енергії, що «вписуються» у задану систему енергопостачання, поки не знайдені. Саме недолік ПЕР являє загрозу економічному розвитку країни.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both"/>
        <w:rPr>
          <w:rStyle w:val="apple-converted-space"/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</w:pPr>
      <w:r w:rsidRPr="004A3622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Отже, в умовах обмеженості ПЕР, особливо при енергетичній структурі світової економіки, що склалася, питання більш раціонального й ощадливого використання енергії є досить актуальним для всіх без винятку національних економік.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both"/>
        <w:rPr>
          <w:rStyle w:val="apple-converted-space"/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</w:pPr>
      <w:r w:rsidRPr="004A3622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>Низька ефективність використання енергоресурсів в Україні є наслідком відсутності реальної державної політики енергозбереження в адміністративно-командній економіці, яка склалася ще за радянських часів. Починаючи з 1994 р. вводилися певні вимоги до діяльності суб'єктів господарювання, спрямовані на енергозбереження, відбувалися інституційні перетворення, активізувалася законодавча діяльність у даній сфері, але підвищення ефективності використання ПЕР все-таки не відбулося. Причиною ситуації, що склалася, у значній мірі, є відсутність злагоджених державних механізмів управління енергозбереженням, які забезпечують узгодження інтересів усіх суб'єктів державної енергозберігаючої політики.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</w:pPr>
      <w:r w:rsidRPr="004A3622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t xml:space="preserve">Перехід до активної державної політики енергозбереження, яка буде підкріплена діючими державними механізмами управління енергозбереженням, є актуальним завданням, рішення якого забезпечить значні економічні переваги, як для України в цілому, так і для суб'єктів господарювання: </w:t>
      </w:r>
      <w:r w:rsidRPr="004A3622">
        <w:rPr>
          <w:rFonts w:ascii="Times New Roman" w:hAnsi="Times New Roman" w:cs="Times New Roman"/>
          <w:color w:val="333333"/>
          <w:sz w:val="28"/>
          <w:szCs w:val="28"/>
          <w:highlight w:val="green"/>
          <w:shd w:val="clear" w:color="auto" w:fill="FFFFFF"/>
        </w:rPr>
        <w:lastRenderedPageBreak/>
        <w:t>зростання загальної ефективності функціонування економіки, поліпшення її структури, підвищення конкурентоспроможності продукції на світових ринках, зниження екологічного навантаження на навколишнє природне середовище, більш комфортні умови для проживання людей.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Критичний рівень залежності економіки від зарубіжних поставок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енергоресурсів в умовах зростання цін на них на світовому ринку загрожує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національній безпеці. За оцінками фахівців, енерговитрати на виробництво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одиниці продукції в Україні в кілька разів перевищують аналогічні показники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розвинутих країн.</w:t>
      </w:r>
    </w:p>
    <w:p w:rsidR="004B2E58" w:rsidRPr="004A3622" w:rsidRDefault="004B2E58" w:rsidP="004B2E58">
      <w:pPr>
        <w:pStyle w:val="a3"/>
        <w:spacing w:line="276" w:lineRule="auto"/>
        <w:ind w:firstLine="720"/>
        <w:rPr>
          <w:sz w:val="28"/>
          <w:szCs w:val="28"/>
          <w:highlight w:val="green"/>
          <w:lang w:val="uk-UA"/>
        </w:rPr>
      </w:pPr>
      <w:r w:rsidRPr="004A3622">
        <w:rPr>
          <w:sz w:val="28"/>
          <w:szCs w:val="28"/>
          <w:highlight w:val="green"/>
          <w:lang w:val="uk-UA"/>
        </w:rPr>
        <w:t>Очевидно, що цілеспрямована діяльність у сфері енергозбереження потребує постійного (в тому числі і оперативного) управління як на державному, регіональному чи галузевому рівні, так і на рівні підприємств та організацій, їх підрозділів і навіть окремих енергоємних технологічних процесів чи установок. Однією з важливих складових процесу такого управління є здійснення систематичного контролю ефективності використання палива та енергії.</w:t>
      </w:r>
    </w:p>
    <w:p w:rsidR="004B2E58" w:rsidRPr="004A3622" w:rsidRDefault="004B2E58" w:rsidP="004B2E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Сутність функції контролю ефективності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енерговикористання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обов’язково передбачає необхідність визначення як фактичних показників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енергоефективності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відповідних об’єктів, так і деяких їх «еталонних» або «нормативних» значень. </w:t>
      </w:r>
    </w:p>
    <w:p w:rsidR="004B2E58" w:rsidRPr="004A3622" w:rsidRDefault="004B2E58" w:rsidP="004B2E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Саме встановлення такого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„еталону”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чи «нормативу», з яким можна було б порівнювати фактичні значення відповідних показників, являє собою найбільшу проблему, що виникає при вирішенні задачі контролю та аналізу ефективності використання паливно-енергетичних ресурсів. Цей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„еталон”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повинен бути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„індивідуальним”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, тобто він має встановлюватись окремо для кожного об'єкту і відповідати конкретним параметрам обладнання, технологічного процесу, умовам виробництва тощо. Тільки за виконання такої умови можна стверджувати, що оцінка рівня ефективності використання палива чи енергії на будь-якому технологічному чи виробничому об’єкті буде достатньо обґрунтованою та об’єктивною. </w:t>
      </w:r>
    </w:p>
    <w:p w:rsidR="004B2E58" w:rsidRPr="004A3622" w:rsidRDefault="004B2E58" w:rsidP="004B2E5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Загальновідомо, що при застосуванні для вирішення цієї задачі показників питомої витрати паливно-енергетичних ресурсів у якості такого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„еталону”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здебільшого використовуються так звані норми питомої витрати палива та енергії, які повинні встановлюватись як для технологічних, так і для виробничо-господарських об’єктів. Зокрема, в Україні методологічною основою контролю та аналізу ефективності використання ПЕР традиційно була і є система нормування питомих витрат палива та енергії на виробництво продукції, виконання робіт чи надання послуг.</w:t>
      </w:r>
    </w:p>
    <w:p w:rsidR="004B2E58" w:rsidRPr="004A3622" w:rsidRDefault="004B2E58" w:rsidP="004B2E5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Така система застосовувалась в нашій державі протягом багатьох десятиліть, починаючи ще з часів колишнього СРСР, і використовується до цього часу. Ставлення до цієї системи серед фахівців дуже різне: від повного </w:t>
      </w:r>
      <w:r w:rsidRPr="004A362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неприйняття до цілковитого схвалення. Однак при цьому беззаперечним фактом є те, що необхідність здійснення систематичного контролю ефективності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енерговикористання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навряд чи відпаде найближчим часом, і що єдиним реальним </w:t>
      </w:r>
      <w:proofErr w:type="spellStart"/>
      <w:r w:rsidRPr="004A3622">
        <w:rPr>
          <w:rFonts w:ascii="Times New Roman" w:hAnsi="Times New Roman" w:cs="Times New Roman"/>
          <w:sz w:val="28"/>
          <w:szCs w:val="28"/>
          <w:highlight w:val="green"/>
        </w:rPr>
        <w:t>„інструментом”</w:t>
      </w:r>
      <w:proofErr w:type="spellEnd"/>
      <w:r w:rsidRPr="004A3622">
        <w:rPr>
          <w:rFonts w:ascii="Times New Roman" w:hAnsi="Times New Roman" w:cs="Times New Roman"/>
          <w:sz w:val="28"/>
          <w:szCs w:val="28"/>
          <w:highlight w:val="green"/>
        </w:rPr>
        <w:t xml:space="preserve"> для систематичного здійснення такого контролю та аналізу на сьогоднішній день в нашій державі є саме система нормування їх питомих витрат.</w:t>
      </w:r>
    </w:p>
    <w:p w:rsidR="004B2E58" w:rsidRPr="004A3622" w:rsidRDefault="004B2E58" w:rsidP="004B2E58">
      <w:pPr>
        <w:pStyle w:val="a3"/>
        <w:spacing w:line="276" w:lineRule="auto"/>
        <w:ind w:firstLine="720"/>
        <w:rPr>
          <w:sz w:val="28"/>
          <w:szCs w:val="28"/>
          <w:highlight w:val="green"/>
          <w:lang w:val="uk-UA"/>
        </w:rPr>
      </w:pPr>
      <w:r w:rsidRPr="004A3622">
        <w:rPr>
          <w:sz w:val="28"/>
          <w:szCs w:val="28"/>
          <w:highlight w:val="green"/>
          <w:lang w:val="uk-UA"/>
        </w:rPr>
        <w:t xml:space="preserve">З іншого боку, не менш очевидним є й те, що якість вирішення задачі контролю ефективності використання палива та енергії на основі існуючої в Україні системи нормування їх питомих витрат здебільшого не можна вважати задовільною. </w:t>
      </w:r>
    </w:p>
    <w:p w:rsidR="004B2E58" w:rsidRDefault="004B2E58" w:rsidP="004B2E58">
      <w:pPr>
        <w:pStyle w:val="PlainText1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4A3622">
        <w:rPr>
          <w:rFonts w:ascii="Times New Roman" w:hAnsi="Times New Roman"/>
          <w:sz w:val="28"/>
          <w:szCs w:val="28"/>
          <w:highlight w:val="green"/>
          <w:lang w:val="uk-UA"/>
        </w:rPr>
        <w:t xml:space="preserve">Про недосконалість цієї системи і необхідність її удосконалення та поступової заміни на інші, більш об’єктивні підходи та методи контролю </w:t>
      </w:r>
      <w:proofErr w:type="spellStart"/>
      <w:r w:rsidRPr="004A3622">
        <w:rPr>
          <w:rFonts w:ascii="Times New Roman" w:hAnsi="Times New Roman"/>
          <w:sz w:val="28"/>
          <w:szCs w:val="28"/>
          <w:highlight w:val="green"/>
          <w:lang w:val="uk-UA"/>
        </w:rPr>
        <w:t>енергоефективності</w:t>
      </w:r>
      <w:proofErr w:type="spellEnd"/>
      <w:r w:rsidRPr="004A3622">
        <w:rPr>
          <w:rFonts w:ascii="Times New Roman" w:hAnsi="Times New Roman"/>
          <w:sz w:val="28"/>
          <w:szCs w:val="28"/>
          <w:highlight w:val="green"/>
          <w:lang w:val="uk-UA"/>
        </w:rPr>
        <w:t xml:space="preserve"> вже було сказано і написано багато. Однак, на думку авторів цієї статті, перш ніж запропонувати певні напрямки подальшого розвитку методів контролю ефективності використання паливно-енергетичних ресурсів, доцільно не тільки проаналізувати недоліки діючої зараз в Україні системи нормування питомих витрат ПЕР, але й дещо детальніше поглянути на попередній досвід застосування та основні етапи створення системи нормування питомих витрат палива та енергії, що діяла у СРСР.</w:t>
      </w:r>
    </w:p>
    <w:p w:rsidR="004B2E58" w:rsidRPr="004A3622" w:rsidRDefault="004B2E58" w:rsidP="004B2E58">
      <w:pPr>
        <w:pStyle w:val="PlainText1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Мета та задачі</w:t>
      </w:r>
      <w:r w:rsidRPr="004B2E58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ru-RU"/>
        </w:rPr>
        <w:t xml:space="preserve"> </w:t>
      </w: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дослідження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Метою роботи є удосконалення існуючого порядку визначення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нормативних витрат електричної енергії на виробництво тепла для практичного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застосування та використання в навчальному процесі.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Задачі, які необхідно вирішити для досягнення зазначеної мети, базуються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 невирішених проблемах діючої в Україні системи нормування питомих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витрат енергоресурсів. Отже, основні завдання даної роботи є наступними: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1. Аналіз існуючих в Україні нормативно-методичних документів, що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визначають порядок та методологію встановлення норм питомої витрати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електроенергії.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2. Аналіз діючого Порядку визначення нормативних витрат електроенергії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 підприємствах теплоенергетики (далі Порядок).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3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Вивчення існуючих методів побудови балансів використовуючи ймовірнісно-статистичний метод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4. Приведення методів побудови балансів ймовірнісно-статистичним методом до практичного застосування та побудова програми на його основі.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5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. Підготовка матеріалів для розробки 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інтерактивних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методичних вказівок до виконання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курсової роботи з дисципліни «Методи контролю 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нергоефективності</w:t>
      </w:r>
      <w:proofErr w:type="spellEnd"/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»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для покращення засвоєння отриманих знань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Об’єкт дослідження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lastRenderedPageBreak/>
        <w:t>Об’єктом дослідження є процес контролю ефективності використання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електричної енергії на котельних.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Предмет дослідження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Предметом дослідження є методика розрахунку нормативних витрат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електроенергії та встановлення норм її питомої витрати на виробництво та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транспортування тепла.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Методи дослідження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При проведенні наукового дослідження використовувалось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  <w:lang w:val="ru-RU"/>
        </w:rPr>
        <w:t xml:space="preserve"> 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д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екілька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  <w:lang w:val="ru-RU"/>
        </w:rPr>
        <w:t xml:space="preserve"> 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методі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наукового дослідження.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 першому етапі роботи, на основі теоретичного опрацювання наявних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даних, було проаналізовано низку існуючих в Україні методик нормування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питомих витрат електричної енергії для різних виробничо-господарських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об’єктів. Зокрема, визначені основні недоліки Порядку розрахунку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нормативних витрат електроенергії на виробництво і транспортування тепла,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зроблено відповідні висновки, які стосуються вирішення поставленої перед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нами проблеми.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На другому етапі роботи було застосовано </w:t>
      </w:r>
      <w:proofErr w:type="spellStart"/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розрахунково-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  <w:lang w:val="ru-RU"/>
        </w:rPr>
        <w:t>а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налітичний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метод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досліджень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, що включає в себе розрахунок 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ймовірністно-статистичим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методом існуючих даних на котельних та побудови на цій базі комп’ютерної програми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За допомогою програмного забезпечення MS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Excel було виконано розрахунок середніх споживаних потужностей для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основного та допоміжного обладнання котельні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. За допомогою серверної технології 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Node.js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та мови програмування 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JavaScript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були побудовані статистичні розрахунки та автоматизовані розрахунки для методичних вказівок.  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:rsidR="004B2E58" w:rsidRPr="004A3622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Наукова новина одержаних результатів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4A3622">
        <w:rPr>
          <w:rFonts w:ascii="Times New Roman" w:hAnsi="Times New Roman" w:cs="Times New Roman"/>
          <w:bCs/>
          <w:color w:val="000000"/>
          <w:sz w:val="28"/>
          <w:szCs w:val="28"/>
          <w:highlight w:val="green"/>
        </w:rPr>
        <w:t>Узагальнено та удосконалено методику розрахунку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нормативних витрат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електроенергії та встановлення норм її питомої витрати на виробництво та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транспортування тепла на котельних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та створено на її базі прототип комп’ютерної програми для більш точного та швидкого розрахунку. Розроблено програму для спрощеного розрахунку 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витрати на виробництво та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транспортування тепла на котельних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для допомоги студентам у поглибленні знань отриманих при вивченні ди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сципліни: «Методи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контролю еф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ективності 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енерговикористання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».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Практичне значення отриманих результатів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Результати магістерської роботи можуть бути застосовані відповідними</w:t>
      </w:r>
    </w:p>
    <w:p w:rsidR="004B2E58" w:rsidRPr="004A3622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highlight w:val="green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lastRenderedPageBreak/>
        <w:t>організаціями при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розрахунках витрат електроенергії на котельних, використовуючи прототип програми, побудований на основі існуючих методів розрахунку витратної частини </w:t>
      </w:r>
      <w:proofErr w:type="spellStart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електробалансу</w:t>
      </w:r>
      <w:proofErr w:type="spellEnd"/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Також одержані в роботі результати будуть застосовані для створення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інтерактивних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методичних вказівок до виконання курсової роботи з дисципліни: «Методи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контролю ефективності </w:t>
      </w:r>
      <w:proofErr w:type="spellStart"/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енерговикористання</w:t>
      </w:r>
      <w:proofErr w:type="spellEnd"/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», що визначено планом кафедри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електропостачання ІЕЕ на 201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7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рік</w:t>
      </w:r>
      <w:r w:rsidRPr="004A3622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для покращення засвоєння студентами матеріалу</w:t>
      </w:r>
      <w:r w:rsidRPr="007D6E4D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red"/>
        </w:rPr>
        <w:t>Апробація результатів дисертації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B2E58" w:rsidRPr="007D6E4D" w:rsidRDefault="004B2E58" w:rsidP="004B2E5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red"/>
        </w:rPr>
      </w:pPr>
      <w:r w:rsidRPr="007D6E4D">
        <w:rPr>
          <w:rFonts w:ascii="Times New Roman" w:hAnsi="Times New Roman" w:cs="Times New Roman"/>
          <w:b/>
          <w:bCs/>
          <w:color w:val="000000"/>
          <w:sz w:val="28"/>
          <w:szCs w:val="28"/>
          <w:highlight w:val="red"/>
        </w:rPr>
        <w:t>Публікації</w:t>
      </w:r>
    </w:p>
    <w:p w:rsidR="004B2E58" w:rsidRPr="007D6E4D" w:rsidRDefault="004B2E58" w:rsidP="004B2E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D6E4D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За результатами наукових досліджень були зроблені наступні публікації:</w:t>
      </w:r>
    </w:p>
    <w:p w:rsidR="004364C3" w:rsidRPr="004B2E58" w:rsidRDefault="004364C3">
      <w:pPr>
        <w:rPr>
          <w:rFonts w:ascii="Times New Roman" w:hAnsi="Times New Roman" w:cs="Times New Roman"/>
          <w:sz w:val="28"/>
          <w:szCs w:val="28"/>
        </w:rPr>
      </w:pPr>
    </w:p>
    <w:sectPr w:rsidR="004364C3" w:rsidRPr="004B2E58" w:rsidSect="00436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B2E58"/>
    <w:rsid w:val="0000480F"/>
    <w:rsid w:val="00011B53"/>
    <w:rsid w:val="00022C46"/>
    <w:rsid w:val="0002638C"/>
    <w:rsid w:val="00027945"/>
    <w:rsid w:val="00032609"/>
    <w:rsid w:val="0003509F"/>
    <w:rsid w:val="00040E28"/>
    <w:rsid w:val="000463C3"/>
    <w:rsid w:val="000474FE"/>
    <w:rsid w:val="00050731"/>
    <w:rsid w:val="0005157D"/>
    <w:rsid w:val="00057C7A"/>
    <w:rsid w:val="00063D5C"/>
    <w:rsid w:val="00067417"/>
    <w:rsid w:val="00067D76"/>
    <w:rsid w:val="0007069B"/>
    <w:rsid w:val="000829DD"/>
    <w:rsid w:val="00082F54"/>
    <w:rsid w:val="00085C39"/>
    <w:rsid w:val="000904AE"/>
    <w:rsid w:val="0009077F"/>
    <w:rsid w:val="0009199E"/>
    <w:rsid w:val="000926CC"/>
    <w:rsid w:val="0009395E"/>
    <w:rsid w:val="00096969"/>
    <w:rsid w:val="00097FA3"/>
    <w:rsid w:val="000A39E6"/>
    <w:rsid w:val="000D0D72"/>
    <w:rsid w:val="000D128E"/>
    <w:rsid w:val="000E0758"/>
    <w:rsid w:val="000E6B1E"/>
    <w:rsid w:val="000F1FCE"/>
    <w:rsid w:val="001043B2"/>
    <w:rsid w:val="001116B2"/>
    <w:rsid w:val="00122017"/>
    <w:rsid w:val="00124892"/>
    <w:rsid w:val="001428D8"/>
    <w:rsid w:val="00146925"/>
    <w:rsid w:val="00146D16"/>
    <w:rsid w:val="00152647"/>
    <w:rsid w:val="00160E1D"/>
    <w:rsid w:val="001633EF"/>
    <w:rsid w:val="0016651D"/>
    <w:rsid w:val="001722DF"/>
    <w:rsid w:val="001778EF"/>
    <w:rsid w:val="00191E47"/>
    <w:rsid w:val="00192EEF"/>
    <w:rsid w:val="001A14E5"/>
    <w:rsid w:val="001A2B51"/>
    <w:rsid w:val="001B051B"/>
    <w:rsid w:val="001B1D9C"/>
    <w:rsid w:val="001B309D"/>
    <w:rsid w:val="001B7078"/>
    <w:rsid w:val="001C318B"/>
    <w:rsid w:val="001C59FF"/>
    <w:rsid w:val="001D3DAA"/>
    <w:rsid w:val="001D7E58"/>
    <w:rsid w:val="001E08D9"/>
    <w:rsid w:val="001F5336"/>
    <w:rsid w:val="001F7422"/>
    <w:rsid w:val="00201D96"/>
    <w:rsid w:val="00206C14"/>
    <w:rsid w:val="00214EB4"/>
    <w:rsid w:val="0021659A"/>
    <w:rsid w:val="00216B0A"/>
    <w:rsid w:val="0022262F"/>
    <w:rsid w:val="00224BE4"/>
    <w:rsid w:val="0023025A"/>
    <w:rsid w:val="00231DB9"/>
    <w:rsid w:val="002353E3"/>
    <w:rsid w:val="00245533"/>
    <w:rsid w:val="00245F44"/>
    <w:rsid w:val="00246187"/>
    <w:rsid w:val="0025505E"/>
    <w:rsid w:val="0026239E"/>
    <w:rsid w:val="00267EA3"/>
    <w:rsid w:val="0027072D"/>
    <w:rsid w:val="00276302"/>
    <w:rsid w:val="00280FE0"/>
    <w:rsid w:val="00284A2D"/>
    <w:rsid w:val="00293315"/>
    <w:rsid w:val="00294E58"/>
    <w:rsid w:val="00296138"/>
    <w:rsid w:val="00297B3F"/>
    <w:rsid w:val="002A27B1"/>
    <w:rsid w:val="002A54E1"/>
    <w:rsid w:val="002A5EF3"/>
    <w:rsid w:val="002C6F01"/>
    <w:rsid w:val="002C7E80"/>
    <w:rsid w:val="002D6108"/>
    <w:rsid w:val="002D75E5"/>
    <w:rsid w:val="002D77AD"/>
    <w:rsid w:val="002D7D8F"/>
    <w:rsid w:val="002E0B19"/>
    <w:rsid w:val="002E4EC8"/>
    <w:rsid w:val="002F4BB8"/>
    <w:rsid w:val="002F6680"/>
    <w:rsid w:val="002F71F2"/>
    <w:rsid w:val="003155C0"/>
    <w:rsid w:val="00315B7D"/>
    <w:rsid w:val="00324987"/>
    <w:rsid w:val="00326FDD"/>
    <w:rsid w:val="00331767"/>
    <w:rsid w:val="003448B7"/>
    <w:rsid w:val="00346D0B"/>
    <w:rsid w:val="00350B6D"/>
    <w:rsid w:val="003515A7"/>
    <w:rsid w:val="00352D69"/>
    <w:rsid w:val="003603DE"/>
    <w:rsid w:val="00364507"/>
    <w:rsid w:val="0036569C"/>
    <w:rsid w:val="0036700D"/>
    <w:rsid w:val="003702B5"/>
    <w:rsid w:val="003707DE"/>
    <w:rsid w:val="003754B5"/>
    <w:rsid w:val="003832BF"/>
    <w:rsid w:val="00386916"/>
    <w:rsid w:val="003A2632"/>
    <w:rsid w:val="003A5C1F"/>
    <w:rsid w:val="003A5FB1"/>
    <w:rsid w:val="003A6B84"/>
    <w:rsid w:val="003C0802"/>
    <w:rsid w:val="003C2121"/>
    <w:rsid w:val="003D775E"/>
    <w:rsid w:val="003E43E4"/>
    <w:rsid w:val="003F433D"/>
    <w:rsid w:val="003F62C7"/>
    <w:rsid w:val="00405088"/>
    <w:rsid w:val="004069E6"/>
    <w:rsid w:val="00413EF8"/>
    <w:rsid w:val="00423DC3"/>
    <w:rsid w:val="00432980"/>
    <w:rsid w:val="00435CC3"/>
    <w:rsid w:val="004364C3"/>
    <w:rsid w:val="0043654B"/>
    <w:rsid w:val="004435E8"/>
    <w:rsid w:val="004451DA"/>
    <w:rsid w:val="0045724F"/>
    <w:rsid w:val="00477FCF"/>
    <w:rsid w:val="00492AB6"/>
    <w:rsid w:val="00495155"/>
    <w:rsid w:val="00495587"/>
    <w:rsid w:val="004A0AAF"/>
    <w:rsid w:val="004A30F0"/>
    <w:rsid w:val="004A76CD"/>
    <w:rsid w:val="004B2DCA"/>
    <w:rsid w:val="004B2E58"/>
    <w:rsid w:val="004B5B2B"/>
    <w:rsid w:val="004C4C58"/>
    <w:rsid w:val="004D2195"/>
    <w:rsid w:val="004D4122"/>
    <w:rsid w:val="004D4FD4"/>
    <w:rsid w:val="004D622B"/>
    <w:rsid w:val="004F0C3E"/>
    <w:rsid w:val="004F2009"/>
    <w:rsid w:val="004F29A1"/>
    <w:rsid w:val="00500902"/>
    <w:rsid w:val="005063F1"/>
    <w:rsid w:val="005066E6"/>
    <w:rsid w:val="00520348"/>
    <w:rsid w:val="00523270"/>
    <w:rsid w:val="005244C4"/>
    <w:rsid w:val="005506E2"/>
    <w:rsid w:val="005524B6"/>
    <w:rsid w:val="00554D3A"/>
    <w:rsid w:val="005746EA"/>
    <w:rsid w:val="00574D69"/>
    <w:rsid w:val="00581F57"/>
    <w:rsid w:val="00591715"/>
    <w:rsid w:val="00591967"/>
    <w:rsid w:val="005934A9"/>
    <w:rsid w:val="005A45A8"/>
    <w:rsid w:val="005A7AA3"/>
    <w:rsid w:val="005B094E"/>
    <w:rsid w:val="005B37F8"/>
    <w:rsid w:val="005B4059"/>
    <w:rsid w:val="005B4516"/>
    <w:rsid w:val="005C2621"/>
    <w:rsid w:val="005C7EE6"/>
    <w:rsid w:val="005E098B"/>
    <w:rsid w:val="005E15A1"/>
    <w:rsid w:val="005E30C9"/>
    <w:rsid w:val="005E5661"/>
    <w:rsid w:val="005F1E11"/>
    <w:rsid w:val="005F6833"/>
    <w:rsid w:val="006003C8"/>
    <w:rsid w:val="006022F6"/>
    <w:rsid w:val="00610801"/>
    <w:rsid w:val="00614878"/>
    <w:rsid w:val="006156C1"/>
    <w:rsid w:val="00626BD6"/>
    <w:rsid w:val="00631364"/>
    <w:rsid w:val="0063193E"/>
    <w:rsid w:val="00634C99"/>
    <w:rsid w:val="00635671"/>
    <w:rsid w:val="00640999"/>
    <w:rsid w:val="0064658D"/>
    <w:rsid w:val="006516AC"/>
    <w:rsid w:val="006676B7"/>
    <w:rsid w:val="00673FBA"/>
    <w:rsid w:val="00681246"/>
    <w:rsid w:val="0068504E"/>
    <w:rsid w:val="006862C4"/>
    <w:rsid w:val="00690F24"/>
    <w:rsid w:val="00692DD4"/>
    <w:rsid w:val="006933E6"/>
    <w:rsid w:val="006A4F8F"/>
    <w:rsid w:val="006A701A"/>
    <w:rsid w:val="006A7A63"/>
    <w:rsid w:val="006B1682"/>
    <w:rsid w:val="006B4B3C"/>
    <w:rsid w:val="006B4C8B"/>
    <w:rsid w:val="006B5185"/>
    <w:rsid w:val="006B76A6"/>
    <w:rsid w:val="006C2036"/>
    <w:rsid w:val="006C4F7D"/>
    <w:rsid w:val="006D2866"/>
    <w:rsid w:val="006D5D7A"/>
    <w:rsid w:val="006F4AA2"/>
    <w:rsid w:val="00700D5A"/>
    <w:rsid w:val="00702668"/>
    <w:rsid w:val="00702D77"/>
    <w:rsid w:val="007044CB"/>
    <w:rsid w:val="00705146"/>
    <w:rsid w:val="0070676A"/>
    <w:rsid w:val="007103CF"/>
    <w:rsid w:val="0071188B"/>
    <w:rsid w:val="0072761E"/>
    <w:rsid w:val="00730774"/>
    <w:rsid w:val="00732366"/>
    <w:rsid w:val="00746563"/>
    <w:rsid w:val="00747EEC"/>
    <w:rsid w:val="007625C7"/>
    <w:rsid w:val="00762CC2"/>
    <w:rsid w:val="00763E05"/>
    <w:rsid w:val="00773B49"/>
    <w:rsid w:val="00783424"/>
    <w:rsid w:val="0078689A"/>
    <w:rsid w:val="00787B6B"/>
    <w:rsid w:val="00790256"/>
    <w:rsid w:val="00792194"/>
    <w:rsid w:val="00793389"/>
    <w:rsid w:val="007B680C"/>
    <w:rsid w:val="007B6DFB"/>
    <w:rsid w:val="007B6F30"/>
    <w:rsid w:val="007C7B5C"/>
    <w:rsid w:val="007D1DA0"/>
    <w:rsid w:val="007D582A"/>
    <w:rsid w:val="007D5E58"/>
    <w:rsid w:val="007E19D5"/>
    <w:rsid w:val="007E4EC0"/>
    <w:rsid w:val="007E70EF"/>
    <w:rsid w:val="008247C6"/>
    <w:rsid w:val="008270DF"/>
    <w:rsid w:val="008271CF"/>
    <w:rsid w:val="00835FDB"/>
    <w:rsid w:val="00836283"/>
    <w:rsid w:val="0083750D"/>
    <w:rsid w:val="008900FE"/>
    <w:rsid w:val="00896844"/>
    <w:rsid w:val="008A4127"/>
    <w:rsid w:val="008A5CC7"/>
    <w:rsid w:val="008A71D3"/>
    <w:rsid w:val="008C6B7A"/>
    <w:rsid w:val="008E1F85"/>
    <w:rsid w:val="008E3E52"/>
    <w:rsid w:val="008E4E87"/>
    <w:rsid w:val="00904FD6"/>
    <w:rsid w:val="00907E6E"/>
    <w:rsid w:val="009200D9"/>
    <w:rsid w:val="00922046"/>
    <w:rsid w:val="0093306C"/>
    <w:rsid w:val="009345CA"/>
    <w:rsid w:val="00947AE7"/>
    <w:rsid w:val="00954504"/>
    <w:rsid w:val="0096404F"/>
    <w:rsid w:val="009700AA"/>
    <w:rsid w:val="0097011E"/>
    <w:rsid w:val="00970220"/>
    <w:rsid w:val="009743ED"/>
    <w:rsid w:val="009808CE"/>
    <w:rsid w:val="00982AA9"/>
    <w:rsid w:val="00992CE2"/>
    <w:rsid w:val="00997EE9"/>
    <w:rsid w:val="009A0D8E"/>
    <w:rsid w:val="009A0F7A"/>
    <w:rsid w:val="009A1EF0"/>
    <w:rsid w:val="009B627E"/>
    <w:rsid w:val="009B71EE"/>
    <w:rsid w:val="009C2D39"/>
    <w:rsid w:val="009C4038"/>
    <w:rsid w:val="009D7AA5"/>
    <w:rsid w:val="009E0EFB"/>
    <w:rsid w:val="009E307D"/>
    <w:rsid w:val="009E3A34"/>
    <w:rsid w:val="009E4624"/>
    <w:rsid w:val="009F2A30"/>
    <w:rsid w:val="009F65FF"/>
    <w:rsid w:val="00A0341A"/>
    <w:rsid w:val="00A046BD"/>
    <w:rsid w:val="00A0479C"/>
    <w:rsid w:val="00A0708A"/>
    <w:rsid w:val="00A11357"/>
    <w:rsid w:val="00A43D47"/>
    <w:rsid w:val="00A5767C"/>
    <w:rsid w:val="00A91DC7"/>
    <w:rsid w:val="00A920B0"/>
    <w:rsid w:val="00AB075E"/>
    <w:rsid w:val="00AB7C14"/>
    <w:rsid w:val="00AC16AE"/>
    <w:rsid w:val="00AD04F8"/>
    <w:rsid w:val="00AD5E20"/>
    <w:rsid w:val="00AE6AED"/>
    <w:rsid w:val="00AE710A"/>
    <w:rsid w:val="00AE763A"/>
    <w:rsid w:val="00AF1D85"/>
    <w:rsid w:val="00B01BC3"/>
    <w:rsid w:val="00B152A0"/>
    <w:rsid w:val="00B179F9"/>
    <w:rsid w:val="00B217E6"/>
    <w:rsid w:val="00B2775E"/>
    <w:rsid w:val="00B308E9"/>
    <w:rsid w:val="00B3124D"/>
    <w:rsid w:val="00B32F11"/>
    <w:rsid w:val="00B33B2F"/>
    <w:rsid w:val="00B34977"/>
    <w:rsid w:val="00B43179"/>
    <w:rsid w:val="00B51D7B"/>
    <w:rsid w:val="00B55412"/>
    <w:rsid w:val="00B67540"/>
    <w:rsid w:val="00B739F1"/>
    <w:rsid w:val="00B8175A"/>
    <w:rsid w:val="00B8295A"/>
    <w:rsid w:val="00B91FB4"/>
    <w:rsid w:val="00B97E7C"/>
    <w:rsid w:val="00BA2977"/>
    <w:rsid w:val="00BB3BB9"/>
    <w:rsid w:val="00BD2390"/>
    <w:rsid w:val="00BD5199"/>
    <w:rsid w:val="00BE38CC"/>
    <w:rsid w:val="00BE6487"/>
    <w:rsid w:val="00C01A0A"/>
    <w:rsid w:val="00C07055"/>
    <w:rsid w:val="00C100F6"/>
    <w:rsid w:val="00C42528"/>
    <w:rsid w:val="00C555CC"/>
    <w:rsid w:val="00C62190"/>
    <w:rsid w:val="00C72699"/>
    <w:rsid w:val="00C7761C"/>
    <w:rsid w:val="00C94AF1"/>
    <w:rsid w:val="00CC301B"/>
    <w:rsid w:val="00CD0C02"/>
    <w:rsid w:val="00CD74D6"/>
    <w:rsid w:val="00CE2A43"/>
    <w:rsid w:val="00CF65DC"/>
    <w:rsid w:val="00D00D06"/>
    <w:rsid w:val="00D01C7D"/>
    <w:rsid w:val="00D03A94"/>
    <w:rsid w:val="00D10580"/>
    <w:rsid w:val="00D105C5"/>
    <w:rsid w:val="00D11FFA"/>
    <w:rsid w:val="00D130BF"/>
    <w:rsid w:val="00D2467B"/>
    <w:rsid w:val="00D3608E"/>
    <w:rsid w:val="00D40024"/>
    <w:rsid w:val="00D56BAA"/>
    <w:rsid w:val="00D66C4D"/>
    <w:rsid w:val="00D67078"/>
    <w:rsid w:val="00D6731F"/>
    <w:rsid w:val="00D703D1"/>
    <w:rsid w:val="00D705B3"/>
    <w:rsid w:val="00D75550"/>
    <w:rsid w:val="00D91CCD"/>
    <w:rsid w:val="00D92B5C"/>
    <w:rsid w:val="00DA1F42"/>
    <w:rsid w:val="00DA28DB"/>
    <w:rsid w:val="00DA2D62"/>
    <w:rsid w:val="00DA3C37"/>
    <w:rsid w:val="00DA57BA"/>
    <w:rsid w:val="00DB3255"/>
    <w:rsid w:val="00DC28FC"/>
    <w:rsid w:val="00DC2AE8"/>
    <w:rsid w:val="00DD23B4"/>
    <w:rsid w:val="00DE192B"/>
    <w:rsid w:val="00DE654C"/>
    <w:rsid w:val="00DF6385"/>
    <w:rsid w:val="00DF6DDB"/>
    <w:rsid w:val="00E001CD"/>
    <w:rsid w:val="00E00D97"/>
    <w:rsid w:val="00E05AE8"/>
    <w:rsid w:val="00E1502D"/>
    <w:rsid w:val="00E35DE7"/>
    <w:rsid w:val="00E44DF8"/>
    <w:rsid w:val="00E45DF7"/>
    <w:rsid w:val="00E532DB"/>
    <w:rsid w:val="00E67280"/>
    <w:rsid w:val="00E77C85"/>
    <w:rsid w:val="00E90EBF"/>
    <w:rsid w:val="00E93A61"/>
    <w:rsid w:val="00EA14A4"/>
    <w:rsid w:val="00EA2790"/>
    <w:rsid w:val="00EA5C93"/>
    <w:rsid w:val="00EB2F4C"/>
    <w:rsid w:val="00EB69F8"/>
    <w:rsid w:val="00ED0FA0"/>
    <w:rsid w:val="00ED2510"/>
    <w:rsid w:val="00EE1BF3"/>
    <w:rsid w:val="00EE3E5A"/>
    <w:rsid w:val="00EE65CA"/>
    <w:rsid w:val="00EF3E77"/>
    <w:rsid w:val="00F01214"/>
    <w:rsid w:val="00F06CE2"/>
    <w:rsid w:val="00F07DD2"/>
    <w:rsid w:val="00F131D5"/>
    <w:rsid w:val="00F136A3"/>
    <w:rsid w:val="00F26792"/>
    <w:rsid w:val="00F314EB"/>
    <w:rsid w:val="00F333CF"/>
    <w:rsid w:val="00F34FF8"/>
    <w:rsid w:val="00F36BDF"/>
    <w:rsid w:val="00F41AFB"/>
    <w:rsid w:val="00F43BD8"/>
    <w:rsid w:val="00F52022"/>
    <w:rsid w:val="00F53576"/>
    <w:rsid w:val="00F61BA5"/>
    <w:rsid w:val="00F62285"/>
    <w:rsid w:val="00F62452"/>
    <w:rsid w:val="00F741FB"/>
    <w:rsid w:val="00F82BB8"/>
    <w:rsid w:val="00F912BE"/>
    <w:rsid w:val="00F92394"/>
    <w:rsid w:val="00F93C5C"/>
    <w:rsid w:val="00F94403"/>
    <w:rsid w:val="00FA5B11"/>
    <w:rsid w:val="00FB2584"/>
    <w:rsid w:val="00FC040D"/>
    <w:rsid w:val="00FC1CAC"/>
    <w:rsid w:val="00FC413D"/>
    <w:rsid w:val="00FC4784"/>
    <w:rsid w:val="00FC6B27"/>
    <w:rsid w:val="00FD6D66"/>
    <w:rsid w:val="00FD7024"/>
    <w:rsid w:val="00FE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2E58"/>
  </w:style>
  <w:style w:type="paragraph" w:styleId="a3">
    <w:name w:val="Body Text"/>
    <w:basedOn w:val="a"/>
    <w:link w:val="a4"/>
    <w:rsid w:val="004B2E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4B2E58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PlainText1">
    <w:name w:val="Plain Text1"/>
    <w:basedOn w:val="a"/>
    <w:rsid w:val="004B2E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6506</Words>
  <Characters>3709</Characters>
  <Application>Microsoft Office Word</Application>
  <DocSecurity>0</DocSecurity>
  <Lines>30</Lines>
  <Paragraphs>20</Paragraphs>
  <ScaleCrop>false</ScaleCrop>
  <Company>Grizli777</Company>
  <LinksUpToDate>false</LinksUpToDate>
  <CharactersWithSpaces>10195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Darina</cp:lastModifiedBy>
  <cp:revision>2</cp:revision>
  <dcterms:created xsi:type="dcterms:W3CDTF">2017-05-25T11:08:00Z</dcterms:created>
  <dcterms:modified xsi:type="dcterms:W3CDTF">2017-05-25T11:09:00Z</dcterms:modified>
</cp:coreProperties>
</file>