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FA7E2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FA7E25">
              <w:rPr>
                <w:sz w:val="22"/>
                <w:szCs w:val="22"/>
              </w:rPr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rPr>
          <w:sz w:val="22"/>
          <w:szCs w:val="22"/>
        </w:rPr>
        <w:t>payer_fio</w:t>
      </w:r>
      <w:proofErr w:type="spellEnd"/>
      <w:r w:rsidRPr="00B17A29">
        <w:rPr>
          <w:sz w:val="22"/>
          <w:szCs w:val="22"/>
        </w:rPr>
        <w:t>}}, дата рождения {{</w:t>
      </w:r>
      <w:proofErr w:type="spellStart"/>
      <w:r w:rsidRPr="00B17A29">
        <w:rPr>
          <w:sz w:val="22"/>
          <w:szCs w:val="22"/>
        </w:rPr>
        <w:t>birth_date</w:t>
      </w:r>
      <w:proofErr w:type="spellEnd"/>
      <w:r w:rsidRPr="00B17A29">
        <w:rPr>
          <w:sz w:val="22"/>
          <w:szCs w:val="22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B17A29">
        <w:rPr>
          <w:sz w:val="22"/>
          <w:szCs w:val="22"/>
        </w:rPr>
        <w:t>сублицензионный</w:t>
      </w:r>
      <w:proofErr w:type="spellEnd"/>
      <w:r w:rsidRPr="00B17A29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b/>
                <w:sz w:val="22"/>
                <w:szCs w:val="22"/>
              </w:rPr>
              <w:t>payer_fio</w:t>
            </w:r>
            <w:proofErr w:type="spellEnd"/>
            <w:r w:rsidRPr="00B17A29">
              <w:rPr>
                <w:b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Default="00FA7E25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FA7E25">
              <w:rPr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FA7E25">
              <w:rPr>
                <w:sz w:val="22"/>
                <w:szCs w:val="22"/>
              </w:rPr>
              <w:t>г.Томск</w:t>
            </w:r>
            <w:proofErr w:type="spellEnd"/>
            <w:r w:rsidRPr="00FA7E25">
              <w:rPr>
                <w:sz w:val="22"/>
                <w:szCs w:val="22"/>
              </w:rPr>
              <w:t xml:space="preserve">, </w:t>
            </w:r>
            <w:proofErr w:type="spellStart"/>
            <w:r w:rsidRPr="00FA7E25">
              <w:rPr>
                <w:sz w:val="22"/>
                <w:szCs w:val="22"/>
              </w:rPr>
              <w:t>пр-кт</w:t>
            </w:r>
            <w:proofErr w:type="spellEnd"/>
            <w:r w:rsidRPr="00FA7E25">
              <w:rPr>
                <w:sz w:val="22"/>
                <w:szCs w:val="22"/>
              </w:rPr>
              <w:t xml:space="preserve"> Академический д.5, кв.36</w:t>
            </w:r>
          </w:p>
          <w:p w:rsidR="00FA7E25" w:rsidRPr="00B17A29" w:rsidRDefault="00FA7E25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876C2F" w:rsidRPr="00876C2F" w:rsidRDefault="00876C2F" w:rsidP="00876C2F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876C2F">
              <w:rPr>
                <w:sz w:val="22"/>
                <w:szCs w:val="22"/>
              </w:rPr>
              <w:t>Тел.: +79528050205</w:t>
            </w:r>
          </w:p>
          <w:p w:rsidR="00B17A29" w:rsidRPr="00FA7E25" w:rsidRDefault="00876C2F" w:rsidP="00876C2F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876C2F">
              <w:rPr>
                <w:sz w:val="22"/>
                <w:szCs w:val="22"/>
                <w:lang w:val="en-US"/>
              </w:rPr>
              <w:t>E</w:t>
            </w:r>
            <w:r w:rsidRPr="00FA7E25">
              <w:rPr>
                <w:sz w:val="22"/>
                <w:szCs w:val="22"/>
              </w:rPr>
              <w:t>-</w:t>
            </w:r>
            <w:r w:rsidRPr="00876C2F">
              <w:rPr>
                <w:sz w:val="22"/>
                <w:szCs w:val="22"/>
                <w:lang w:val="en-US"/>
              </w:rPr>
              <w:t>mail</w:t>
            </w:r>
            <w:r w:rsidRPr="00FA7E25">
              <w:rPr>
                <w:sz w:val="22"/>
                <w:szCs w:val="22"/>
              </w:rPr>
              <w:t xml:space="preserve">: </w:t>
            </w:r>
            <w:proofErr w:type="spellStart"/>
            <w:r w:rsidRPr="00876C2F">
              <w:rPr>
                <w:sz w:val="22"/>
                <w:szCs w:val="22"/>
                <w:lang w:val="en-US"/>
              </w:rPr>
              <w:t>matveichuk</w:t>
            </w:r>
            <w:proofErr w:type="spellEnd"/>
            <w:r w:rsidRPr="00FA7E25">
              <w:rPr>
                <w:sz w:val="22"/>
                <w:szCs w:val="22"/>
              </w:rPr>
              <w:t>.</w:t>
            </w:r>
            <w:r w:rsidRPr="00876C2F">
              <w:rPr>
                <w:sz w:val="22"/>
                <w:szCs w:val="22"/>
                <w:lang w:val="en-US"/>
              </w:rPr>
              <w:t>work</w:t>
            </w:r>
            <w:r w:rsidRPr="00FA7E25">
              <w:rPr>
                <w:sz w:val="22"/>
                <w:szCs w:val="22"/>
              </w:rPr>
              <w:t>@</w:t>
            </w:r>
            <w:proofErr w:type="spellStart"/>
            <w:r w:rsidRPr="00876C2F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FA7E25">
              <w:rPr>
                <w:sz w:val="22"/>
                <w:szCs w:val="22"/>
              </w:rPr>
              <w:t>.</w:t>
            </w:r>
            <w:r w:rsidRPr="00876C2F">
              <w:rPr>
                <w:sz w:val="22"/>
                <w:szCs w:val="22"/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 рождения: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 паспорта: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</w:t>
            </w:r>
            <w:proofErr w:type="spellStart"/>
            <w:r w:rsidRPr="00B17A29">
              <w:rPr>
                <w:position w:val="0"/>
                <w:sz w:val="22"/>
                <w:szCs w:val="22"/>
              </w:rPr>
              <w:t>registration_address</w:t>
            </w:r>
            <w:proofErr w:type="spellEnd"/>
            <w:r w:rsidRPr="00B17A29">
              <w:rPr>
                <w:position w:val="0"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sz w:val="22"/>
                <w:szCs w:val="22"/>
              </w:rPr>
              <w:t>payer_fio</w:t>
            </w:r>
            <w:proofErr w:type="spellEnd"/>
            <w:r w:rsidRPr="00B17A29">
              <w:rPr>
                <w:sz w:val="22"/>
                <w:szCs w:val="22"/>
              </w:rPr>
              <w:t>}}</w:t>
            </w:r>
          </w:p>
        </w:tc>
      </w:tr>
      <w:tr w:rsidR="00B17A29" w:rsidRPr="00FA7E2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0017AD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10C870" wp14:editId="42E678AF">
                  <wp:simplePos x="0" y="0"/>
                  <wp:positionH relativeFrom="column">
                    <wp:posOffset>-340360</wp:posOffset>
                  </wp:positionH>
                  <wp:positionV relativeFrom="paragraph">
                    <wp:posOffset>-461645</wp:posOffset>
                  </wp:positionV>
                  <wp:extent cx="1763869" cy="1501140"/>
                  <wp:effectExtent l="0" t="0" r="8255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 xml:space="preserve">г. </w:t>
      </w:r>
      <w:r w:rsidR="00FA7E25">
        <w:t>Томск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B17A29" w:rsidP="00F51ACE">
      <w:pPr>
        <w:spacing w:line="240" w:lineRule="auto"/>
        <w:ind w:left="0" w:hanging="2"/>
        <w:jc w:val="both"/>
      </w:pPr>
      <w:r w:rsidRPr="00B17A29"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t>payer_fio</w:t>
      </w:r>
      <w:proofErr w:type="spellEnd"/>
      <w:r w:rsidRPr="00B17A29">
        <w:t>}}, дата рождения {{</w:t>
      </w:r>
      <w:proofErr w:type="spellStart"/>
      <w:r w:rsidRPr="00B17A29">
        <w:t>birth_date</w:t>
      </w:r>
      <w:proofErr w:type="spellEnd"/>
      <w:r w:rsidRPr="00B17A29">
        <w:t>}}, именуемый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</w:pPr>
            <w:r w:rsidRPr="00B17A29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Гражданин {{</w:t>
            </w:r>
            <w:proofErr w:type="spellStart"/>
            <w:r w:rsidRPr="00B17A29">
              <w:rPr>
                <w:b/>
              </w:rPr>
              <w:t>payer_fio</w:t>
            </w:r>
            <w:proofErr w:type="spellEnd"/>
            <w:r w:rsidRPr="00B17A29">
              <w:rPr>
                <w:b/>
              </w:rPr>
              <w:t>}}</w:t>
            </w:r>
          </w:p>
        </w:tc>
      </w:tr>
      <w:tr w:rsidR="00B17A29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ОГРНИП 325700000020374</w:t>
            </w:r>
          </w:p>
          <w:p w:rsidR="00FA7E25" w:rsidRDefault="00FA7E25" w:rsidP="00FA7E25">
            <w:pPr>
              <w:widowControl w:val="0"/>
              <w:ind w:leftChars="0" w:left="2" w:hanging="2"/>
            </w:pPr>
            <w:r>
              <w:t xml:space="preserve">Юридический адрес: 634015, РФ, Томская обл., </w:t>
            </w:r>
            <w:proofErr w:type="spellStart"/>
            <w:r>
              <w:t>г.Томск</w:t>
            </w:r>
            <w:proofErr w:type="spellEnd"/>
            <w:r>
              <w:t xml:space="preserve">, </w:t>
            </w:r>
            <w:proofErr w:type="spellStart"/>
            <w:r>
              <w:t>пр-кт</w:t>
            </w:r>
            <w:proofErr w:type="spellEnd"/>
            <w:r>
              <w:t xml:space="preserve"> Академический д.5, кв.36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bookmarkStart w:id="12" w:name="_GoBack"/>
            <w:bookmarkEnd w:id="12"/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876C2F" w:rsidRPr="00FA7E25" w:rsidRDefault="00876C2F" w:rsidP="00876C2F">
            <w:pPr>
              <w:widowControl w:val="0"/>
              <w:ind w:leftChars="0" w:left="2" w:hanging="2"/>
            </w:pPr>
            <w:r>
              <w:t>Тел</w:t>
            </w:r>
            <w:r w:rsidRPr="00FA7E25">
              <w:t>.: +79528050205</w:t>
            </w:r>
          </w:p>
          <w:p w:rsidR="00B17A29" w:rsidRPr="00FA7E25" w:rsidRDefault="00876C2F" w:rsidP="00876C2F">
            <w:pPr>
              <w:widowControl w:val="0"/>
              <w:ind w:left="0" w:hanging="2"/>
            </w:pPr>
            <w:r>
              <w:rPr>
                <w:lang w:val="en-US"/>
              </w:rPr>
              <w:t>E</w:t>
            </w:r>
            <w:r w:rsidRPr="00FA7E25">
              <w:t>-</w:t>
            </w:r>
            <w:r>
              <w:rPr>
                <w:lang w:val="en-US"/>
              </w:rPr>
              <w:t>mail</w:t>
            </w:r>
            <w:r w:rsidRPr="00FA7E25">
              <w:t xml:space="preserve">: </w:t>
            </w:r>
            <w:hyperlink r:id="rId9" w:history="1">
              <w:r w:rsidRPr="008D2083">
                <w:rPr>
                  <w:rStyle w:val="ae"/>
                  <w:lang w:val="en-US"/>
                </w:rPr>
                <w:t>matveichuk</w:t>
              </w:r>
              <w:r w:rsidRPr="00FA7E25">
                <w:rPr>
                  <w:rStyle w:val="ae"/>
                </w:rPr>
                <w:t>.</w:t>
              </w:r>
              <w:r w:rsidRPr="008D2083">
                <w:rPr>
                  <w:rStyle w:val="ae"/>
                  <w:lang w:val="en-US"/>
                </w:rPr>
                <w:t>work</w:t>
              </w:r>
              <w:r w:rsidRPr="00FA7E25">
                <w:rPr>
                  <w:rStyle w:val="ae"/>
                </w:rPr>
                <w:t>@</w:t>
              </w:r>
              <w:r w:rsidRPr="008D2083">
                <w:rPr>
                  <w:rStyle w:val="ae"/>
                  <w:lang w:val="en-US"/>
                </w:rPr>
                <w:t>gmail</w:t>
              </w:r>
              <w:r w:rsidRPr="00FA7E25">
                <w:rPr>
                  <w:rStyle w:val="ae"/>
                </w:rPr>
                <w:t>.</w:t>
              </w:r>
              <w:r w:rsidRPr="008D2083">
                <w:rPr>
                  <w:rStyle w:val="ae"/>
                  <w:lang w:val="en-US"/>
                </w:rPr>
                <w:t>com</w:t>
              </w:r>
            </w:hyperlink>
          </w:p>
          <w:p w:rsidR="00876C2F" w:rsidRPr="00FA7E25" w:rsidRDefault="00876C2F" w:rsidP="00876C2F">
            <w:pPr>
              <w:widowControl w:val="0"/>
              <w:ind w:left="0" w:hanging="2"/>
              <w:rPr>
                <w:color w:val="054486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Дата рождения: {{</w:t>
            </w:r>
            <w:r w:rsidRPr="00B17A29">
              <w:rPr>
                <w:lang w:val="en-US"/>
              </w:rPr>
              <w:t>birth</w:t>
            </w:r>
            <w:r w:rsidRPr="00B17A29">
              <w:t>_</w:t>
            </w:r>
            <w:r w:rsidRPr="00B17A29">
              <w:rPr>
                <w:lang w:val="en-US"/>
              </w:rPr>
              <w:t>date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Номер паспорта: {{</w:t>
            </w:r>
            <w:r w:rsidRPr="00B17A29">
              <w:rPr>
                <w:lang w:val="en-US"/>
              </w:rPr>
              <w:t>passport</w:t>
            </w:r>
            <w:r w:rsidRPr="00B17A29">
              <w:t>_</w:t>
            </w:r>
            <w:r w:rsidRPr="00B17A29">
              <w:rPr>
                <w:lang w:val="en-US"/>
              </w:rPr>
              <w:t>number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Дата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выдачи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passport_issue_date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Кем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выдан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passport_issued_by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Код</w:t>
            </w:r>
            <w:r w:rsidRPr="00B17A29">
              <w:rPr>
                <w:lang w:val="en-US"/>
              </w:rPr>
              <w:t xml:space="preserve"> </w:t>
            </w:r>
            <w:r w:rsidRPr="00B17A29">
              <w:t>подразделения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passport_division_code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</w:pPr>
            <w:r w:rsidRPr="00B17A29">
              <w:t>Место регистрации:</w:t>
            </w:r>
            <w:r w:rsidRPr="00B17A29">
              <w:rPr>
                <w:position w:val="0"/>
              </w:rPr>
              <w:t xml:space="preserve"> {{</w:t>
            </w:r>
            <w:proofErr w:type="spellStart"/>
            <w:r w:rsidRPr="00B17A29">
              <w:rPr>
                <w:position w:val="0"/>
              </w:rPr>
              <w:t>registration_address</w:t>
            </w:r>
            <w:proofErr w:type="spellEnd"/>
            <w:r w:rsidRPr="00B17A29">
              <w:rPr>
                <w:position w:val="0"/>
              </w:rPr>
              <w:t>}}</w:t>
            </w:r>
          </w:p>
        </w:tc>
      </w:tr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</w:pPr>
            <w:r w:rsidRPr="00B17A29">
              <w:t>Гражданин {{</w:t>
            </w:r>
            <w:proofErr w:type="spellStart"/>
            <w:r w:rsidRPr="00B17A29">
              <w:t>payer_fio</w:t>
            </w:r>
            <w:proofErr w:type="spellEnd"/>
            <w:r w:rsidRPr="00B17A29">
              <w:t>}}</w:t>
            </w:r>
          </w:p>
        </w:tc>
      </w:tr>
      <w:tr w:rsidR="00B17A29" w:rsidRPr="00FA7E25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0017AD" w:rsidP="00B17A29">
            <w:pPr>
              <w:widowControl w:val="0"/>
              <w:ind w:left="0" w:hanging="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93B610" wp14:editId="19BC35DE">
                  <wp:simplePos x="0" y="0"/>
                  <wp:positionH relativeFrom="column">
                    <wp:posOffset>-332740</wp:posOffset>
                  </wp:positionH>
                  <wp:positionV relativeFrom="paragraph">
                    <wp:posOffset>-520065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rPr>
                <w:lang w:val="en-US"/>
              </w:rPr>
              <w:t>_________________ / {{</w:t>
            </w:r>
            <w:proofErr w:type="spellStart"/>
            <w:r w:rsidRPr="00B17A29">
              <w:rPr>
                <w:lang w:val="en-US"/>
              </w:rPr>
              <w:t>payer_short_name</w:t>
            </w:r>
            <w:proofErr w:type="spellEnd"/>
            <w:r w:rsidRPr="00B17A29">
              <w:rPr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t>Б</w:t>
            </w:r>
            <w:r w:rsidRPr="00B17A29">
              <w:rPr>
                <w:lang w:val="en-US"/>
              </w:rPr>
              <w:t>.</w:t>
            </w:r>
            <w:r w:rsidRPr="00B17A29">
              <w:t>П</w:t>
            </w:r>
            <w:r w:rsidRPr="00B17A29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E1" w:rsidRDefault="00E725E1">
      <w:pPr>
        <w:spacing w:line="240" w:lineRule="auto"/>
        <w:ind w:left="0" w:hanging="2"/>
      </w:pPr>
      <w:r>
        <w:separator/>
      </w:r>
    </w:p>
  </w:endnote>
  <w:endnote w:type="continuationSeparator" w:id="0">
    <w:p w:rsidR="00E725E1" w:rsidRDefault="00E725E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A7E25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E1" w:rsidRDefault="00E725E1">
      <w:pPr>
        <w:spacing w:line="240" w:lineRule="auto"/>
        <w:ind w:left="0" w:hanging="2"/>
      </w:pPr>
      <w:r>
        <w:separator/>
      </w:r>
    </w:p>
  </w:footnote>
  <w:footnote w:type="continuationSeparator" w:id="0">
    <w:p w:rsidR="00E725E1" w:rsidRDefault="00E725E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017A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5F5D8B"/>
    <w:rsid w:val="00693661"/>
    <w:rsid w:val="006B2E56"/>
    <w:rsid w:val="007B781D"/>
    <w:rsid w:val="007E54A4"/>
    <w:rsid w:val="00820A05"/>
    <w:rsid w:val="008218B8"/>
    <w:rsid w:val="00876C2F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725E1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  <w:rsid w:val="00F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4CEF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tveichuk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12</cp:revision>
  <cp:lastPrinted>2023-01-10T14:17:00Z</cp:lastPrinted>
  <dcterms:created xsi:type="dcterms:W3CDTF">2025-06-14T09:19:00Z</dcterms:created>
  <dcterms:modified xsi:type="dcterms:W3CDTF">2025-09-18T09:51:00Z</dcterms:modified>
</cp:coreProperties>
</file>