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B574F">
      <w:pPr>
        <w:ind w:left="0" w:leftChars="0" w:firstLine="0" w:firstLineChars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МИНИСТЕРСТВО СЕЛЬСКОГО ХОЗЯЙСТВА РФ</w:t>
      </w:r>
    </w:p>
    <w:p w14:paraId="45DECD8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ФГБОУ ВО «Кубанский государственный</w:t>
      </w:r>
    </w:p>
    <w:p w14:paraId="2699FE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аграрный университет имени И.Т. Трубилина»</w:t>
      </w:r>
    </w:p>
    <w:p w14:paraId="1092A46E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E7ED6FC">
      <w:pPr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Кафедра информационных систем</w:t>
      </w:r>
    </w:p>
    <w:p w14:paraId="3A8FF447">
      <w:pPr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C194428">
      <w:pPr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КУРСОВАЯ РАБОТА</w:t>
      </w:r>
    </w:p>
    <w:p w14:paraId="4D8B6B0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0" w:firstLineChars="0"/>
        <w:jc w:val="both"/>
        <w:textAlignment w:val="auto"/>
        <w:rPr>
          <w:rFonts w:ascii="TimesNewRomanPS-BoldMT" w:hAnsi="TimesNewRomanPS-BoldMT" w:eastAsia="TimesNewRomanPS-BoldMT" w:cs="TimesNewRomanPS-BoldMT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2B001D0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по дисциплине: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Нелинейная динамика экономических процессов</w:t>
      </w:r>
    </w:p>
    <w:p w14:paraId="5D9CA5F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на тему: «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 xml:space="preserve">Программная реализация трёхцветной клеточно-автоматной </w:t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ab/>
        <w:t/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прогнозной модели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</w:t>
      </w:r>
    </w:p>
    <w:p w14:paraId="216C309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ыполнил студент группы ПИ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2441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74AC30D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Макаров Юрий Юрьевич</w:t>
      </w:r>
    </w:p>
    <w:p w14:paraId="41847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Допущен к защите _______ </w:t>
      </w:r>
    </w:p>
    <w:p w14:paraId="6E55862B">
      <w:pPr>
        <w:pStyle w:val="3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20" w:firstLineChars="0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Руководитель проекта: </w:t>
      </w:r>
      <w:r>
        <w:rPr>
          <w:sz w:val="28"/>
          <w:szCs w:val="28"/>
        </w:rPr>
        <w:t>Попова Елена Витальевна</w:t>
      </w:r>
    </w:p>
    <w:p w14:paraId="7CC912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Нормоконтролер _____________________________</w:t>
      </w:r>
      <w:r>
        <w:rPr>
          <w:sz w:val="28"/>
          <w:szCs w:val="28"/>
        </w:rPr>
        <w:t>Попова Е</w:t>
      </w:r>
      <w:r>
        <w:rPr>
          <w:rFonts w:hint="default"/>
          <w:sz w:val="28"/>
          <w:szCs w:val="28"/>
          <w:lang w:val="ru-RU"/>
        </w:rPr>
        <w:t>. В.</w:t>
      </w:r>
    </w:p>
    <w:p w14:paraId="4E7F03A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2160" w:leftChars="0" w:firstLine="720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(подпись, расшифровка подписи)</w:t>
      </w:r>
    </w:p>
    <w:p w14:paraId="1C2C2EC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</w:pPr>
    </w:p>
    <w:p w14:paraId="1874351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Защищен _________________ Оценка_______________________ </w:t>
      </w:r>
    </w:p>
    <w:p w14:paraId="295E962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 xml:space="preserve">(дата) </w:t>
      </w:r>
    </w:p>
    <w:p w14:paraId="26D3002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</w:pPr>
    </w:p>
    <w:p w14:paraId="0EAAC1C1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Члены комиссии_______________________________________________ </w:t>
      </w:r>
    </w:p>
    <w:p w14:paraId="07569234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_____________________________________________________________ </w:t>
      </w:r>
    </w:p>
    <w:p w14:paraId="55DA69A8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_____________________________________________________________ </w:t>
      </w:r>
    </w:p>
    <w:p w14:paraId="7E06C278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_____________________________________________________________ </w:t>
      </w:r>
    </w:p>
    <w:p w14:paraId="60271516"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426A070">
      <w:pPr>
        <w:keepNext w:val="0"/>
        <w:keepLines w:val="0"/>
        <w:widowControl/>
        <w:suppressLineNumbers w:val="0"/>
        <w:jc w:val="center"/>
        <w:rPr>
          <w:rFonts w:hint="default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Краснодар – 20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26</w:t>
      </w:r>
    </w:p>
    <w:p w14:paraId="7F68231F">
      <w:pPr>
        <w:ind w:left="0" w:leftChars="0" w:firstLine="0" w:firstLineChars="0"/>
        <w:rPr>
          <w:rFonts w:hint="default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sectPr>
          <w:headerReference r:id="rId5" w:type="default"/>
          <w:pgSz w:w="12240" w:h="15840"/>
          <w:pgMar w:top="1134" w:right="567" w:bottom="1134" w:left="1417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titlePg/>
          <w:rtlGutter w:val="0"/>
          <w:docGrid w:linePitch="360" w:charSpace="0"/>
        </w:sectPr>
      </w:pPr>
    </w:p>
    <w:p w14:paraId="4366FE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МИНИСТЕРСТВО СЕЛЬСКОГО ХОЗЯЙСТВА РФ</w:t>
      </w:r>
    </w:p>
    <w:p w14:paraId="587DAFC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ФГБОУ ВО «Кубанский государственный</w:t>
      </w:r>
    </w:p>
    <w:p w14:paraId="2182D14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аграрный университет имени И.Т. Трубилина»</w:t>
      </w:r>
    </w:p>
    <w:p w14:paraId="57ABBC0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Кафедра информационных систем</w:t>
      </w:r>
    </w:p>
    <w:p w14:paraId="3839F67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righ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УТВЕРЖДАЮ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0AAC3A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righ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Зав. кафедрой информационных систем </w:t>
      </w:r>
    </w:p>
    <w:p w14:paraId="55DBB6C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righ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профессор Попова Е.В. </w:t>
      </w:r>
    </w:p>
    <w:p w14:paraId="70637D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righ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____________________ </w:t>
      </w:r>
    </w:p>
    <w:p w14:paraId="5FBB0CC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righ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«__»__________20</w:t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26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г. </w:t>
      </w:r>
    </w:p>
    <w:p w14:paraId="6FBBF99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center"/>
        <w:textAlignment w:val="auto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ЗАДАНИЕ</w:t>
      </w:r>
    </w:p>
    <w:p w14:paraId="791788E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 курсовую работу</w:t>
      </w:r>
    </w:p>
    <w:p w14:paraId="08EBFC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Студенту группы ПИ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2441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 </w:t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2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курса </w:t>
      </w:r>
    </w:p>
    <w:p w14:paraId="18724E0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Факультета: Прикладной информатики </w:t>
      </w:r>
    </w:p>
    <w:p w14:paraId="1CD5310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Специальности: 09.04.03. – Прикладная информатика, направленность </w:t>
      </w:r>
    </w:p>
    <w:p w14:paraId="616D8E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«Менеджмент проектов в области информационных систем» </w:t>
      </w:r>
    </w:p>
    <w:p w14:paraId="612DD2A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Макарову Юрию Юрьевичу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4EB8E99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20" w:firstLineChars="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Тема проекта: «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Программная реализация трёхцветной клеточно-автоматной прогнозной модели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</w:t>
      </w:r>
    </w:p>
    <w:p w14:paraId="0AC982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20" w:firstLineChars="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0B862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Содержание задания: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Разработать и реализовать программную систему прогнозирования финансовых временных рядов на основе трехцветной клеточно-автоматной модели с оценкой глубины памяти и точности прогноза.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  <w:bookmarkStart w:id="28" w:name="_GoBack"/>
      <w:bookmarkEnd w:id="28"/>
    </w:p>
    <w:p w14:paraId="74654E0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6DDD23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Объем работы: </w:t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20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страниц </w:t>
      </w:r>
    </w:p>
    <w:p w14:paraId="245FEF9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Рекомендуемая литература: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>Вольфрам С. Новая наука. – М.: Мир, 2009; Нильсен Э. Практический анализ временных рядов: прогнозирование со статистикой и машинное обучение. – СПб.: Диалектика, 2021; Шашихин В.Н. Хаос и нелинейная динамика. – М.: ЛЕНАНД, 2014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3776AA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Срок выполнения проекта: с «___» __________ по «__» _______ 20__ г. </w:t>
      </w:r>
    </w:p>
    <w:p w14:paraId="27DADA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Срок защиты: «__» ________ 20__ г. </w:t>
      </w:r>
    </w:p>
    <w:p w14:paraId="23E296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Дата выдачи задания: «__» _________ 20__ г. </w:t>
      </w:r>
    </w:p>
    <w:p w14:paraId="3F4752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Дата сдачи проекта на кафедру: «___» _______ 20__ г. </w:t>
      </w:r>
    </w:p>
    <w:p w14:paraId="2B915BA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Руководитель проекта ____________Замотайлова Дарья Александровна, </w:t>
      </w:r>
    </w:p>
    <w:p w14:paraId="10589A0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канд. экон. наук, доцент </w:t>
      </w:r>
    </w:p>
    <w:p w14:paraId="268D1C6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Задание принял студент____________ </w:t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Макаров Юрий Юрьевич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2A1E53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3600" w:leftChars="0" w:firstLine="720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 xml:space="preserve">(подпись, дата) </w:t>
      </w:r>
    </w:p>
    <w:p w14:paraId="20B3898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Краснодар – 20</w:t>
      </w:r>
      <w:r>
        <w:rPr>
          <w:rFonts w:hint="default" w:eastAsia="SimSun" w:cs="Times New Roman"/>
          <w:color w:val="000000"/>
          <w:kern w:val="0"/>
          <w:sz w:val="28"/>
          <w:szCs w:val="28"/>
          <w:lang w:val="ru-RU" w:eastAsia="zh-CN" w:bidi="ar"/>
        </w:rPr>
        <w:t>26</w:t>
      </w:r>
    </w:p>
    <w:p w14:paraId="747C4E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sectPr>
          <w:footerReference r:id="rId8" w:type="first"/>
          <w:headerReference r:id="rId6" w:type="default"/>
          <w:footerReference r:id="rId7" w:type="default"/>
          <w:pgSz w:w="12240" w:h="15840"/>
          <w:pgMar w:top="1134" w:right="567" w:bottom="1134" w:left="1417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60" w:charSpace="0"/>
        </w:sectPr>
      </w:pPr>
    </w:p>
    <w:p w14:paraId="71635D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РЕФЕРАТ</w:t>
      </w:r>
    </w:p>
    <w:p w14:paraId="396D16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Работа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2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0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с.,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10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рис.,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2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табл.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, 7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источников,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прил.</w:t>
      </w:r>
    </w:p>
    <w:p w14:paraId="1A3AB3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КЛЕТОЧНЫЙ АВТОМАТ, ВРЕМЕННОЙ РЯД, ПРОГНОЗИРОВАНИЕ, ДОХОДНОСТЬ, ДИСКРЕТИЗАЦИЯ, СТОХАСТИЧЕСКАЯ МОДЕЛЬ, РЫНОЧНАЯ ПАМЯТЬ</w:t>
      </w:r>
    </w:p>
    <w:p w14:paraId="0F53F2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Объектом исследования являются финансовые временные ряды котировок акций российских компаний.</w:t>
      </w:r>
    </w:p>
    <w:p w14:paraId="2FD1DB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Цель работы — разработка и программная реализация трёхцветной стохастической клеточно-автоматной модели прогнозирования финансовых временных рядов.</w:t>
      </w:r>
    </w:p>
    <w:p w14:paraId="2955A8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процессе работы использовались методы анализа временных рядов, дискретизации доходностей, вероятностного моделирования переходов состояний, а также методы оценки точности прогноза на основе метрик MAE, MSE, RMSE и MAPE.</w:t>
      </w:r>
    </w:p>
    <w:p w14:paraId="00ADB9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результате исследования разработан алгоритм трёхсостояний клеточного автомата с памятью, реализовано программное приложение для загрузки данных с Московской биржи и проведения прогнозирования, выполнен сравнительный анализ результатов для пяти временных рядов.</w:t>
      </w:r>
    </w:p>
    <w:p w14:paraId="36FE7B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Полученные результаты показали, что предложенная модель способна воспроизводить основные тенденции движения цены, при этом точность прогнозирования зависит от глубины памяти и характеристик конкретного финансового инструмента.</w:t>
      </w:r>
    </w:p>
    <w:p w14:paraId="54F49ACE">
      <w:pP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5245ECCD">
      <w:pPr>
        <w:ind w:left="0" w:leftChars="0" w:firstLine="0" w:firstLineChars="0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sdt>
      <w:sdtPr>
        <w:rPr>
          <w:rFonts w:hint="default" w:ascii="Times New Roman" w:hAnsi="Times New Roman" w:eastAsia="SimSun" w:cs="Times New Roman"/>
          <w:sz w:val="28"/>
          <w:szCs w:val="28"/>
          <w:lang w:val="en-US" w:eastAsia="en-US" w:bidi="ar-SA"/>
        </w:rPr>
        <w:id w:val="147457770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SimSun" w:cs="Times New Roman"/>
          <w:sz w:val="28"/>
          <w:szCs w:val="28"/>
          <w:lang w:val="en-US" w:eastAsia="en-US" w:bidi="ar-SA"/>
        </w:rPr>
      </w:sdtEndPr>
      <w:sdtContent>
        <w:p w14:paraId="610A1A8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28"/>
              <w:szCs w:val="28"/>
            </w:rPr>
            <w:t>О</w:t>
          </w:r>
          <w:r>
            <w:rPr>
              <w:rFonts w:hint="default" w:eastAsia="SimSun" w:cs="Times New Roman"/>
              <w:b/>
              <w:bCs/>
              <w:sz w:val="28"/>
              <w:szCs w:val="28"/>
              <w:lang w:val="ru-RU"/>
            </w:rPr>
            <w:t>ГЛАВЛЕНИЕ</w:t>
          </w:r>
        </w:p>
        <w:p w14:paraId="7C8F198C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_Toc13814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_Toc13814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8738272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_Toc15574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 ТЕОРЕТИЧЕСКИЕ ОСНОВЫ АНАЛИЗА ВРЕМЕННЫХ РЯДОВ</w:t>
          </w:r>
          <w:r>
            <w:tab/>
          </w:r>
          <w:r>
            <w:fldChar w:fldCharType="begin"/>
          </w:r>
          <w:r>
            <w:instrText xml:space="preserve"> PAGEREF _Toc15574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72997ECB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_Toc2560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Cs w:val="28"/>
              <w:lang w:val="ru-RU"/>
            </w:rPr>
            <w:t>2</w:t>
          </w:r>
          <w:r>
            <w:rPr>
              <w:rFonts w:hint="default" w:ascii="Times New Roman" w:hAnsi="Times New Roman" w:cs="Times New Roman"/>
              <w:szCs w:val="28"/>
            </w:rPr>
            <w:t xml:space="preserve"> ТЕОРЕТИЧЕСКИЕ ОСНОВЫ КЛЕТОЧНЫХ АВТОМАТОВ</w:t>
          </w:r>
          <w:r>
            <w:tab/>
          </w:r>
          <w:r>
            <w:fldChar w:fldCharType="begin"/>
          </w:r>
          <w:r>
            <w:instrText xml:space="preserve"> PAGEREF _Toc2560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233DEC1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_Toc28886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Cs w:val="28"/>
              <w:lang w:val="ru-RU"/>
            </w:rPr>
            <w:t>3</w:t>
          </w:r>
          <w:r>
            <w:rPr>
              <w:rFonts w:hint="default" w:ascii="Times New Roman" w:hAnsi="Times New Roman" w:cs="Times New Roman"/>
              <w:szCs w:val="28"/>
            </w:rPr>
            <w:t xml:space="preserve"> СТОХАСТИЧЕСКИЙ ТРЁХСОСТОЯНИЕ КЛЕТОЧНЫЙ АВТОМАТ С ПАМЯТЬЮ m</w:t>
          </w:r>
          <w:r>
            <w:tab/>
          </w:r>
          <w:r>
            <w:fldChar w:fldCharType="begin"/>
          </w:r>
          <w:r>
            <w:instrText xml:space="preserve"> PAGEREF _Toc28886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34D58E1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_Toc13895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3</w:t>
          </w:r>
          <w:r>
            <w:rPr>
              <w:rFonts w:hint="default" w:ascii="Times New Roman" w:hAnsi="Times New Roman" w:cs="Times New Roman"/>
              <w:bCs/>
              <w:szCs w:val="28"/>
            </w:rPr>
            <w:t>.1 Обоснование выбора</w:t>
          </w:r>
          <w:r>
            <w:tab/>
          </w:r>
          <w:r>
            <w:fldChar w:fldCharType="begin"/>
          </w:r>
          <w:r>
            <w:instrText xml:space="preserve"> PAGEREF _Toc13895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5C31A65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_Toc2380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3.2 Дискретизация доходностей</w:t>
          </w:r>
          <w:r>
            <w:tab/>
          </w:r>
          <w:r>
            <w:fldChar w:fldCharType="begin"/>
          </w:r>
          <w:r>
            <w:instrText xml:space="preserve"> PAGEREF _Toc2380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76A745D3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_Toc12962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3.3 Память длины m</w:t>
          </w:r>
          <w:r>
            <w:tab/>
          </w:r>
          <w:r>
            <w:fldChar w:fldCharType="begin"/>
          </w:r>
          <w:r>
            <w:instrText xml:space="preserve"> PAGEREF _Toc12962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0BBF5056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_Toc27164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3.4 Вероятностное правило перехода</w:t>
          </w:r>
          <w:r>
            <w:tab/>
          </w:r>
          <w:r>
            <w:fldChar w:fldCharType="begin"/>
          </w:r>
          <w:r>
            <w:instrText xml:space="preserve"> PAGEREF _Toc27164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6C1DDE0E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_Toc6445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3.5 Правило прогноза</w:t>
          </w:r>
          <w:r>
            <w:tab/>
          </w:r>
          <w:r>
            <w:fldChar w:fldCharType="begin"/>
          </w:r>
          <w:r>
            <w:instrText xml:space="preserve"> PAGEREF _Toc6445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660ECADA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_Toc31663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3.6 Переход к цене</w:t>
          </w:r>
          <w:r>
            <w:tab/>
          </w:r>
          <w:r>
            <w:fldChar w:fldCharType="begin"/>
          </w:r>
          <w:r>
            <w:instrText xml:space="preserve"> PAGEREF _Toc31663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30CD46AB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_Toc29816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Cs w:val="28"/>
              <w:lang w:val="ru-RU"/>
            </w:rPr>
            <w:t>4</w:t>
          </w:r>
          <w:r>
            <w:rPr>
              <w:rFonts w:hint="default" w:ascii="Times New Roman" w:hAnsi="Times New Roman" w:cs="Times New Roman"/>
              <w:szCs w:val="28"/>
            </w:rPr>
            <w:t xml:space="preserve"> ПОРЯДОК РАБОТЫ С ПРОГРАММОЙ</w:t>
          </w:r>
          <w:r>
            <w:tab/>
          </w:r>
          <w:r>
            <w:fldChar w:fldCharType="begin"/>
          </w:r>
          <w:r>
            <w:instrText xml:space="preserve"> PAGEREF _Toc29816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4462C5B1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_Toc6876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4.1 Подготовка данных и выбор источника</w:t>
          </w:r>
          <w:r>
            <w:tab/>
          </w:r>
          <w:r>
            <w:fldChar w:fldCharType="begin"/>
          </w:r>
          <w:r>
            <w:instrText xml:space="preserve"> PAGEREF _Toc6876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77135ED6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_Toc24679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4.2 Настройка параметров модели</w:t>
          </w:r>
          <w:r>
            <w:tab/>
          </w:r>
          <w:r>
            <w:fldChar w:fldCharType="begin"/>
          </w:r>
          <w:r>
            <w:instrText xml:space="preserve"> PAGEREF _Toc24679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2015374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_Toc25812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4.3 Выполнение прогноза</w:t>
          </w:r>
          <w:r>
            <w:tab/>
          </w:r>
          <w:r>
            <w:fldChar w:fldCharType="begin"/>
          </w:r>
          <w:r>
            <w:instrText xml:space="preserve"> PAGEREF _Toc25812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9706B6B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_Toc6866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4.4 Оценка точности и экспорт результатов</w:t>
          </w:r>
          <w:r>
            <w:tab/>
          </w:r>
          <w:r>
            <w:fldChar w:fldCharType="begin"/>
          </w:r>
          <w:r>
            <w:instrText xml:space="preserve"> PAGEREF _Toc6866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32577AB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_Toc10164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4.5 Подготовка релизных сборок для запуска</w:t>
          </w:r>
          <w:r>
            <w:tab/>
          </w:r>
          <w:r>
            <w:fldChar w:fldCharType="begin"/>
          </w:r>
          <w:r>
            <w:instrText xml:space="preserve"> PAGEREF _Toc10164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9B2B73E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_Toc19048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cs="Times New Roman" w:eastAsiaTheme="majorEastAsia"/>
              <w:bCs/>
              <w:szCs w:val="28"/>
              <w:lang w:val="ru-RU" w:eastAsia="en-US" w:bidi="ar-SA"/>
            </w:rPr>
            <w:t>5</w:t>
          </w:r>
          <w:r>
            <w:rPr>
              <w:rFonts w:hint="default" w:ascii="Times New Roman" w:hAnsi="Times New Roman" w:cs="Times New Roman" w:eastAsiaTheme="majorEastAsia"/>
              <w:bCs/>
              <w:szCs w:val="28"/>
              <w:lang w:val="ru-RU" w:eastAsia="en-US" w:bidi="ar-SA"/>
            </w:rPr>
            <w:t xml:space="preserve">  ПРОГНОЗИРОВАНИЕ 5 ВРЕМЕННЫХ РЯДОВ</w:t>
          </w:r>
          <w:r>
            <w:tab/>
          </w:r>
          <w:r>
            <w:fldChar w:fldCharType="begin"/>
          </w:r>
          <w:r>
            <w:instrText xml:space="preserve"> PAGEREF _Toc19048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EF73E3D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_Toc17520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5.1 Подготовка исходных данных</w:t>
          </w:r>
          <w:r>
            <w:tab/>
          </w:r>
          <w:r>
            <w:fldChar w:fldCharType="begin"/>
          </w:r>
          <w:r>
            <w:instrText xml:space="preserve"> PAGEREF _Toc17520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018792B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_Toc13664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5.2 Проведение прогнозирования</w:t>
          </w:r>
          <w:r>
            <w:tab/>
          </w:r>
          <w:r>
            <w:fldChar w:fldCharType="begin"/>
          </w:r>
          <w:r>
            <w:instrText xml:space="preserve"> PAGEREF _Toc13664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C0DEF2E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_Toc29991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5.3 Формирование сравнительной таблицы</w:t>
          </w:r>
          <w:r>
            <w:tab/>
          </w:r>
          <w:r>
            <w:fldChar w:fldCharType="begin"/>
          </w:r>
          <w:r>
            <w:instrText xml:space="preserve"> PAGEREF _Toc29991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63A8CB0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_Toc12029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28"/>
              <w:lang w:val="ru-RU"/>
            </w:rPr>
            <w:t>5.4 Анализ полученных результатов</w:t>
          </w:r>
          <w:r>
            <w:tab/>
          </w:r>
          <w:r>
            <w:fldChar w:fldCharType="begin"/>
          </w:r>
          <w:r>
            <w:instrText xml:space="preserve"> PAGEREF _Toc12029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45D24DC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_Toc17196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bCs/>
              <w:szCs w:val="28"/>
              <w:lang w:val="ru-RU" w:eastAsia="en-US" w:bidi="ar-SA"/>
            </w:rPr>
            <w:t>ЗАКЛЮЧЕНИЕ</w:t>
          </w:r>
          <w:r>
            <w:tab/>
          </w:r>
          <w:r>
            <w:fldChar w:fldCharType="begin"/>
          </w:r>
          <w:r>
            <w:instrText xml:space="preserve"> PAGEREF _Toc17196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16FBF86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_Toc31221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Cs w:val="28"/>
              <w:lang w:val="en-US" w:eastAsia="en-US" w:bidi="ar-SA"/>
            </w:rPr>
            <w:t>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_Toc31221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0B75D80B">
          <w:pPr>
            <w:pStyle w:val="22"/>
            <w:tabs>
              <w:tab w:val="right" w:leader="dot" w:pos="10256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_Toc4682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 w:cs="Times New Roman"/>
              <w:bCs/>
              <w:szCs w:val="28"/>
              <w:lang w:val="ru-RU"/>
            </w:rPr>
            <w:t>Приложение А</w:t>
          </w:r>
          <w:r>
            <w:tab/>
          </w:r>
          <w:r>
            <w:fldChar w:fldCharType="begin"/>
          </w:r>
          <w:r>
            <w:instrText xml:space="preserve"> PAGEREF _Toc4682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C5BEF23">
          <w:pPr>
            <w:rPr>
              <w:rFonts w:hint="default" w:ascii="Times New Roman" w:hAnsi="Times New Roman" w:cs="Times New Roman"/>
              <w:b/>
              <w:bCs/>
              <w:color w:val="000000" w:themeColor="text1"/>
              <w:sz w:val="28"/>
              <w:szCs w:val="28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</w:sdtContent>
    </w:sdt>
    <w:p w14:paraId="3EE25EB4">
      <w:pPr>
        <w:ind w:firstLine="709" w:firstLineChars="0"/>
        <w:jc w:val="center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0" w:name="_Toc13814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ВВЕДЕНИЕ</w:t>
      </w:r>
      <w:bookmarkEnd w:id="0"/>
    </w:p>
    <w:p w14:paraId="1808A9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75E26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Финансовые рынки представляют собой сложные динамические системы, поведение которых изменяется во времени под воздействием множества факторов. Котировки акций характеризуются нелинейностью, высокой волатильностью и наличием случайной составляющей, что усложняет задачу их прогнозирования. В связи с этим актуальным является поиск и исследование альтернативных методов анализа временных рядов, способных учитывать вероятностный характер рыночной динамики.</w:t>
      </w:r>
    </w:p>
    <w:p w14:paraId="72D95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Одним из таких подходов является использование клеточных автоматов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дискретных динамических систем, в которых эволюция состояния определяется локальными правилами перехода. Применение трёхсостояний модели (рост, падение, нейтральное состояние) позволяет преобразовать непрерывный временной ряд цен в дискретную последовательность состояний и построить вероятностный механизм прогнозирования.</w:t>
      </w:r>
    </w:p>
    <w:p w14:paraId="048DB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Целью данной курсовой работы является разработка и программная реализация трёхцветной стохастической клеточно-автоматной модели для прогнозирования финансовых временных рядов.</w:t>
      </w:r>
    </w:p>
    <w:p w14:paraId="4EDDE8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достижения поставленной цели были решены следующие задачи: изучены теоретические основы анализа временных рядов и клеточных автоматов, реализован алгоритм модели с памятью, проведено прогнозирование на основе данных Московской биржи и выполнен сравнительный анализ результатов для пяти акций российских компаний.</w:t>
      </w:r>
    </w:p>
    <w:p w14:paraId="035B39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Объектом исследования являются временные ряды котировок акций, предметом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клеточно-автоматная модель их прогнозирования.</w:t>
      </w:r>
    </w:p>
    <w:p w14:paraId="144836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1BA8BC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outlineLvl w:val="0"/>
        <w:rPr>
          <w:rFonts w:hint="default"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</w:pPr>
      <w:bookmarkStart w:id="1" w:name="_Toc15574"/>
      <w:r>
        <w:rPr>
          <w:rFonts w:hint="default"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  <w:t>1 ТЕОРЕТИЧЕСКИЕ ОСНОВЫ АНАЛИЗА ВРЕМЕННЫХ РЯДОВ</w:t>
      </w:r>
      <w:bookmarkEnd w:id="1"/>
    </w:p>
    <w:p w14:paraId="351C2B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rPr>
          <w:rFonts w:hint="default"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44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В рамках дисциплины 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Нелинейная динамика экономических процессов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lang w:val="en-US"/>
          <w14:textFill>
            <w14:solidFill>
              <w14:schemeClr w14:val="tx1"/>
            </w14:solidFill>
          </w14:textFill>
        </w:rPr>
        <w:t xml:space="preserve">” 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объектом исследования выступают временные ряды котировок акций. 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Временной ряд представляет собой последовательность значений показателя, упорядоченных по времени и полученных через равные промежутки времени.</w:t>
      </w:r>
    </w:p>
    <w:p w14:paraId="2D960D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Финансовые временные ряды представляют собой нелинейные, нестационарные динамические системы, обладающие шумовой компонентой и эффектом кластеризации волатильности.</w:t>
      </w:r>
    </w:p>
    <w:p w14:paraId="55A494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Формально временной ряд может быть представлен как xt = f(xt</w:t>
      </w:r>
      <w:r>
        <w:rPr>
          <w:rFonts w:hint="default" w:cs="Times New Roman"/>
          <w:b w:val="0"/>
          <w:color w:val="000000" w:themeColor="text1"/>
          <w:sz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1, …, xt</w:t>
      </w:r>
      <w:r>
        <w:rPr>
          <w:rFonts w:hint="default" w:cs="Times New Roman"/>
          <w:b w:val="0"/>
          <w:color w:val="000000" w:themeColor="text1"/>
          <w:sz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m) + εt, где f </w:t>
      </w:r>
      <w:r>
        <w:rPr>
          <w:rFonts w:hint="default" w:cs="Times New Roman"/>
          <w:b w:val="0"/>
          <w:color w:val="000000" w:themeColor="text1"/>
          <w:sz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нелинейная функция, m </w:t>
      </w:r>
      <w:r>
        <w:rPr>
          <w:rFonts w:hint="default" w:cs="Times New Roman"/>
          <w:b w:val="0"/>
          <w:color w:val="000000" w:themeColor="text1"/>
          <w:sz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глубина памяти, εt </w:t>
      </w:r>
      <w:r>
        <w:rPr>
          <w:rFonts w:hint="default" w:cs="Times New Roman"/>
          <w:b w:val="0"/>
          <w:color w:val="000000" w:themeColor="text1"/>
          <w:sz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случайная ошибка.</w:t>
      </w:r>
    </w:p>
    <w:p w14:paraId="5F3294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br w:type="textWrapping"/>
      </w:r>
    </w:p>
    <w:p w14:paraId="05DCEC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br w:type="page"/>
      </w:r>
    </w:p>
    <w:p w14:paraId="2D75C7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outlineLvl w:val="0"/>
        <w:rPr>
          <w:rFonts w:hint="default"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2" w:name="_Toc2560"/>
      <w:r>
        <w:rPr>
          <w:rFonts w:hint="default" w:ascii="Times New Roman" w:hAnsi="Times New Roman" w:cs="Times New Roman"/>
          <w:b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ТЕОРЕТИЧЕСКИЕ ОСНОВЫ КЛЕТОЧНЫХ АВТОМАТОВ</w:t>
      </w:r>
      <w:bookmarkEnd w:id="2"/>
    </w:p>
    <w:p w14:paraId="500150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rPr>
          <w:rFonts w:hint="default" w:ascii="Times New Roman" w:hAnsi="Times New Roman" w:cs="Times New Roman"/>
          <w:b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39A183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Клеточный автомат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дискретная динамическая система, определяемая четверкой CA = (L, S, N, F), где L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множество клеток, S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конечное множество состояний, N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окрестность, F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функция перехода.</w:t>
      </w:r>
    </w:p>
    <w:p w14:paraId="7DD84D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Эволюция описывается соотношением: </w:t>
      </w:r>
    </w:p>
    <w:p w14:paraId="29E098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BB2BD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i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perscript"/>
          <w14:textFill>
            <w14:solidFill>
              <w14:schemeClr w14:val="tx1"/>
            </w14:solidFill>
          </w14:textFill>
        </w:rPr>
        <w:t>t+1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F(s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j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per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, j ∈ N(i))</w:t>
      </w:r>
    </w:p>
    <w:p w14:paraId="50712A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04484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Клеточные автоматы классифицируются по размерности (1D, 2D), по числу состояний (двух-, трёх-, многосостояние) и по типу правила (детерминированные, стохастические, с памятью).</w:t>
      </w:r>
    </w:p>
    <w:p w14:paraId="0CBF10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В классическом одномерном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клеточном автомате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правило фиксировано: </w:t>
      </w:r>
    </w:p>
    <w:p w14:paraId="090369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52907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i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perscript"/>
          <w14:textFill>
            <w14:solidFill>
              <w14:schemeClr w14:val="tx1"/>
            </w14:solidFill>
          </w14:textFill>
        </w:rPr>
        <w:t>t+1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F(s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i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per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, 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i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per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, 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i+1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per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)</w:t>
      </w:r>
    </w:p>
    <w:p w14:paraId="6C4A8B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A0820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данной работе используется трёхсостояние автомат с множеством состояний S = {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1, 0, 1}, интерпретируемых как рост, стабильность и падение.</w:t>
      </w:r>
    </w:p>
    <w:p w14:paraId="7E0051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Переход определяется временной функцией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:</w:t>
      </w:r>
    </w:p>
    <w:p w14:paraId="39B204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BB118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F(s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t-1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, …, 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t-m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}).</w:t>
      </w:r>
    </w:p>
    <w:p w14:paraId="1D5508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336042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outlineLvl w:val="0"/>
        <w:rPr>
          <w:rFonts w:hint="default"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3" w:name="_Toc28886"/>
      <w:r>
        <w:rPr>
          <w:rFonts w:hint="default" w:ascii="Times New Roman" w:hAnsi="Times New Roman" w:cs="Times New Roman"/>
          <w:b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СТОХАСТИЧЕСКИЙ ТРЁХСОСТОЯНИЕ КЛЕТОЧНЫЙ АВТОМАТ С ПАМЯТЬЮ m</w:t>
      </w:r>
      <w:bookmarkEnd w:id="3"/>
    </w:p>
    <w:p w14:paraId="6BC279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4" w:name="_Toc13895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.1 Обоснование выбора</w:t>
      </w:r>
      <w:bookmarkEnd w:id="4"/>
    </w:p>
    <w:p w14:paraId="59F2B5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предыдущих разделах было показано, что финансовые временные ряды характеризуются высокой степенью неопределённости и наличием случайной составляющей. Поведение рынка нельзя считать полностью детерминированным, поскольку на динамику цен влияет большое количество факторов: экономические новости, макроэкономические показатели, поведение инвесторов и спекулятивная активность.</w:t>
      </w:r>
    </w:p>
    <w:p w14:paraId="05BA4F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Поэтому использование полностью детерминированного клеточного автомата может быть недостаточно гибким. В связи с этим в работе применяется стохастическая модификация клеточного автомата, в которой правило перехода между состояниями формируется на основе вероятностей.</w:t>
      </w:r>
    </w:p>
    <w:p w14:paraId="2531EB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Иными словами, модель не жёстко задаёт следующее состояние, а выбирает его на основе статистики наблюдений в исторических данных.</w:t>
      </w:r>
    </w:p>
    <w:p w14:paraId="7D0767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D8DFE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5" w:name="_Toc2380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3.2 Дискретизация доходностей</w:t>
      </w:r>
      <w:bookmarkEnd w:id="5"/>
    </w:p>
    <w:p w14:paraId="08281A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 первом этапе выполняется преобразование исходного временного ряда цен в ряд доходностей.</w:t>
      </w:r>
    </w:p>
    <w:p w14:paraId="66F1E2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Доходность рассчитывается по формуле:</w:t>
      </w:r>
    </w:p>
    <w:p w14:paraId="075256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4FC8A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r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ln(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x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/ x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)</w:t>
      </w:r>
    </w:p>
    <w:p w14:paraId="4F25C1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:lang w:val="ru-RU"/>
          <w14:textFill>
            <w14:solidFill>
              <w14:schemeClr w14:val="tx1"/>
            </w14:solidFill>
          </w14:textFill>
        </w:rPr>
      </w:pPr>
    </w:p>
    <w:p w14:paraId="56943C8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x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цена акции в текущий момент времени t</w:t>
      </w:r>
    </w:p>
    <w:p w14:paraId="15EA44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x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цена акции в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предыдущий 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момент времени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t - 1</w:t>
      </w:r>
    </w:p>
    <w:p w14:paraId="5BAEEB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r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относительное изменение цены (доходность)</w:t>
      </w:r>
    </w:p>
    <w:p w14:paraId="5EC05E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6AAA3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Экономический смысл данной формулы заключается в том, что она показывает, на сколько процентов изменилась цена по сравнению с предыдущим значением.</w:t>
      </w:r>
    </w:p>
    <w:p w14:paraId="63B9A9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После вычисления доходностей выполняется их дискретизация, то есть переход от непрерывных значений к трём фиксированным состояниям.</w:t>
      </w:r>
    </w:p>
    <w:p w14:paraId="726901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Вводится пороговое значение k, которое определяет границу между значимым и незначительным изменением.</w:t>
      </w:r>
    </w:p>
    <w:p w14:paraId="54299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Состояние определяется следующим системой уравнений:</w:t>
      </w:r>
    </w:p>
    <w:p w14:paraId="2C6AAA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53A3C5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1 при r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t &gt; k </w:t>
      </w:r>
    </w:p>
    <w:p w14:paraId="45F8B4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1 при r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&lt;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k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</w:p>
    <w:p w14:paraId="3DFDE5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= 0 при |r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t| ≤ k</w:t>
      </w:r>
    </w:p>
    <w:p w14:paraId="7DD227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DC5F0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subscript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 xml:space="preserve">состояние системы в момент времени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t</w:t>
      </w:r>
    </w:p>
    <w:p w14:paraId="1E49F1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k 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порог дискретизации</w:t>
      </w:r>
    </w:p>
    <w:p w14:paraId="3F9800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953BB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Экономическая интерпретация:</w:t>
      </w:r>
    </w:p>
    <w:p w14:paraId="09517B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1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существенный рост;</w:t>
      </w:r>
    </w:p>
    <w:p w14:paraId="6FA905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1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существенное падение;</w:t>
      </w:r>
    </w:p>
    <w:p w14:paraId="560EB4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0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незначительное изменение (боковое движение).</w:t>
      </w:r>
    </w:p>
    <w:p w14:paraId="579BB3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8D188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Таким образом, исходный временной ряд преобразуется в последовательность из трёх состояний.</w:t>
      </w:r>
    </w:p>
    <w:p w14:paraId="291C32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65B30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6" w:name="_Toc12962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3.3 Память длины m</w:t>
      </w:r>
      <w:bookmarkEnd w:id="6"/>
    </w:p>
    <w:p w14:paraId="396D5A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Следующим важным параметром модели является глубина памяти m.</w:t>
      </w:r>
    </w:p>
    <w:p w14:paraId="38ED59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Под глубиной памяти понимается количество предыдущих состояний, которые учитываются при прогнозировании следующего состояния.</w:t>
      </w:r>
    </w:p>
    <w:p w14:paraId="7AFF35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Формируется шаблон:</w:t>
      </w:r>
    </w:p>
    <w:p w14:paraId="4FB7D0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parrent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 xml:space="preserve">t =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(s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t-m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, 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t-m+1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, …, 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t-1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)</w:t>
      </w:r>
    </w:p>
    <w:p w14:paraId="267B6F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74CB3C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parrent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 xml:space="preserve">t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последовательность предыдущих m состояний;</w:t>
      </w:r>
    </w:p>
    <w:p w14:paraId="26D7AA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 xml:space="preserve">t-1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последнее известное состояние.</w:t>
      </w:r>
    </w:p>
    <w:p w14:paraId="24370F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t-m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 xml:space="preserve">состояние системы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m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шагов назад</w:t>
      </w:r>
    </w:p>
    <w:p w14:paraId="11DD7A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E951B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Количество возможных шаблонов определяется как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hint="default" w:cs="Times New Roman"/>
          <w:color w:val="000000" w:themeColor="text1"/>
          <w:sz w:val="28"/>
          <w:szCs w:val="28"/>
          <w:vertAlign w:val="superscript"/>
          <w:lang w:val="en-US"/>
          <w14:textFill>
            <w14:solidFill>
              <w14:schemeClr w14:val="tx1"/>
            </w14:solidFill>
          </w14:textFill>
        </w:rPr>
        <w:t>m</w:t>
      </w:r>
    </w:p>
    <w:p w14:paraId="1C3BE9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Это связано с тем, что каждое состояние может принимать три значения (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1, 0, 1), и для каждого из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m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шагов существует три варианта.</w:t>
      </w:r>
    </w:p>
    <w:p w14:paraId="27BFE0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Например:</w:t>
      </w:r>
    </w:p>
    <w:p w14:paraId="1C7F4B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при m=2m = 2m=2 возможных комбинаций 9;</w:t>
      </w:r>
    </w:p>
    <w:p w14:paraId="4EF0EB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при m=3m = 3m=3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уже 27.</w:t>
      </w:r>
    </w:p>
    <w:p w14:paraId="3E94D8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13CFD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Таким образом, увеличение глубины памяти значительно увеличивает количество возможных переходов.</w:t>
      </w:r>
    </w:p>
    <w:p w14:paraId="2D004F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48943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7" w:name="_Toc27164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3.4 Вероятностное правило перехода</w:t>
      </w:r>
      <w:bookmarkEnd w:id="7"/>
    </w:p>
    <w:p w14:paraId="342549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После формирования всех шаблонов производится подсчёт частоты появления следующего состояния.</w:t>
      </w:r>
    </w:p>
    <w:p w14:paraId="1EF0A0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каждого шаблона определяется вероятность перехода:</w:t>
      </w:r>
    </w:p>
    <w:p w14:paraId="6E7C92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2F430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P(s | pattern) = (count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+ a) / N + 3a</w:t>
      </w:r>
    </w:p>
    <w:p w14:paraId="2A9303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756953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с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ount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 xml:space="preserve">количество случаев, когда после данного шаблона наблюдалось сотояние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s</w:t>
      </w:r>
    </w:p>
    <w:p w14:paraId="458E4D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а - параметр Лапласовского сглаживания</w:t>
      </w:r>
    </w:p>
    <w:p w14:paraId="42714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P(s | pattern) -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условная вероятность перехода к состоянию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s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при заданном шаблоне</w:t>
      </w:r>
    </w:p>
    <w:p w14:paraId="65D6AB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Параметр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a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используется для того, чтобы избежать ситуации нулевых вероятностей. Это особенно важно при малом количестве наблюдений.</w:t>
      </w:r>
    </w:p>
    <w:p w14:paraId="6AF387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Проще говоря, если некоторый переход не встречался в обучающих данных, модель всё равно оставляет ему небольшую вероятность.</w:t>
      </w:r>
    </w:p>
    <w:p w14:paraId="5C99FA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5D52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8" w:name="_Toc6445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3.5 Правило прогноза</w:t>
      </w:r>
      <w:bookmarkEnd w:id="8"/>
    </w:p>
    <w:p w14:paraId="6C4701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После вычисления вероятностей для каждого возможного состояния выбирается наиболее вероятное:</w:t>
      </w:r>
    </w:p>
    <w:p w14:paraId="658564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820B9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~s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t+1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= arg max P(s | pattern)</w:t>
      </w:r>
    </w:p>
    <w:p w14:paraId="1B367D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5C8C8A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~s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t+1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прогнозируемое состояние на следующий момент времени</w:t>
      </w:r>
    </w:p>
    <w:p w14:paraId="3061DD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agr max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операция выбора значения аргумента, при котором функция вероятности принимает максимальное значение</w:t>
      </w:r>
    </w:p>
    <w:p w14:paraId="787F6D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P(s | pattern)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 xml:space="preserve">услованая вероятность перехода к состоянию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s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при заданном шаблоне предыдущих состояний</w:t>
      </w:r>
    </w:p>
    <w:p w14:paraId="35215A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C477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То есть модель выбирает то состояние, которое чаще всего следовало за данной комбинацией состояний в прошлом.</w:t>
      </w:r>
    </w:p>
    <w:p w14:paraId="03A811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DE1B4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9" w:name="_Toc31663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3.6 Переход к цене</w:t>
      </w:r>
      <w:bookmarkEnd w:id="9"/>
    </w:p>
    <w:p w14:paraId="3E1BAD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После того как определено прогнозное состояние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~s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t+1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, необходимо получить числовой прогноз цены.</w:t>
      </w:r>
    </w:p>
    <w:p w14:paraId="13E50D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этого для каждого состояния рассчитывается средняя доходность:</w:t>
      </w:r>
    </w:p>
    <w:p w14:paraId="078C62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1383B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>խ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=</w:t>
      </w:r>
      <w:r>
        <w:rPr>
          <w:rFonts w:hint="default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1/n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∑</w:t>
      </w:r>
      <w:r>
        <w:rPr>
          <w:rFonts w:hint="default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 w14:paraId="71F024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89199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>խ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средняя доходность для состояния s</w:t>
      </w:r>
    </w:p>
    <w:p w14:paraId="0C6176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N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​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количество наблюдений этого состояния.</w:t>
      </w:r>
    </w:p>
    <w:p w14:paraId="437796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CD93F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Прогнозная доходность в момент времени t равна средней доходности того состояния, которое спрогнозировала модель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:</w:t>
      </w:r>
    </w:p>
    <w:p w14:paraId="3CC5AB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04EE3C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= 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ru-RU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>խ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 xml:space="preserve"> * s</w:t>
      </w:r>
    </w:p>
    <w:p w14:paraId="5905A5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</w:p>
    <w:p w14:paraId="2D3FA4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 xml:space="preserve">s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остояние клеточного автомата (−1, 0 или +1), выбранное как наиболее вероятное.</w:t>
      </w:r>
    </w:p>
    <w:p w14:paraId="417961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>խ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s</w:t>
      </w:r>
      <w:r>
        <w:rPr>
          <w:rFonts w:hint="default" w:cs="Times New Roman"/>
          <w:color w:val="000000" w:themeColor="text1"/>
          <w:sz w:val="28"/>
          <w:szCs w:val="28"/>
          <w:lang w:val="ru-RU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средняя доходность для состояния s</w:t>
      </w:r>
    </w:p>
    <w:p w14:paraId="43DC7E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прогнозная доходность</w:t>
      </w:r>
    </w:p>
    <w:p w14:paraId="7BF9EB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BBDB8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Далее прогнозная цена определяется по формуле:</w:t>
      </w:r>
    </w:p>
    <w:p w14:paraId="09939B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BAEE2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subscript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~x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t+1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 xml:space="preserve"> = ~x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 xml:space="preserve"> * e</w:t>
      </w:r>
      <w:r>
        <w:rPr>
          <w:rFonts w:hint="default" w:cs="Times New Roman"/>
          <w:color w:val="000000" w:themeColor="text1"/>
          <w:sz w:val="28"/>
          <w:szCs w:val="28"/>
          <w:vertAlign w:val="superscript"/>
          <w:lang w:val="en-US" w:eastAsia="zh-CN"/>
          <w14:textFill>
            <w14:solidFill>
              <w14:schemeClr w14:val="tx1"/>
            </w14:solidFill>
          </w14:textFill>
        </w:rPr>
        <w:t>~r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</w:t>
      </w:r>
    </w:p>
    <w:p w14:paraId="5A0A09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</w:p>
    <w:p w14:paraId="57B417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~x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текущая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прогнозная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цена;</w:t>
      </w:r>
    </w:p>
    <w:p w14:paraId="5752E8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~x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t+1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следующая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прогнозируемая цена;</w:t>
      </w:r>
    </w:p>
    <w:p w14:paraId="527B20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-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>прогнозная доходность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/>
          <w14:textFill>
            <w14:solidFill>
              <w14:schemeClr w14:val="tx1"/>
            </w14:solidFill>
          </w14:textFill>
        </w:rPr>
        <w:t xml:space="preserve">При первой итерации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~x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t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ru-RU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ru-RU" w:eastAsia="zh-CN"/>
          <w14:textFill>
            <w14:solidFill>
              <w14:schemeClr w14:val="tx1"/>
            </w14:solidFill>
          </w14:textFill>
        </w:rPr>
        <w:t>берется как реальная цена, а не прогнозируемая.</w:t>
      </w:r>
    </w:p>
    <w:p w14:paraId="249FAA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Таким образом, модель сначала прогнозирует направление движения, а затем переводит это направление в числовое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прогноз с использованием соответствующей средней доходности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.</w:t>
      </w:r>
    </w:p>
    <w:p w14:paraId="38A3C27D">
      <w:pP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5472C456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0" w:name="_Toc29816"/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ПОРЯДОК РАБОТЫ С ПРОГРАММОЙ</w:t>
      </w:r>
      <w:bookmarkEnd w:id="10"/>
    </w:p>
    <w:p w14:paraId="01E1E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1" w:name="_Toc6876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4.1 Подготовка данных и выбор источника</w:t>
      </w:r>
      <w:bookmarkEnd w:id="11"/>
    </w:p>
    <w:p w14:paraId="0E6C06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Программа поддерживает два источника временных рядов:  импорт CSV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файла и загрузку котировок через MOEX ISS API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API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московской биржи)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. Перед запуском прогнозирования пользователь выбирает источник данных, задаёт диапазон дат (для API) либо указывает файл CSV. После загрузки данные приводятся к единому формату (дата–цена закрытия) и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сортируются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 времени.</w:t>
      </w:r>
    </w:p>
    <w:p w14:paraId="3FB3AD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43778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50610" cy="4338955"/>
            <wp:effectExtent l="0" t="0" r="6350" b="444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610" cy="433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1AF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Рисунок 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Интерфейс приложения</w:t>
      </w:r>
    </w:p>
    <w:p w14:paraId="3C2412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44895" cy="3711575"/>
            <wp:effectExtent l="0" t="0" r="12065" b="698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1EC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2 - Импорт данных</w:t>
      </w:r>
    </w:p>
    <w:p w14:paraId="2DB81E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3F85C9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2" w:name="_Toc24679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4.2 Настройка параметров модели</w:t>
      </w:r>
      <w:bookmarkEnd w:id="12"/>
    </w:p>
    <w:p w14:paraId="0DF163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Далее задаются ключевые параметры трёхсостояний модели: порог дискретизации k, глубина памяти m и параметр Лапласовского сглаживания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a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. Порог k определяет, какие изменения доходности относятся к росту, падению или нейтральному состоянию; параметр m задаёт длину временного контекста (шаблона), по которому оценивается вероятностный переход</w:t>
      </w:r>
    </w:p>
    <w:p w14:paraId="7019DA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458FE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46165" cy="361950"/>
            <wp:effectExtent l="0" t="0" r="10795" b="381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616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1AE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3 - Установка значений ключевых параметров</w:t>
      </w:r>
    </w:p>
    <w:p w14:paraId="1FBB83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4FE17A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3" w:name="_Toc25812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4.3 Выполнение прогноза</w:t>
      </w:r>
      <w:bookmarkEnd w:id="13"/>
    </w:p>
    <w:p w14:paraId="5F1BAA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После нажатия кнопки запуска выполняются последовательные этапы: </w:t>
      </w:r>
    </w:p>
    <w:p w14:paraId="07D479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1) расчёт доходностей 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по исходным ценам; </w:t>
      </w:r>
    </w:p>
    <w:p w14:paraId="7A8646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2) кодирование доходностей в состояния s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∈ {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1, 0, 1}; </w:t>
      </w:r>
    </w:p>
    <w:p w14:paraId="0230F1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3) формирование обучающей выборки шаблонов длины m и оценка частот переходов; </w:t>
      </w:r>
    </w:p>
    <w:p w14:paraId="64BCB5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4) получение вероятностей со сглаживанием; </w:t>
      </w:r>
    </w:p>
    <w:p w14:paraId="0D2152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5) выбор наиболее вероятного состояния на каждом шаге и перевод состояния в прогнозируемую доходность по средним; </w:t>
      </w:r>
    </w:p>
    <w:p w14:paraId="7CB8FB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6) рекурсивное восстановление ценового прогноза. </w:t>
      </w:r>
    </w:p>
    <w:p w14:paraId="0B03E4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316E2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Результат отображается на графике, где сравниваются фактические и прогнозные значения.</w:t>
      </w:r>
    </w:p>
    <w:p w14:paraId="2FD074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D8683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93740" cy="3815080"/>
            <wp:effectExtent l="0" t="0" r="12700" b="1016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DB4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4 - Результаты прогноза</w:t>
      </w:r>
    </w:p>
    <w:p w14:paraId="76817D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019A29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4" w:name="_Toc6866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4.4 Оценка точности и экспорт результатов</w:t>
      </w:r>
      <w:bookmarkEnd w:id="14"/>
    </w:p>
    <w:p w14:paraId="7A3F85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Точность прогноза оценивается по метрикам MAE, MSE, RMSE и MAPE. После расчёта метрик пользователь может сохранить результаты в CSV-файл: прогнозные цены по датам, значения ошибок и параметры модели. Это обеспечивает воспроизводимость экспериментов и возможность сравнения результатов для разных временных рядов.</w:t>
      </w:r>
    </w:p>
    <w:p w14:paraId="73B5CA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1B77A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50610" cy="407670"/>
            <wp:effectExtent l="0" t="0" r="6350" b="381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610" cy="40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122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5 - Краткая сводка результатов по ошибкам прогноза</w:t>
      </w:r>
    </w:p>
    <w:p w14:paraId="18EFA2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1931B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46800" cy="2787650"/>
            <wp:effectExtent l="0" t="0" r="10160" b="127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6C0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51245" cy="1339215"/>
            <wp:effectExtent l="0" t="0" r="5715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1245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0FA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6 - Подробная сводка результатов по ошибкам прогноза</w:t>
      </w:r>
    </w:p>
    <w:p w14:paraId="0F5E47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812155" cy="3682365"/>
            <wp:effectExtent l="0" t="0" r="9525" b="571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12155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C7F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7 - Выбор сохранения экспорт файла</w:t>
      </w:r>
    </w:p>
    <w:p w14:paraId="4F050D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7EBC6D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359275" cy="3663315"/>
            <wp:effectExtent l="0" t="0" r="14605" b="9525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05F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Рисунок 8 - Данные в экспорт файле</w:t>
      </w:r>
    </w:p>
    <w:p w14:paraId="73FED0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7E895C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5" w:name="_Toc10164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4.5 Подготовка релизных сборок для запуска</w:t>
      </w:r>
      <w:bookmarkEnd w:id="15"/>
    </w:p>
    <w:p w14:paraId="737158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Для распространения приложения сформированы две релизные сборки: framework-dependent (требует установленного .NET 8 Runtime на целевой машине) и self-contained (содержит все необходимые компоненты платформы и не требует установки .NET). На рисунке 6.1 показана структура каталогов релизных сборок, а на рисунке 6.2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состав framework-dependent сборки.</w:t>
      </w:r>
    </w:p>
    <w:p w14:paraId="4A96B6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48881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60720" cy="63373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24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Рисунок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9</w:t>
      </w: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Структура каталогов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релиза</w:t>
      </w:r>
    </w:p>
    <w:p w14:paraId="075BC3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F0074E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60720" cy="270891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66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Рисунок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10 -</w:t>
      </w: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Файлы релиза</w:t>
      </w:r>
    </w:p>
    <w:p w14:paraId="294EECF8">
      <w:pP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5D45DEF3">
      <w:pPr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</w:pPr>
      <w:bookmarkStart w:id="16" w:name="_Toc19048"/>
      <w:r>
        <w:rPr>
          <w:rFonts w:hint="default" w:cs="Times New Roman" w:eastAsiaTheme="majorEastAsia"/>
          <w:b/>
          <w:bCs/>
          <w:color w:val="000000" w:themeColor="text1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  <w:t xml:space="preserve">  ПРОГНОЗИРОВАНИЕ 5 ВРЕМЕННЫХ РЯДОВ</w:t>
      </w:r>
      <w:bookmarkEnd w:id="16"/>
    </w:p>
    <w:p w14:paraId="70C754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7" w:name="_Toc17520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5.1 Подготовка исходных данных</w:t>
      </w:r>
      <w:bookmarkEnd w:id="17"/>
    </w:p>
    <w:p w14:paraId="34DC13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Практическая часть работы началась с формирования набора временных рядов для последующего прогнозирования. В качестве источника данных использовалась информационная система Московской биржи (MOEX ISS API), позволяющая выгружать исторические котировки акций в формате CSV/XLS.</w:t>
      </w:r>
    </w:p>
    <w:p w14:paraId="1B499E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Были выбраны пять ликвидных российских компаний:</w:t>
      </w:r>
    </w:p>
    <w:p w14:paraId="085E4C45">
      <w:pPr>
        <w:pStyle w:val="32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GAZP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ПАО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Газпром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(газовая отрасль)</w:t>
      </w:r>
    </w:p>
    <w:p w14:paraId="129DE1C7">
      <w:pPr>
        <w:pStyle w:val="32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GMKN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ПАО «ГМК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Норильский никель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(цветная металлургия)</w:t>
      </w:r>
    </w:p>
    <w:p w14:paraId="4F3CF0F9">
      <w:pPr>
        <w:pStyle w:val="32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LKOH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ПАО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ЛУКОЙЛ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(нефтегазовая отрасль)</w:t>
      </w:r>
    </w:p>
    <w:p w14:paraId="1639C32A">
      <w:pPr>
        <w:pStyle w:val="32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ROSN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ПАО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Роснефть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(нефтяная отрасль)</w:t>
      </w:r>
    </w:p>
    <w:p w14:paraId="39E22D76">
      <w:pPr>
        <w:pStyle w:val="32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SBER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ПАО 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Сбербанк России</w:t>
      </w:r>
      <w:r>
        <w:rPr>
          <w:rFonts w:hint="default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Times New Roman" w:cs="Times New Roman"/>
          <w:color w:val="000000" w:themeColor="text1"/>
          <w:kern w:val="0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(финансовый сектор)</w:t>
      </w:r>
    </w:p>
    <w:p w14:paraId="32A67A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каждой компании был сформирован временной ряд цен закрытия за длительный период наблюдений.</w:t>
      </w:r>
    </w:p>
    <w:p w14:paraId="055864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Использованный диапазон дат представлен в таблице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:</w:t>
      </w:r>
    </w:p>
    <w:p w14:paraId="15AED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both"/>
        <w:textAlignment w:val="auto"/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1"/>
        <w:gridCol w:w="8481"/>
      </w:tblGrid>
      <w:tr w14:paraId="4B56D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82CE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Ряд</w:t>
            </w:r>
          </w:p>
        </w:tc>
        <w:tc>
          <w:tcPr>
            <w:tcW w:w="8436" w:type="dxa"/>
            <w:shd w:val="clear" w:color="auto" w:fill="auto"/>
            <w:vAlign w:val="center"/>
          </w:tcPr>
          <w:p w14:paraId="49FEFD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Диапазон дат</w:t>
            </w:r>
          </w:p>
        </w:tc>
      </w:tr>
      <w:tr w14:paraId="2318B4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949B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GAZP</w:t>
            </w:r>
          </w:p>
        </w:tc>
        <w:tc>
          <w:tcPr>
            <w:tcW w:w="8436" w:type="dxa"/>
            <w:shd w:val="clear" w:color="auto" w:fill="auto"/>
            <w:vAlign w:val="center"/>
          </w:tcPr>
          <w:p w14:paraId="426397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24.02.2016 — 20.02.2026</w:t>
            </w:r>
          </w:p>
        </w:tc>
      </w:tr>
      <w:tr w14:paraId="548B7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2996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GMKN</w:t>
            </w:r>
          </w:p>
        </w:tc>
        <w:tc>
          <w:tcPr>
            <w:tcW w:w="8436" w:type="dxa"/>
            <w:shd w:val="clear" w:color="auto" w:fill="auto"/>
            <w:vAlign w:val="center"/>
          </w:tcPr>
          <w:p w14:paraId="24FD19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24.02.2016 — 01.04.2024 (до дробления акций)</w:t>
            </w:r>
          </w:p>
        </w:tc>
      </w:tr>
      <w:tr w14:paraId="45E54F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E825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LKOH</w:t>
            </w:r>
          </w:p>
        </w:tc>
        <w:tc>
          <w:tcPr>
            <w:tcW w:w="8436" w:type="dxa"/>
            <w:shd w:val="clear" w:color="auto" w:fill="auto"/>
            <w:vAlign w:val="center"/>
          </w:tcPr>
          <w:p w14:paraId="414B44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24.02.2016 — 20.02.2026</w:t>
            </w:r>
          </w:p>
        </w:tc>
      </w:tr>
      <w:tr w14:paraId="1C8E6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C49E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ROSN</w:t>
            </w:r>
          </w:p>
        </w:tc>
        <w:tc>
          <w:tcPr>
            <w:tcW w:w="8436" w:type="dxa"/>
            <w:shd w:val="clear" w:color="auto" w:fill="auto"/>
            <w:vAlign w:val="center"/>
          </w:tcPr>
          <w:p w14:paraId="12F163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24.02.2016 — 20.02.2026</w:t>
            </w:r>
          </w:p>
        </w:tc>
      </w:tr>
      <w:tr w14:paraId="33D65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AD59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SBER</w:t>
            </w:r>
          </w:p>
        </w:tc>
        <w:tc>
          <w:tcPr>
            <w:tcW w:w="8436" w:type="dxa"/>
            <w:shd w:val="clear" w:color="auto" w:fill="auto"/>
            <w:vAlign w:val="center"/>
          </w:tcPr>
          <w:p w14:paraId="17BF71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both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24.02.2016 — 20.02.2026</w:t>
            </w:r>
          </w:p>
        </w:tc>
      </w:tr>
    </w:tbl>
    <w:p w14:paraId="232AA2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Таблица 1 -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Диапазон дат для расчётов</w:t>
      </w:r>
    </w:p>
    <w:p w14:paraId="22F337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A059E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GMKN период был ограничен датой дробления акций, чтобы избежать структурного разрыва ряда и некорректного влияния на модель.</w:t>
      </w:r>
    </w:p>
    <w:p w14:paraId="463FD6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После выгрузки данные были сохранены в отдельных файлах и загружены в разработанное программное приложение.</w:t>
      </w:r>
    </w:p>
    <w:p w14:paraId="386CF6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8" w:name="_Toc13664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5.2 Проведение прогнозирования</w:t>
      </w:r>
      <w:bookmarkEnd w:id="18"/>
    </w:p>
    <w:p w14:paraId="0A5BF4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Далее для каждого временного ряда выполнялись одинаковые этапы обработки:</w:t>
      </w:r>
    </w:p>
    <w:p w14:paraId="48863F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1A3F9A8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Загрузка исходного файла в программу</w:t>
      </w:r>
    </w:p>
    <w:p w14:paraId="6AE51742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Расчёт доходностей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r</w:t>
      </w:r>
      <w:r>
        <w:rPr>
          <w:rFonts w:hint="default" w:cs="Times New Roman"/>
          <w:color w:val="000000" w:themeColor="text1"/>
          <w:sz w:val="28"/>
          <w:szCs w:val="28"/>
          <w:vertAlign w:val="subscript"/>
          <w:lang w:val="en-US"/>
          <w14:textFill>
            <w14:solidFill>
              <w14:schemeClr w14:val="tx1"/>
            </w14:solidFill>
          </w14:textFill>
        </w:rPr>
        <w:t>t</w:t>
      </w:r>
    </w:p>
    <w:p w14:paraId="5D6D323D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Дискретизация доходностей в трёхсостояний ряд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st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∈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{1, 0, -1}</w:t>
      </w:r>
    </w:p>
    <w:p w14:paraId="77FFF6D8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Формирование шаблонов длины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m</w:t>
      </w:r>
    </w:p>
    <w:p w14:paraId="39D17875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Оценка вероятностей переходов с использованием Лапласовского сглаживания.</w:t>
      </w:r>
    </w:p>
    <w:p w14:paraId="1FCA2EFA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Подбор оптимальной глубины памяти mmm.</w:t>
      </w:r>
    </w:p>
    <w:p w14:paraId="486503CC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Расчёт прогнозной цены.</w:t>
      </w:r>
    </w:p>
    <w:p w14:paraId="4093EF52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Вычисление метрик точности.</w:t>
      </w:r>
    </w:p>
    <w:p w14:paraId="53986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14604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каждого ряда программа автоматически перебирала различные значения глубины памяти и определяла то значение m, при котором ошибка прогнозирования была минимальной.</w:t>
      </w:r>
    </w:p>
    <w:p w14:paraId="2F25EB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После выполнения расчётов результаты сохранялись в отдельные экспортные файлы:</w:t>
      </w:r>
    </w:p>
    <w:p w14:paraId="27CACC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03D43EE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GAZP_export</w:t>
      </w:r>
    </w:p>
    <w:p w14:paraId="044AE9DD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GMKN_export</w:t>
      </w:r>
    </w:p>
    <w:p w14:paraId="55242A73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LKOH_expor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t</w:t>
      </w:r>
    </w:p>
    <w:p w14:paraId="0319B801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ROSN_export</w:t>
      </w:r>
    </w:p>
    <w:p w14:paraId="5DCEBD32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SBER_export</w:t>
      </w:r>
    </w:p>
    <w:p w14:paraId="07533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rPr>
          <w:rFonts w:hint="default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4AB1B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19" w:name="_Toc29991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5.3 Формирование сравнительной таблицы</w:t>
      </w:r>
      <w:bookmarkEnd w:id="19"/>
    </w:p>
    <w:p w14:paraId="737A89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 основе экспортированных данных вручную была составлена итоговая сравнительная таблица.</w:t>
      </w:r>
    </w:p>
    <w:p w14:paraId="4712E5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tbl>
      <w:tblPr>
        <w:tblStyle w:val="12"/>
        <w:tblW w:w="0" w:type="auto"/>
        <w:tblCellSpacing w:w="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5"/>
        <w:gridCol w:w="1807"/>
        <w:gridCol w:w="1273"/>
        <w:gridCol w:w="2229"/>
        <w:gridCol w:w="1669"/>
        <w:gridCol w:w="1547"/>
      </w:tblGrid>
      <w:tr w14:paraId="694D80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0" w:type="dxa"/>
        </w:trPr>
        <w:tc>
          <w:tcPr>
            <w:tcW w:w="1595" w:type="dxa"/>
            <w:shd w:val="clear" w:color="auto" w:fill="auto"/>
            <w:vAlign w:val="center"/>
          </w:tcPr>
          <w:p w14:paraId="4072BE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Ряд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13AF8D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Лучшая память m</w:t>
            </w:r>
          </w:p>
        </w:tc>
        <w:tc>
          <w:tcPr>
            <w:tcW w:w="1253" w:type="dxa"/>
            <w:shd w:val="clear" w:color="auto" w:fill="auto"/>
            <w:vAlign w:val="center"/>
          </w:tcPr>
          <w:p w14:paraId="0A415D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MAE</w:t>
            </w:r>
          </w:p>
        </w:tc>
        <w:tc>
          <w:tcPr>
            <w:tcW w:w="2209" w:type="dxa"/>
            <w:shd w:val="clear" w:color="auto" w:fill="auto"/>
            <w:vAlign w:val="center"/>
          </w:tcPr>
          <w:p w14:paraId="71ABCF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MSE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294D40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RMSE</w:t>
            </w:r>
          </w:p>
        </w:tc>
        <w:tc>
          <w:tcPr>
            <w:tcW w:w="1517" w:type="dxa"/>
            <w:shd w:val="clear" w:color="auto" w:fill="auto"/>
            <w:vAlign w:val="center"/>
          </w:tcPr>
          <w:p w14:paraId="207893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MAPE (%)</w:t>
            </w:r>
          </w:p>
        </w:tc>
      </w:tr>
      <w:tr w14:paraId="25672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0" w:type="dxa"/>
        </w:trPr>
        <w:tc>
          <w:tcPr>
            <w:tcW w:w="1595" w:type="dxa"/>
            <w:shd w:val="clear" w:color="auto" w:fill="auto"/>
            <w:vAlign w:val="center"/>
          </w:tcPr>
          <w:p w14:paraId="609F51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GAZP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1319D2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253" w:type="dxa"/>
            <w:shd w:val="clear" w:color="auto" w:fill="auto"/>
            <w:vAlign w:val="center"/>
          </w:tcPr>
          <w:p w14:paraId="1EDC5C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20.45</w:t>
            </w:r>
          </w:p>
        </w:tc>
        <w:tc>
          <w:tcPr>
            <w:tcW w:w="2209" w:type="dxa"/>
            <w:shd w:val="clear" w:color="auto" w:fill="auto"/>
            <w:vAlign w:val="center"/>
          </w:tcPr>
          <w:p w14:paraId="085887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760.08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2A9236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27.57</w:t>
            </w:r>
          </w:p>
        </w:tc>
        <w:tc>
          <w:tcPr>
            <w:tcW w:w="1517" w:type="dxa"/>
            <w:shd w:val="clear" w:color="auto" w:fill="auto"/>
            <w:vAlign w:val="center"/>
          </w:tcPr>
          <w:p w14:paraId="49ED54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15.53</w:t>
            </w:r>
          </w:p>
        </w:tc>
      </w:tr>
      <w:tr w14:paraId="03AEA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0" w:type="dxa"/>
        </w:trPr>
        <w:tc>
          <w:tcPr>
            <w:tcW w:w="1595" w:type="dxa"/>
            <w:shd w:val="clear" w:color="auto" w:fill="auto"/>
            <w:vAlign w:val="center"/>
          </w:tcPr>
          <w:p w14:paraId="5C17A0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GMKN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006838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253" w:type="dxa"/>
            <w:shd w:val="clear" w:color="auto" w:fill="auto"/>
            <w:vAlign w:val="center"/>
          </w:tcPr>
          <w:p w14:paraId="40B883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3100.77</w:t>
            </w:r>
          </w:p>
        </w:tc>
        <w:tc>
          <w:tcPr>
            <w:tcW w:w="2209" w:type="dxa"/>
            <w:shd w:val="clear" w:color="auto" w:fill="auto"/>
            <w:vAlign w:val="center"/>
          </w:tcPr>
          <w:p w14:paraId="7E6D3F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18314899.93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2E1255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4279.59</w:t>
            </w:r>
          </w:p>
        </w:tc>
        <w:tc>
          <w:tcPr>
            <w:tcW w:w="1517" w:type="dxa"/>
            <w:shd w:val="clear" w:color="auto" w:fill="auto"/>
            <w:vAlign w:val="center"/>
          </w:tcPr>
          <w:p w14:paraId="0433CA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20.24</w:t>
            </w:r>
          </w:p>
        </w:tc>
      </w:tr>
      <w:tr w14:paraId="6DA0B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0" w:type="dxa"/>
        </w:trPr>
        <w:tc>
          <w:tcPr>
            <w:tcW w:w="1595" w:type="dxa"/>
            <w:shd w:val="clear" w:color="auto" w:fill="auto"/>
            <w:vAlign w:val="center"/>
          </w:tcPr>
          <w:p w14:paraId="58B9E7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LKOH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13D698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253" w:type="dxa"/>
            <w:shd w:val="clear" w:color="auto" w:fill="auto"/>
            <w:vAlign w:val="center"/>
          </w:tcPr>
          <w:p w14:paraId="6D0826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1021.80</w:t>
            </w:r>
          </w:p>
        </w:tc>
        <w:tc>
          <w:tcPr>
            <w:tcW w:w="2209" w:type="dxa"/>
            <w:shd w:val="clear" w:color="auto" w:fill="auto"/>
            <w:vAlign w:val="center"/>
          </w:tcPr>
          <w:p w14:paraId="31CEE1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1783281.05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7133E0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1335.40</w:t>
            </w:r>
          </w:p>
        </w:tc>
        <w:tc>
          <w:tcPr>
            <w:tcW w:w="1517" w:type="dxa"/>
            <w:shd w:val="clear" w:color="auto" w:fill="auto"/>
            <w:vAlign w:val="center"/>
          </w:tcPr>
          <w:p w14:paraId="0BE951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16.25</w:t>
            </w:r>
          </w:p>
        </w:tc>
      </w:tr>
      <w:tr w14:paraId="7C5A44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0" w:type="dxa"/>
        </w:trPr>
        <w:tc>
          <w:tcPr>
            <w:tcW w:w="1595" w:type="dxa"/>
            <w:shd w:val="clear" w:color="auto" w:fill="auto"/>
            <w:vAlign w:val="center"/>
          </w:tcPr>
          <w:p w14:paraId="2DB15B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ROSN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28CA30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253" w:type="dxa"/>
            <w:shd w:val="clear" w:color="auto" w:fill="auto"/>
            <w:vAlign w:val="center"/>
          </w:tcPr>
          <w:p w14:paraId="11B067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83.43</w:t>
            </w:r>
          </w:p>
        </w:tc>
        <w:tc>
          <w:tcPr>
            <w:tcW w:w="2209" w:type="dxa"/>
            <w:shd w:val="clear" w:color="auto" w:fill="auto"/>
            <w:vAlign w:val="center"/>
          </w:tcPr>
          <w:p w14:paraId="44D66D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10843.10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3D35C5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104.13</w:t>
            </w:r>
          </w:p>
        </w:tc>
        <w:tc>
          <w:tcPr>
            <w:tcW w:w="1517" w:type="dxa"/>
            <w:shd w:val="clear" w:color="auto" w:fill="auto"/>
            <w:vAlign w:val="center"/>
          </w:tcPr>
          <w:p w14:paraId="2EEA79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16.14</w:t>
            </w:r>
          </w:p>
        </w:tc>
      </w:tr>
      <w:tr w14:paraId="0DE5C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0" w:type="dxa"/>
        </w:trPr>
        <w:tc>
          <w:tcPr>
            <w:tcW w:w="1595" w:type="dxa"/>
            <w:shd w:val="clear" w:color="auto" w:fill="auto"/>
            <w:vAlign w:val="center"/>
          </w:tcPr>
          <w:p w14:paraId="1CC64C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SBER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43509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253" w:type="dxa"/>
            <w:shd w:val="clear" w:color="auto" w:fill="auto"/>
            <w:vAlign w:val="center"/>
          </w:tcPr>
          <w:p w14:paraId="78BC88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77.97</w:t>
            </w:r>
          </w:p>
        </w:tc>
        <w:tc>
          <w:tcPr>
            <w:tcW w:w="2209" w:type="dxa"/>
            <w:shd w:val="clear" w:color="auto" w:fill="auto"/>
            <w:vAlign w:val="center"/>
          </w:tcPr>
          <w:p w14:paraId="422697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9092.31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3CA118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95.35</w:t>
            </w:r>
          </w:p>
        </w:tc>
        <w:tc>
          <w:tcPr>
            <w:tcW w:w="1517" w:type="dxa"/>
            <w:shd w:val="clear" w:color="auto" w:fill="auto"/>
            <w:vAlign w:val="center"/>
          </w:tcPr>
          <w:p w14:paraId="0C0577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ind w:firstLine="0"/>
              <w:jc w:val="left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26.89</w:t>
            </w:r>
          </w:p>
        </w:tc>
      </w:tr>
    </w:tbl>
    <w:p w14:paraId="63A2BC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b w:val="0"/>
          <w:bCs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Таблица 2 - сравнительная таблица 5 компаний</w:t>
      </w:r>
    </w:p>
    <w:p w14:paraId="7A91D1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0AEA4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20" w:name="_Toc12029"/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5.4 Анализ полученных результатов</w:t>
      </w:r>
      <w:bookmarkEnd w:id="20"/>
    </w:p>
    <w:p w14:paraId="785FB0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Оптимальная глубина памяти различается для разных акций.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GAZP, LKOH и SBER оптимальным оказалось m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=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4, тогда как для GMKN и ROSN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m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=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.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Это говорит о том, что разные финансовые инструменты обладают различной глубиной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рыночной памяти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.</w:t>
      </w:r>
    </w:p>
    <w:p w14:paraId="536DD0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Наименьшие относительные ошибки (MAPE) показали GAZP и ROSN (около 15–16%).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Это свидетельствует о том, что модель лучше адаптируется к более стабильным рядам.</w:t>
      </w:r>
    </w:p>
    <w:p w14:paraId="0F6187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Для GMKN наблюдается высокая абсолютная ошибка, что связано с высокой стоимостью акции и значительной волатильностью.</w:t>
      </w:r>
    </w:p>
    <w:p w14:paraId="4ADAC2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Наибольшая относительная ошибка наблюдается для SBER, что может быть связано с повышенной чувствительностью акции к рыночным событиям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.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Увеличение глубины памяти выше оптимального значения приводило к росту ошибки, что подтверждает эффект переобучения при чрезмерно большом числе шаблонов 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3</w:t>
      </w:r>
      <w:r>
        <w:rPr>
          <w:rFonts w:hint="default" w:cs="Times New Roman"/>
          <w:color w:val="000000" w:themeColor="text1"/>
          <w:sz w:val="28"/>
          <w:szCs w:val="28"/>
          <w:vertAlign w:val="superscript"/>
          <w:lang w:val="en-US"/>
          <w14:textFill>
            <w14:solidFill>
              <w14:schemeClr w14:val="tx1"/>
            </w14:solidFill>
          </w14:textFill>
        </w:rPr>
        <w:t>m</w:t>
      </w:r>
      <w:r>
        <w:rPr>
          <w:rFonts w:hint="default" w:cs="Times New Roman"/>
          <w:color w:val="000000" w:themeColor="text1"/>
          <w:sz w:val="28"/>
          <w:szCs w:val="28"/>
          <w:vertAlign w:val="baseline"/>
          <w:lang w:val="en-US"/>
          <w14:textFill>
            <w14:solidFill>
              <w14:schemeClr w14:val="tx1"/>
            </w14:solidFill>
          </w14:textFill>
        </w:rPr>
        <w:t>.</w:t>
      </w:r>
    </w:p>
    <w:p w14:paraId="26C236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целом результаты показывают, что трёх</w:t>
      </w: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цветный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стохастический клеточный автомат способен воспроизводить основные тенденции движения цены, однако точность прогноза зависит от характера конкретного временного ряда.</w:t>
      </w:r>
    </w:p>
    <w:p w14:paraId="0332C08F">
      <w:pP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4FB5E868">
      <w:pPr>
        <w:ind w:left="0" w:leftChars="0" w:firstLine="0" w:firstLineChars="0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51878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outlineLvl w:val="0"/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</w:pPr>
      <w:bookmarkStart w:id="21" w:name="_Toc17196"/>
      <w:r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  <w:t>ЗАКЛЮЧЕНИЕ</w:t>
      </w:r>
      <w:bookmarkEnd w:id="21"/>
    </w:p>
    <w:p w14:paraId="545499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рамках данной курсовой работы была разработана и исследована трёхцветная стохастическая клеточно-автоматная модель прогнозирования финансовых временных рядов.</w:t>
      </w:r>
    </w:p>
    <w:p w14:paraId="492BF9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теоретической части были рассмотрены особенности финансовых временных рядов как нелинейных и нестационарных динамических систем, а также основные принципы построения клеточных автоматов. Показано, что использование дискретной модели с ограниченным числом состояний позволяет упростить структуру анализа и перейти от непрерывных ценовых значений к последовательности состояний, отражающих направление движения рынка.</w:t>
      </w:r>
    </w:p>
    <w:p w14:paraId="4B647D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ходе работы была реализована программная система, обеспечивающая:</w:t>
      </w:r>
    </w:p>
    <w:p w14:paraId="71AE84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B365F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загрузку исторических котировок через MOEX ISS API или из CSV-файлов;</w:t>
      </w:r>
    </w:p>
    <w:p w14:paraId="09117A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преобразование цен в доходности;</w:t>
      </w:r>
    </w:p>
    <w:p w14:paraId="44C7BF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дискретизацию доходностей в трёхсостояний ряд;</w:t>
      </w:r>
    </w:p>
    <w:p w14:paraId="0C76F0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построение вероятностной модели переходов с использованием Лапласовского сглаживания;</w:t>
      </w:r>
    </w:p>
    <w:p w14:paraId="0BACDB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подбор оптимальной глубины памяти;</w:t>
      </w:r>
    </w:p>
    <w:p w14:paraId="13D6E1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вычисление прогнозных значений цены;</w:t>
      </w:r>
    </w:p>
    <w:p w14:paraId="4C8400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расчёт метрик точности и экспорт результатов.</w:t>
      </w:r>
    </w:p>
    <w:p w14:paraId="235025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2285EB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Практическое исследование было проведено на пяти временных рядах российских компаний: ПАО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Газпром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, ПАО «ГМК „Норильский никель“», ПАО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ЛУКОЙЛ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, ПАО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Роснефть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и ПАО 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Сбербанк России</w:t>
      </w:r>
      <w:r>
        <w:rPr>
          <w:rFonts w:hint="default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. Для каждого инструмента определена оптимальная глубина памяти модели и рассчитаны показатели точности прогнозирования.</w:t>
      </w:r>
    </w:p>
    <w:p w14:paraId="4D112E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Результаты показали, что оптимальная глубина памяти различается для разных финансовых инструментов, что свидетельствует о различной степени временной зависимости их динамики. Это подтверждает гипотезу о наличии различной «рыночной памяти» у исследуемых активов.</w:t>
      </w:r>
    </w:p>
    <w:p w14:paraId="557887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Наименьшие относительные ошибки продемонстрировали ряды с более устойчивой динамикой, тогда как более волатильные инструменты показали большую погрешность прогнозирования. Также было установлено, что чрезмерное увеличение глубины памяти приводит к росту ошибки, что связано с экспоненциальным увеличением числа шаблонов 3m3^m3m и эффектом переобучения модели.</w:t>
      </w:r>
    </w:p>
    <w:p w14:paraId="2E18C9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 целом можно сделать вывод, что предложенная трёхцветная клеточно-автоматная модель способна воспроизводить основные тенденции движения финансовых временных рядов и может использоваться в качестве инструмента анализа динамики котировок. При этом точность прогноза зависит от характера исследуемого актива и выбранных параметров модели.</w:t>
      </w:r>
    </w:p>
    <w:p w14:paraId="1EACA8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Дальнейшее развитие работы может быть связано с:</w:t>
      </w:r>
    </w:p>
    <w:p w14:paraId="36F2A0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23499A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расширением числа состояний модели;</w:t>
      </w:r>
    </w:p>
    <w:p w14:paraId="56F620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адаптивным выбором порога дискретизации;</w:t>
      </w:r>
    </w:p>
    <w:p w14:paraId="79AE0D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использованием скользящего окна обучения;</w:t>
      </w:r>
    </w:p>
    <w:p w14:paraId="5E06AA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сравнением с нейросетевыми и классическими эконометрическими методами.</w:t>
      </w:r>
    </w:p>
    <w:p w14:paraId="283BF0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597C2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Таким образом, поставленные в работе цели и задачи были достигнуты, а разработанная программная реализация продемонстрировала практическую применимость предложенного подхода.</w:t>
      </w:r>
    </w:p>
    <w:p w14:paraId="4FE09247">
      <w:pP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189DB5A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outlineLvl w:val="0"/>
        <w:rPr>
          <w:rFonts w:hint="default"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bookmarkStart w:id="22" w:name="_Toc31221"/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СПИСОК ИСПОЛЬЗОВАННЫХ ИСТОЧНИКОВ</w:t>
      </w:r>
      <w:bookmarkEnd w:id="22"/>
    </w:p>
    <w:p w14:paraId="7DED41F4">
      <w:pPr>
        <w:pStyle w:val="3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Тюрин, Ю.Н. Анализ данных на компьютере: учеб. пособие / Ю.Н. Тюрин, А.А. Макаров – Москва: ИНФРА-М, 2002. – 528 с.</w:t>
      </w:r>
    </w:p>
    <w:p w14:paraId="14FE7742">
      <w:pPr>
        <w:pStyle w:val="3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Нильсен, Э. Практический анализ временных рядов: прогнозирование со статистикой и машинным обучением / Э. Нильсен – Москва: ДМК Пресс, 2021. – 544 с.</w:t>
      </w:r>
    </w:p>
    <w:p w14:paraId="2D80205F">
      <w:pPr>
        <w:pStyle w:val="3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>Воривода, М.А. Клеточные автоматы / М.А. Воривода, О.А. Григорьева // 58-я Научная конференция аспирантов, магистрантов и студентов БГУИР – Минск, 2022. – С. 117–119.</w:t>
      </w:r>
    </w:p>
    <w:p w14:paraId="7BE693C8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Эконометрика: учебник для студентов вузов / Н.Ш. Кремер, Б.А. Путко – Москва: ЮНИТИ-ДАНА, 2010. – 328 с. </w:t>
      </w:r>
    </w:p>
    <w:p w14:paraId="5A78F5A2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Воскобойников, Ю. Е. Эконометрика в Excel. Часть 2. Анализ временных рядов: учеб. пособие / Ю. Е. Воскобойников – Новосибирск: НГАСУ (Сибстрин), 2008. – 155 с. 3. </w:t>
      </w:r>
    </w:p>
    <w:p w14:paraId="30824A79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Курс лекций по экономико-математическому моделированию / И.В. Орлова, В.А. Половников ,В.В. Федосеев – Москва: ВЗФИ, 1993-148 с. </w:t>
      </w:r>
    </w:p>
    <w:p w14:paraId="2162F93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lang w:val="en-US" w:eastAsia="en-US" w:bidi="ar-SA"/>
          <w14:textFill>
            <w14:solidFill>
              <w14:schemeClr w14:val="tx1"/>
            </w14:solidFill>
          </w14:textFill>
        </w:rPr>
        <w:t xml:space="preserve"> Компьютерное экономико-математическое моделирование: Учебное пособие / А.А. Горчаков, И.В. Орлова – Москва: ЮНИТИ, 1995-170 с.</w:t>
      </w:r>
    </w:p>
    <w:p w14:paraId="3688AA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2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A16B99E">
      <w:pP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br w:type="page"/>
      </w:r>
    </w:p>
    <w:p w14:paraId="4ECAF8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/>
        <w:jc w:val="center"/>
        <w:textAlignment w:val="auto"/>
        <w:outlineLvl w:val="0"/>
        <w:rPr>
          <w:rFonts w:hint="default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23" w:name="_Toc3250"/>
      <w:bookmarkStart w:id="24" w:name="_Toc4682"/>
      <w:r>
        <w:rPr>
          <w:rFonts w:hint="default" w:cs="Times New Roman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Приложение А</w:t>
      </w:r>
      <w:bookmarkEnd w:id="23"/>
      <w:bookmarkEnd w:id="24"/>
    </w:p>
    <w:p w14:paraId="080A4E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center"/>
        <w:textAlignment w:val="auto"/>
        <w:outlineLvl w:val="9"/>
        <w:rPr>
          <w:rFonts w:hint="default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bookmarkStart w:id="25" w:name="_Toc11472"/>
      <w:r>
        <w:rPr>
          <w:rFonts w:hint="default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Фрагмент кода программы</w:t>
      </w:r>
      <w:bookmarkEnd w:id="25"/>
    </w:p>
    <w:p w14:paraId="5EEB32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/>
          <w:b w:val="0"/>
          <w:bCs w:val="0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3B8E4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1F3F58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using System.Collections.Generic;</w:t>
      </w:r>
    </w:p>
    <w:p w14:paraId="6168C9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using System.Linq;</w:t>
      </w:r>
    </w:p>
    <w:p w14:paraId="0B8E7A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0A4800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namespace CaForecast.Core;</w:t>
      </w:r>
    </w:p>
    <w:p w14:paraId="6C182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4DC085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public class CaForecaster</w:t>
      </w:r>
    </w:p>
    <w:p w14:paraId="0C6E5A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{</w:t>
      </w:r>
    </w:p>
    <w:p w14:paraId="760AEE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public ForecastResult Forecast(</w:t>
      </w:r>
    </w:p>
    <w:p w14:paraId="1C8C19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IReadOnlyList&lt;double&gt; prices,</w:t>
      </w:r>
    </w:p>
    <w:p w14:paraId="536C96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IReadOnlyList&lt;double&gt; returns,</w:t>
      </w:r>
    </w:p>
    <w:p w14:paraId="2E38C8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IReadOnlyList&lt;int&gt; encodedStates,</w:t>
      </w:r>
    </w:p>
    <w:p w14:paraId="394BDE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int trainReturnsCount,</w:t>
      </w:r>
    </w:p>
    <w:p w14:paraId="20BB0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int memory,</w:t>
      </w:r>
    </w:p>
    <w:p w14:paraId="64795F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double alpha,</w:t>
      </w:r>
    </w:p>
    <w:p w14:paraId="4058BE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CaRuleTrainer trainer,</w:t>
      </w:r>
    </w:p>
    <w:p w14:paraId="04A244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MetricsService metricsService)</w:t>
      </w:r>
    </w:p>
    <w:p w14:paraId="3326C7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3CEE5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(prices is null)</w:t>
      </w:r>
    </w:p>
    <w:p w14:paraId="442A47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711B6E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ArgumentNullException(nameof(prices));</w:t>
      </w:r>
    </w:p>
    <w:p w14:paraId="5ABA43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605CE2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5EB9CB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(returns is null)</w:t>
      </w:r>
    </w:p>
    <w:p w14:paraId="3A9B8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01959D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ArgumentNullException(nameof(returns));</w:t>
      </w:r>
    </w:p>
    <w:p w14:paraId="5CD521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28BF52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173654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(encodedStates is null)</w:t>
      </w:r>
    </w:p>
    <w:p w14:paraId="6C4A3A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39CF6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ArgumentNullException(nameof(encodedStates));</w:t>
      </w:r>
    </w:p>
    <w:p w14:paraId="046CB9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2E9DA5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10E144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(trainer is null)</w:t>
      </w:r>
    </w:p>
    <w:p w14:paraId="755621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3E41CA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ArgumentNullException(nameof(trainer));</w:t>
      </w:r>
    </w:p>
    <w:p w14:paraId="71F62F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22F553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4287E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(metricsService is null)</w:t>
      </w:r>
    </w:p>
    <w:p w14:paraId="2E4D35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A1B65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ArgumentNullException(nameof(metricsService));</w:t>
      </w:r>
    </w:p>
    <w:p w14:paraId="66D367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680519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138431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(returns.Count != encodedStates.Count)</w:t>
      </w:r>
    </w:p>
    <w:p w14:paraId="042ED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7A2F5C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ArgumentException("Длины массивов доходностей и закодированных состояний должны совпадать.");</w:t>
      </w:r>
    </w:p>
    <w:p w14:paraId="66B410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D3091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2B3400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if (trainReturnsCount &lt;= memory || trainReturnsCount &gt;= returns.Count)</w:t>
      </w:r>
    </w:p>
    <w:p w14:paraId="69213F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4C47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throw new ArgumentOutOfRangeException(nameof(trainReturnsCount), "Размер обучающей выборки должен быть больше памяти и меньше общего числа доходностей.");</w:t>
      </w:r>
    </w:p>
    <w:p w14:paraId="315BEB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F93CC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446965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trainStates = encodedStates.Take(trainReturnsCount).ToArray();</w:t>
      </w:r>
    </w:p>
    <w:p w14:paraId="79A386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trainReturns = returns.Take(trainReturnsCount).ToArray();</w:t>
      </w:r>
    </w:p>
    <w:p w14:paraId="255E77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model = trainer.Train(trainStates, trainReturns, memory, alpha);</w:t>
      </w:r>
    </w:p>
    <w:p w14:paraId="330220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4B0F18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actualReturns = new List&lt;double&gt;();</w:t>
      </w:r>
    </w:p>
    <w:p w14:paraId="23F48C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predictedReturns = new List&lt;double&gt;();</w:t>
      </w:r>
    </w:p>
    <w:p w14:paraId="39451D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actualPrices = new List&lt;double&gt;();</w:t>
      </w:r>
    </w:p>
    <w:p w14:paraId="7E48A1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predictedPrices = new List&lt;double&gt;();</w:t>
      </w:r>
    </w:p>
    <w:p w14:paraId="3A7F13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1DD23F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currentPredictedPrice = prices[trainReturnsCount];</w:t>
      </w:r>
    </w:p>
    <w:p w14:paraId="5D87A0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3EBF18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for (var t = trainReturnsCount; t &lt; returns.Count; t++)</w:t>
      </w:r>
    </w:p>
    <w:p w14:paraId="7A553B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7164E9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var pattern = BuildPattern(encodedStates, t - memory, memory);</w:t>
      </w:r>
    </w:p>
    <w:p w14:paraId="799F1A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var probabilities = model.TransitionProbabilities.TryGetValue(pattern, out var p)</w:t>
      </w:r>
    </w:p>
    <w:p w14:paraId="7CC42B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    ? p</w:t>
      </w:r>
    </w:p>
    <w:p w14:paraId="0CA697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    : model.GlobalDistribution;</w:t>
      </w:r>
    </w:p>
    <w:p w14:paraId="2AAD99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77F56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var predictedState = ArgMaxState(probabilities);</w:t>
      </w:r>
    </w:p>
    <w:p w14:paraId="5539E4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var predictedReturn = model.MeanReturnsByState[predictedState];</w:t>
      </w:r>
    </w:p>
    <w:p w14:paraId="562E9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696A8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actualReturns.Add(returns[t]);</w:t>
      </w:r>
    </w:p>
    <w:p w14:paraId="76DBB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predictedReturns.Add(predictedReturn);</w:t>
      </w:r>
    </w:p>
    <w:p w14:paraId="6BDC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7C87FC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var actualPrice = prices[t + 1];</w:t>
      </w:r>
    </w:p>
    <w:p w14:paraId="549034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actualPrices.Add(actualPrice);</w:t>
      </w:r>
    </w:p>
    <w:p w14:paraId="2F0171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15491C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currentPredictedPrice *= Math.Exp(predictedReturn);</w:t>
      </w:r>
    </w:p>
    <w:p w14:paraId="7D0BB2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predictedPrices.Add(currentPredictedPrice);</w:t>
      </w:r>
    </w:p>
    <w:p w14:paraId="771165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B1A0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49A9AD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mae = metricsService.CalculateMae(actualPrices, predictedPrices);</w:t>
      </w:r>
    </w:p>
    <w:p w14:paraId="028F8C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mse = metricsService.CalculateMse(actualPrices, predictedPrices);</w:t>
      </w:r>
    </w:p>
    <w:p w14:paraId="1AAAD8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rmse = metricsService.CalculateRmse(actualPrices, predictedPrices);</w:t>
      </w:r>
    </w:p>
    <w:p w14:paraId="34389E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mapePercent = metricsService.CalculateMapePercent(actualPrices, predictedPrices);</w:t>
      </w:r>
    </w:p>
    <w:p w14:paraId="00FA99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7ACB11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return new ForecastResult</w:t>
      </w:r>
    </w:p>
    <w:p w14:paraId="421734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7F2700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Memory = memory,</w:t>
      </w:r>
    </w:p>
    <w:p w14:paraId="231E22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TrainReturnsCount = trainReturnsCount,</w:t>
      </w:r>
    </w:p>
    <w:p w14:paraId="4CB2CD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ActualReturns = actualReturns,</w:t>
      </w:r>
    </w:p>
    <w:p w14:paraId="639995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PredictedReturns = predictedReturns,</w:t>
      </w:r>
    </w:p>
    <w:p w14:paraId="06C30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ActualPrices = actualPrices,</w:t>
      </w:r>
    </w:p>
    <w:p w14:paraId="6BAA8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PredictedPrices = predictedPrices,</w:t>
      </w:r>
    </w:p>
    <w:p w14:paraId="30674D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Mae = mae,</w:t>
      </w:r>
    </w:p>
    <w:p w14:paraId="14939A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Mse = mse,</w:t>
      </w:r>
    </w:p>
    <w:p w14:paraId="5A1257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Rmse = rmse,</w:t>
      </w:r>
    </w:p>
    <w:p w14:paraId="2BCE5C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MapePercent = mapePercent</w:t>
      </w:r>
    </w:p>
    <w:p w14:paraId="41D078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};</w:t>
      </w:r>
    </w:p>
    <w:p w14:paraId="42BEAC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6415C4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2A59C7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private static string BuildPattern(IReadOnlyList&lt;int&gt; states, int start, int memory)</w:t>
      </w:r>
    </w:p>
    <w:p w14:paraId="334E2A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61AE49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return string.Join('|', states.Skip(start).Take(memory));</w:t>
      </w:r>
    </w:p>
    <w:p w14:paraId="275C29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7ADDEC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2B1F4F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private static int ArgMaxState(IReadOnlyList&lt;double&gt; probs)</w:t>
      </w:r>
    </w:p>
    <w:p w14:paraId="2D6EEC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1D51B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index = 0;</w:t>
      </w:r>
    </w:p>
    <w:p w14:paraId="13BCE7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var max = probs[0];</w:t>
      </w:r>
    </w:p>
    <w:p w14:paraId="2F37A5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for (var i = 1; i &lt; probs.Count; i++)</w:t>
      </w:r>
    </w:p>
    <w:p w14:paraId="18A201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2F752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if (probs[i] &gt; max)</w:t>
      </w:r>
    </w:p>
    <w:p w14:paraId="78A15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50FCC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    max = probs[i];</w:t>
      </w:r>
    </w:p>
    <w:p w14:paraId="1288B2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    index = i;</w:t>
      </w:r>
    </w:p>
    <w:p w14:paraId="2985B7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7FD94E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20A4BB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18F36D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return index switch</w:t>
      </w:r>
    </w:p>
    <w:p w14:paraId="051F8E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0A8E92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0 =&gt; -1,</w:t>
      </w:r>
    </w:p>
    <w:p w14:paraId="439DB2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</w:t>
      </w:r>
      <w:bookmarkStart w:id="26" w:name="_Toc18873"/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1 =&gt; 0,</w:t>
      </w:r>
      <w:bookmarkEnd w:id="26"/>
    </w:p>
    <w:p w14:paraId="270EB7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</w:t>
      </w:r>
      <w:bookmarkStart w:id="27" w:name="_Toc32289"/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2 =&gt; 1,</w:t>
      </w:r>
      <w:bookmarkEnd w:id="27"/>
    </w:p>
    <w:p w14:paraId="3C5EA6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    _ =&gt; 0</w:t>
      </w:r>
    </w:p>
    <w:p w14:paraId="605028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    };</w:t>
      </w:r>
    </w:p>
    <w:p w14:paraId="17EE24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105226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  <w:t>}</w:t>
      </w:r>
    </w:p>
    <w:p w14:paraId="491441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p w14:paraId="74705B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000000" w:themeColor="text1"/>
          <w:sz w:val="20"/>
          <w:szCs w:val="20"/>
          <w:lang w:val="ru-RU"/>
          <w14:textFill>
            <w14:solidFill>
              <w14:schemeClr w14:val="tx1"/>
            </w14:solidFill>
          </w14:textFill>
        </w:rPr>
      </w:pPr>
    </w:p>
    <w:sectPr>
      <w:footerReference r:id="rId9" w:type="default"/>
      <w:pgSz w:w="12240" w:h="15840"/>
      <w:pgMar w:top="1134" w:right="567" w:bottom="1134" w:left="1417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3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TimesNewRomanPS-Italic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696F8D">
    <w:pPr>
      <w:pStyle w:val="2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04EADD">
    <w:pPr>
      <w:pStyle w:val="28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" name="Текстовое поле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77913D9">
                          <w:pPr>
                            <w:pStyle w:val="2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LV2BlA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JoSzRQ6fvp2&#10;uj3d3X+5/3r6efqO3y05/cLnBwC0QFll/RSWGwvbUL8xNcz7d4/HyESdOxW/qJFADsKPZ8JFHQiP&#10;RpPxZDKEiEPWX+A/eTC3zoe3wigSQUodOtoQzQ5rH1rVXiVG02ZVStl0VWpSpfTi5a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CS1dgZ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77913D9">
                    <w:pPr>
                      <w:pStyle w:val="2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A12120">
    <w:pPr>
      <w:pStyle w:val="28"/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7434C6">
                          <w:pPr>
                            <w:pStyle w:val="2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E7434C6">
                    <w:pPr>
                      <w:pStyle w:val="2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648673"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D489E">
    <w:pPr>
      <w:pStyle w:val="20"/>
      <w:ind w:left="0" w:leftChars="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C0A0EA"/>
    <w:multiLevelType w:val="singleLevel"/>
    <w:tmpl w:val="83C0A0E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CE38121"/>
    <w:multiLevelType w:val="singleLevel"/>
    <w:tmpl w:val="DCE38121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ED756768"/>
    <w:multiLevelType w:val="singleLevel"/>
    <w:tmpl w:val="ED756768"/>
    <w:lvl w:ilvl="0" w:tentative="0">
      <w:start w:val="1"/>
      <w:numFmt w:val="decimal"/>
      <w:suff w:val="space"/>
      <w:lvlText w:val="%1)"/>
      <w:lvlJc w:val="left"/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19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9">
    <w:nsid w:val="34B11FDE"/>
    <w:multiLevelType w:val="singleLevel"/>
    <w:tmpl w:val="34B11FDE"/>
    <w:lvl w:ilvl="0" w:tentative="0">
      <w:start w:val="1"/>
      <w:numFmt w:val="decimal"/>
      <w:suff w:val="space"/>
      <w:lvlText w:val="%1)"/>
      <w:lvlJc w:val="left"/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5"/>
  </w:num>
  <w:num w:numId="5">
    <w:abstractNumId w:val="7"/>
  </w:num>
  <w:num w:numId="6">
    <w:abstractNumId w:val="4"/>
  </w:num>
  <w:num w:numId="7">
    <w:abstractNumId w:val="9"/>
  </w:num>
  <w:num w:numId="8">
    <w:abstractNumId w:val="1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4C135C"/>
    <w:rsid w:val="0A2A393B"/>
    <w:rsid w:val="0AA471F7"/>
    <w:rsid w:val="11570BAC"/>
    <w:rsid w:val="144B7858"/>
    <w:rsid w:val="1A901FD5"/>
    <w:rsid w:val="20347AED"/>
    <w:rsid w:val="26B82881"/>
    <w:rsid w:val="2BD06FF0"/>
    <w:rsid w:val="2D700C66"/>
    <w:rsid w:val="31604BD1"/>
    <w:rsid w:val="32C42CD2"/>
    <w:rsid w:val="3B1142D0"/>
    <w:rsid w:val="3DD0580B"/>
    <w:rsid w:val="4CF33B7D"/>
    <w:rsid w:val="4EFF0678"/>
    <w:rsid w:val="55243B43"/>
    <w:rsid w:val="68B26FF7"/>
    <w:rsid w:val="74777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="Times New Roman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43"/>
    <w:qFormat/>
    <w:uiPriority w:val="9"/>
    <w:pPr>
      <w:keepNext/>
      <w:keepLines/>
      <w:spacing w:before="360" w:after="360" w:line="240" w:lineRule="auto"/>
      <w:ind w:firstLine="0"/>
      <w:jc w:val="center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3">
    <w:name w:val="heading 2"/>
    <w:basedOn w:val="1"/>
    <w:next w:val="1"/>
    <w:link w:val="44"/>
    <w:unhideWhenUsed/>
    <w:qFormat/>
    <w:uiPriority w:val="9"/>
    <w:pPr>
      <w:keepNext/>
      <w:keepLines/>
      <w:spacing w:before="360" w:after="360" w:line="240" w:lineRule="auto"/>
      <w:ind w:firstLine="0"/>
      <w:jc w:val="left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5"/>
    <w:unhideWhenUsed/>
    <w:qFormat/>
    <w:uiPriority w:val="9"/>
    <w:pPr>
      <w:keepNext/>
      <w:keepLines/>
      <w:spacing w:before="360" w:after="360" w:line="240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8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yperlink"/>
    <w:basedOn w:val="11"/>
    <w:semiHidden/>
    <w:unhideWhenUsed/>
    <w:qFormat/>
    <w:uiPriority w:val="99"/>
    <w:rPr>
      <w:color w:val="0000FF"/>
      <w:u w:val="single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50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0">
    <w:name w:val="head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1">
    <w:name w:val="Body Text"/>
    <w:basedOn w:val="1"/>
    <w:link w:val="49"/>
    <w:unhideWhenUsed/>
    <w:qFormat/>
    <w:uiPriority w:val="99"/>
    <w:pPr>
      <w:spacing w:after="120"/>
    </w:pPr>
  </w:style>
  <w:style w:type="paragraph" w:styleId="22">
    <w:name w:val="toc 1"/>
    <w:basedOn w:val="1"/>
    <w:next w:val="1"/>
    <w:semiHidden/>
    <w:unhideWhenUsed/>
    <w:qFormat/>
    <w:uiPriority w:val="39"/>
  </w:style>
  <w:style w:type="paragraph" w:styleId="23">
    <w:name w:val="macro"/>
    <w:link w:val="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33">
    <w:name w:val="Body Text 3"/>
    <w:basedOn w:val="1"/>
    <w:link w:val="51"/>
    <w:unhideWhenUsed/>
    <w:qFormat/>
    <w:uiPriority w:val="99"/>
    <w:pPr>
      <w:spacing w:after="120"/>
    </w:pPr>
    <w:rPr>
      <w:sz w:val="16"/>
      <w:szCs w:val="16"/>
    </w:rPr>
  </w:style>
  <w:style w:type="paragraph" w:styleId="34">
    <w:name w:val="Subtitle"/>
    <w:basedOn w:val="1"/>
    <w:next w:val="1"/>
    <w:link w:val="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6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7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8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9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0">
    <w:name w:val="Header Char"/>
    <w:basedOn w:val="11"/>
    <w:link w:val="20"/>
    <w:qFormat/>
    <w:uiPriority w:val="99"/>
  </w:style>
  <w:style w:type="character" w:customStyle="1" w:styleId="41">
    <w:name w:val="Footer Char"/>
    <w:basedOn w:val="11"/>
    <w:link w:val="28"/>
    <w:qFormat/>
    <w:uiPriority w:val="99"/>
  </w:style>
  <w:style w:type="paragraph" w:styleId="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3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4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5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6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7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8">
    <w:name w:val="List Paragraph"/>
    <w:basedOn w:val="1"/>
    <w:qFormat/>
    <w:uiPriority w:val="34"/>
    <w:pPr>
      <w:ind w:left="720"/>
      <w:contextualSpacing/>
    </w:pPr>
  </w:style>
  <w:style w:type="character" w:customStyle="1" w:styleId="49">
    <w:name w:val="Body Text Char"/>
    <w:basedOn w:val="11"/>
    <w:link w:val="21"/>
    <w:qFormat/>
    <w:uiPriority w:val="99"/>
  </w:style>
  <w:style w:type="character" w:customStyle="1" w:styleId="50">
    <w:name w:val="Body Text 2 Char"/>
    <w:basedOn w:val="11"/>
    <w:link w:val="17"/>
    <w:qFormat/>
    <w:uiPriority w:val="99"/>
  </w:style>
  <w:style w:type="character" w:customStyle="1" w:styleId="51">
    <w:name w:val="Body Text 3 Char"/>
    <w:basedOn w:val="11"/>
    <w:link w:val="33"/>
    <w:qFormat/>
    <w:uiPriority w:val="99"/>
    <w:rPr>
      <w:sz w:val="16"/>
      <w:szCs w:val="16"/>
    </w:rPr>
  </w:style>
  <w:style w:type="character" w:customStyle="1" w:styleId="52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3">
    <w:name w:val="Quote"/>
    <w:basedOn w:val="1"/>
    <w:next w:val="1"/>
    <w:link w:val="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Quote Char"/>
    <w:basedOn w:val="1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5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6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7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8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9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60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1">
    <w:name w:val="Intense Quote"/>
    <w:basedOn w:val="1"/>
    <w:next w:val="1"/>
    <w:link w:val="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Intense Quote Char"/>
    <w:basedOn w:val="11"/>
    <w:link w:val="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4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5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6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7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8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6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6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7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7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Юрий Макаров</cp:lastModifiedBy>
  <dcterms:modified xsi:type="dcterms:W3CDTF">2026-02-27T12:03:02Z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FFB3D5A2B97448DAB2D47A3E864772C2_13</vt:lpwstr>
  </property>
</Properties>
</file>