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F76719">
      <w:pPr>
        <w:pStyle w:val="32"/>
        <w:keepNext w:val="0"/>
        <w:keepLines w:val="0"/>
        <w:widowControl/>
        <w:suppressLineNumbers w:val="0"/>
        <w:jc w:val="center"/>
        <w:rPr>
          <w:sz w:val="28"/>
          <w:szCs w:val="28"/>
        </w:rPr>
      </w:pPr>
      <w:r>
        <w:rPr>
          <w:sz w:val="28"/>
          <w:szCs w:val="28"/>
        </w:rPr>
        <w:t>МИНИСТЕРСТВО НАУКИ И ВЫСШЕГО ОБРАЗОВАНИЯ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РОССИЙСКОЙ ФЕДЕРАЦИИ</w:t>
      </w:r>
    </w:p>
    <w:p w14:paraId="630389D5">
      <w:pPr>
        <w:pStyle w:val="32"/>
        <w:keepNext w:val="0"/>
        <w:keepLines w:val="0"/>
        <w:widowControl/>
        <w:suppressLineNumbers w:val="0"/>
        <w:jc w:val="center"/>
        <w:rPr>
          <w:sz w:val="28"/>
          <w:szCs w:val="28"/>
        </w:rPr>
      </w:pPr>
      <w:r>
        <w:rPr>
          <w:sz w:val="28"/>
          <w:szCs w:val="28"/>
        </w:rPr>
        <w:t>Федеральное государственное бюджетное образовательное учреждение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высшего образования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«КУБАНСКИЙ ГОСУДАРСТВЕННЫЙ АГРАРНЫЙ УНИВЕРСИТЕТ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имени И.Т. ТРУБИЛИНА»</w:t>
      </w:r>
    </w:p>
    <w:p w14:paraId="5518EA37">
      <w:pPr>
        <w:pStyle w:val="32"/>
        <w:keepNext w:val="0"/>
        <w:keepLines w:val="0"/>
        <w:widowControl/>
        <w:suppressLineNumbers w:val="0"/>
        <w:jc w:val="center"/>
        <w:rPr>
          <w:sz w:val="28"/>
          <w:szCs w:val="28"/>
        </w:rPr>
      </w:pPr>
      <w:r>
        <w:rPr>
          <w:sz w:val="28"/>
          <w:szCs w:val="28"/>
        </w:rPr>
        <w:t>Кафедра информационных систем и технологий</w:t>
      </w:r>
    </w:p>
    <w:p w14:paraId="6C626F73">
      <w:pPr>
        <w:pStyle w:val="32"/>
        <w:keepNext w:val="0"/>
        <w:keepLines w:val="0"/>
        <w:widowControl/>
        <w:suppressLineNumbers w:val="0"/>
        <w:jc w:val="center"/>
        <w:rPr>
          <w:sz w:val="32"/>
          <w:szCs w:val="32"/>
        </w:rPr>
      </w:pPr>
      <w:r>
        <w:rPr>
          <w:sz w:val="32"/>
          <w:szCs w:val="32"/>
        </w:rPr>
        <w:t>КУРСОВАЯ РАБОТА</w:t>
      </w:r>
    </w:p>
    <w:p w14:paraId="0812A582">
      <w:pPr>
        <w:pStyle w:val="32"/>
        <w:keepNext w:val="0"/>
        <w:keepLines w:val="0"/>
        <w:widowControl/>
        <w:suppressLineNumbers w:val="0"/>
        <w:jc w:val="center"/>
        <w:rPr>
          <w:sz w:val="28"/>
          <w:szCs w:val="28"/>
        </w:rPr>
      </w:pPr>
      <w:r>
        <w:rPr>
          <w:sz w:val="28"/>
          <w:szCs w:val="28"/>
        </w:rPr>
        <w:t>ПРОГРАММНАЯ РЕАЛИЗАЦИЯ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ТРЁХЦВЕТНОЙ КЛЕТОЧНО-АВТОМАТНОЙ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ПРОГНОЗНОЙ МОДЕЛИ</w:t>
      </w:r>
    </w:p>
    <w:tbl>
      <w:tblPr>
        <w:tblStyle w:val="3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36"/>
        <w:gridCol w:w="5236"/>
      </w:tblGrid>
      <w:tr w14:paraId="1330DD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5236" w:type="dxa"/>
            <w:tcBorders>
              <w:top w:val="nil"/>
              <w:left w:val="nil"/>
              <w:bottom w:val="nil"/>
              <w:right w:val="nil"/>
            </w:tcBorders>
          </w:tcPr>
          <w:p w14:paraId="4957CF5C">
            <w:pPr>
              <w:pStyle w:val="32"/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sz w:val="28"/>
                <w:szCs w:val="28"/>
                <w:vertAlign w:val="baseline"/>
              </w:rPr>
            </w:pPr>
          </w:p>
        </w:tc>
        <w:tc>
          <w:tcPr>
            <w:tcW w:w="5236" w:type="dxa"/>
            <w:tcBorders>
              <w:top w:val="nil"/>
              <w:left w:val="nil"/>
              <w:bottom w:val="nil"/>
              <w:right w:val="nil"/>
            </w:tcBorders>
          </w:tcPr>
          <w:p w14:paraId="5CCECFCC">
            <w:pPr>
              <w:pStyle w:val="32"/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sz w:val="28"/>
                <w:szCs w:val="28"/>
                <w:vertAlign w:val="baseline"/>
              </w:rPr>
            </w:pPr>
            <w:r>
              <w:rPr>
                <w:sz w:val="28"/>
                <w:szCs w:val="28"/>
              </w:rPr>
              <w:t>ВЫПОЛНИЛ</w:t>
            </w:r>
            <w:r>
              <w:rPr>
                <w:rFonts w:hint="default"/>
                <w:sz w:val="28"/>
                <w:szCs w:val="28"/>
                <w:lang w:val="ru-RU"/>
              </w:rPr>
              <w:t>:</w:t>
            </w:r>
            <w:r>
              <w:rPr>
                <w:sz w:val="28"/>
                <w:szCs w:val="28"/>
              </w:rPr>
              <w:br w:type="textWrapping"/>
            </w:r>
            <w:r>
              <w:rPr>
                <w:sz w:val="28"/>
                <w:szCs w:val="28"/>
              </w:rPr>
              <w:t>магистрант направления подготовки</w:t>
            </w:r>
            <w:r>
              <w:rPr>
                <w:sz w:val="28"/>
                <w:szCs w:val="28"/>
              </w:rPr>
              <w:br w:type="textWrapping"/>
            </w:r>
            <w:r>
              <w:rPr>
                <w:sz w:val="28"/>
                <w:szCs w:val="28"/>
              </w:rPr>
              <w:t>09.04.03 Прикладная информатика</w:t>
            </w:r>
            <w:r>
              <w:rPr>
                <w:sz w:val="28"/>
                <w:szCs w:val="28"/>
              </w:rPr>
              <w:br w:type="textWrapping"/>
            </w:r>
            <w:r>
              <w:rPr>
                <w:sz w:val="28"/>
                <w:szCs w:val="28"/>
              </w:rPr>
              <w:t>профиль «Менеджмент проектов</w:t>
            </w:r>
            <w:r>
              <w:rPr>
                <w:sz w:val="28"/>
                <w:szCs w:val="28"/>
              </w:rPr>
              <w:br w:type="textWrapping"/>
            </w:r>
            <w:r>
              <w:rPr>
                <w:sz w:val="28"/>
                <w:szCs w:val="28"/>
              </w:rPr>
              <w:t>в области информационных систем»</w:t>
            </w:r>
            <w:r>
              <w:rPr>
                <w:sz w:val="28"/>
                <w:szCs w:val="28"/>
              </w:rPr>
              <w:br w:type="textWrapping"/>
            </w:r>
            <w:r>
              <w:rPr>
                <w:sz w:val="28"/>
                <w:szCs w:val="28"/>
              </w:rPr>
              <w:t>Макаров Юрий Юрьевич</w:t>
            </w:r>
          </w:p>
        </w:tc>
      </w:tr>
    </w:tbl>
    <w:p w14:paraId="3918328A">
      <w:pPr>
        <w:pStyle w:val="32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t>РУКОВОДИТЕЛЬ:</w:t>
      </w:r>
      <w:r>
        <w:rPr>
          <w:sz w:val="28"/>
          <w:szCs w:val="28"/>
        </w:rPr>
        <w:br w:type="textWrapping"/>
      </w:r>
      <w:r>
        <w:rPr>
          <w:sz w:val="28"/>
          <w:szCs w:val="28"/>
          <w:lang w:val="ru-RU"/>
        </w:rPr>
        <w:t>д</w:t>
      </w:r>
      <w:r>
        <w:rPr>
          <w:sz w:val="28"/>
          <w:szCs w:val="28"/>
        </w:rPr>
        <w:t>октор экономических наук, кандидат физико-математических наук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Попова Елена Витальевна</w:t>
      </w:r>
    </w:p>
    <w:p w14:paraId="100638B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both"/>
        <w:textAlignment w:val="auto"/>
        <w:rPr>
          <w:rFonts w:hint="default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</w:t>
      </w:r>
    </w:p>
    <w:p w14:paraId="2955F05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</w:p>
    <w:p w14:paraId="641DCFC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</w:p>
    <w:p w14:paraId="11C0FF6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</w:p>
    <w:p w14:paraId="6B3A851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</w:p>
    <w:p w14:paraId="486A8A1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0" w:firstLineChars="0"/>
        <w:jc w:val="both"/>
        <w:textAlignment w:val="auto"/>
        <w:rPr>
          <w:rFonts w:hint="default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</w:p>
    <w:p w14:paraId="5C8E27F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</w:p>
    <w:p w14:paraId="0B837DE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0" w:firstLineChars="0"/>
        <w:jc w:val="center"/>
        <w:textAlignment w:val="auto"/>
        <w:rPr>
          <w:rFonts w:hint="default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</w:p>
    <w:p w14:paraId="49BA3F5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0" w:firstLineChars="0"/>
        <w:jc w:val="center"/>
        <w:textAlignment w:val="auto"/>
        <w:rPr>
          <w:rFonts w:hint="default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</w:p>
    <w:p w14:paraId="5790589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0" w:firstLineChars="0"/>
        <w:jc w:val="center"/>
        <w:textAlignment w:val="auto"/>
        <w:rPr>
          <w:rFonts w:hint="default" w:cs="Times New Roman"/>
          <w:b/>
          <w:bCs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sectPr>
          <w:headerReference r:id="rId5" w:type="default"/>
          <w:pgSz w:w="12240" w:h="15840"/>
          <w:pgMar w:top="1134" w:right="567" w:bottom="1134" w:left="1417" w:header="720" w:footer="72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titlePg/>
          <w:rtlGutter w:val="0"/>
          <w:docGrid w:linePitch="360" w:charSpace="0"/>
        </w:sectPr>
      </w:pPr>
      <w:r>
        <w:rPr>
          <w:rFonts w:hint="default" w:cs="Times New Roman"/>
          <w:b/>
          <w:bCs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Краснодар 2026</w:t>
      </w:r>
    </w:p>
    <w:p w14:paraId="71635D4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/>
        <w:jc w:val="center"/>
        <w:textAlignment w:val="auto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РЕФЕРАТ</w:t>
      </w:r>
    </w:p>
    <w:p w14:paraId="396D161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Работа </w:t>
      </w:r>
      <w:r>
        <w:rPr>
          <w:rFonts w:hint="default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80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с.,</w:t>
      </w:r>
      <w:r>
        <w:rPr>
          <w:rFonts w:hint="default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 10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рис.,</w:t>
      </w:r>
      <w:r>
        <w:rPr>
          <w:rFonts w:hint="default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 2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табл.</w:t>
      </w:r>
      <w:r>
        <w:rPr>
          <w:rFonts w:hint="default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, 7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источников,</w:t>
      </w:r>
      <w:r>
        <w:rPr>
          <w:rFonts w:hint="default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 1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прил.</w:t>
      </w:r>
    </w:p>
    <w:p w14:paraId="1A3AB34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КЛЕТОЧНЫЙ АВТОМАТ, ВРЕМЕННОЙ РЯД, ПРОГНОЗИРОВАНИЕ, ДОХОДНОСТЬ, ДИСКРЕТИЗАЦИЯ, СТОХАСТИЧЕСКАЯ МОДЕЛЬ, РЫНОЧНАЯ ПАМЯТЬ</w:t>
      </w:r>
    </w:p>
    <w:p w14:paraId="0F53F2E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Объектом исследования являются финансовые временные ряды котировок акций российских компаний.</w:t>
      </w:r>
    </w:p>
    <w:p w14:paraId="2FD1DB9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Цель работы — разработка и программная реализация трёхцветной стохастической клеточно-автоматной модели прогнозирования финансовых временных рядов.</w:t>
      </w:r>
    </w:p>
    <w:p w14:paraId="2955A8B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В процессе работы использовались методы анализа временных рядов, дискретизации доходностей, вероятностного моделирования переходов состояний, а также методы оценки точности прогноза на основе метрик MAE, MSE, RMSE и MAPE.</w:t>
      </w:r>
    </w:p>
    <w:p w14:paraId="00ADB93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В результате исследования разработан алгоритм трёхсостояний клеточного автомата с памятью, реализовано программное приложение для загрузки данных с Московской биржи и проведения прогнозирования, выполнен сравнительный анализ результатов для пяти временных рядов.</w:t>
      </w:r>
    </w:p>
    <w:p w14:paraId="36FE7BA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Полученные результаты показали, что предложенная модель способна воспроизводить основные тенденции движения цены, при этом точность прогнозирования зависит от глубины памяти и характеристик конкретного финансового инструмента.</w:t>
      </w:r>
    </w:p>
    <w:p w14:paraId="54F49ACE">
      <w:pP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page"/>
      </w:r>
      <w:bookmarkStart w:id="28" w:name="_GoBack"/>
      <w:bookmarkEnd w:id="28"/>
    </w:p>
    <w:p w14:paraId="5245ECCD">
      <w:pPr>
        <w:ind w:left="0" w:leftChars="0" w:firstLine="0" w:firstLineChars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sdt>
      <w:sdtPr>
        <w:rPr>
          <w:rFonts w:hint="default" w:ascii="Times New Roman" w:hAnsi="Times New Roman" w:eastAsia="SimSun" w:cs="Times New Roman"/>
          <w:sz w:val="28"/>
          <w:szCs w:val="28"/>
          <w:lang w:val="en-US" w:eastAsia="en-US" w:bidi="ar-SA"/>
        </w:rPr>
        <w:id w:val="147457770"/>
        <w15:color w:val="DBDBDB"/>
        <w:docPartObj>
          <w:docPartGallery w:val="Table of Contents"/>
          <w:docPartUnique/>
        </w:docPartObj>
      </w:sdtPr>
      <w:sdtContent>
        <w:p w14:paraId="610A1A84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default" w:ascii="Times New Roman" w:hAnsi="Times New Roman" w:cs="Times New Roman"/>
              <w:sz w:val="28"/>
              <w:szCs w:val="28"/>
              <w:lang w:val="ru-RU"/>
            </w:rPr>
          </w:pPr>
          <w:r>
            <w:rPr>
              <w:rFonts w:hint="default" w:ascii="Times New Roman" w:hAnsi="Times New Roman" w:eastAsia="SimSun" w:cs="Times New Roman"/>
              <w:b/>
              <w:bCs/>
              <w:sz w:val="28"/>
              <w:szCs w:val="28"/>
            </w:rPr>
            <w:t>О</w:t>
          </w:r>
          <w:r>
            <w:rPr>
              <w:rFonts w:hint="default" w:eastAsia="SimSun" w:cs="Times New Roman"/>
              <w:b/>
              <w:bCs/>
              <w:sz w:val="28"/>
              <w:szCs w:val="28"/>
              <w:lang w:val="ru-RU"/>
            </w:rPr>
            <w:t>ГЛАВЛЕНИЕ</w:t>
          </w:r>
        </w:p>
        <w:p w14:paraId="7C8F198C">
          <w:pPr>
            <w:pStyle w:val="22"/>
            <w:tabs>
              <w:tab w:val="right" w:leader="dot" w:pos="10256"/>
            </w:tabs>
          </w:pP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TOC \o "1-3" \h \u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Cs w:val="28"/>
            </w:rPr>
            <w:instrText xml:space="preserve"> HYPERLINK \l _Toc13814 </w:instrText>
          </w:r>
          <w:r>
            <w:rPr>
              <w:rFonts w:hint="default" w:ascii="Times New Roman" w:hAnsi="Times New Roman" w:cs="Times New Roman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bCs/>
              <w:szCs w:val="28"/>
            </w:rPr>
            <w:t>ВВЕДЕНИЕ</w:t>
          </w:r>
          <w:r>
            <w:tab/>
          </w:r>
          <w:r>
            <w:fldChar w:fldCharType="begin"/>
          </w:r>
          <w:r>
            <w:instrText xml:space="preserve"> PAGEREF _Toc13814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default" w:ascii="Times New Roman" w:hAnsi="Times New Roman" w:cs="Times New Roman"/>
              <w:szCs w:val="28"/>
            </w:rPr>
            <w:fldChar w:fldCharType="end"/>
          </w:r>
        </w:p>
        <w:p w14:paraId="58738272">
          <w:pPr>
            <w:pStyle w:val="22"/>
            <w:tabs>
              <w:tab w:val="right" w:leader="dot" w:pos="10256"/>
            </w:tabs>
          </w:pPr>
          <w:r>
            <w:rPr>
              <w:rFonts w:hint="default" w:ascii="Times New Roman" w:hAnsi="Times New Roman" w:cs="Times New Roman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Cs w:val="28"/>
            </w:rPr>
            <w:instrText xml:space="preserve"> HYPERLINK \l _Toc15574 </w:instrText>
          </w:r>
          <w:r>
            <w:rPr>
              <w:rFonts w:hint="default" w:ascii="Times New Roman" w:hAnsi="Times New Roman" w:cs="Times New Roman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</w:rPr>
            <w:t>1 ТЕОРЕТИЧЕСКИЕ ОСНОВЫ АНАЛИЗА ВРЕМЕННЫХ РЯДОВ</w:t>
          </w:r>
          <w:r>
            <w:tab/>
          </w:r>
          <w:r>
            <w:fldChar w:fldCharType="begin"/>
          </w:r>
          <w:r>
            <w:instrText xml:space="preserve"> PAGEREF _Toc15574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default" w:ascii="Times New Roman" w:hAnsi="Times New Roman" w:cs="Times New Roman"/>
              <w:szCs w:val="28"/>
            </w:rPr>
            <w:fldChar w:fldCharType="end"/>
          </w:r>
        </w:p>
        <w:p w14:paraId="72997ECB">
          <w:pPr>
            <w:pStyle w:val="22"/>
            <w:tabs>
              <w:tab w:val="right" w:leader="dot" w:pos="10256"/>
            </w:tabs>
          </w:pPr>
          <w:r>
            <w:rPr>
              <w:rFonts w:hint="default" w:ascii="Times New Roman" w:hAnsi="Times New Roman" w:cs="Times New Roman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Cs w:val="28"/>
            </w:rPr>
            <w:instrText xml:space="preserve"> HYPERLINK \l _Toc2560 </w:instrText>
          </w:r>
          <w:r>
            <w:rPr>
              <w:rFonts w:hint="default" w:ascii="Times New Roman" w:hAnsi="Times New Roman" w:cs="Times New Roman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Cs w:val="28"/>
              <w:lang w:val="ru-RU"/>
            </w:rPr>
            <w:t>2</w:t>
          </w:r>
          <w:r>
            <w:rPr>
              <w:rFonts w:hint="default" w:ascii="Times New Roman" w:hAnsi="Times New Roman" w:cs="Times New Roman"/>
              <w:szCs w:val="28"/>
            </w:rPr>
            <w:t xml:space="preserve"> ТЕОРЕТИЧЕСКИЕ ОСНОВЫ КЛЕТОЧНЫХ АВТОМАТОВ</w:t>
          </w:r>
          <w:r>
            <w:tab/>
          </w:r>
          <w:r>
            <w:fldChar w:fldCharType="begin"/>
          </w:r>
          <w:r>
            <w:instrText xml:space="preserve"> PAGEREF _Toc2560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default" w:ascii="Times New Roman" w:hAnsi="Times New Roman" w:cs="Times New Roman"/>
              <w:szCs w:val="28"/>
            </w:rPr>
            <w:fldChar w:fldCharType="end"/>
          </w:r>
        </w:p>
        <w:p w14:paraId="2233DEC1">
          <w:pPr>
            <w:pStyle w:val="22"/>
            <w:tabs>
              <w:tab w:val="right" w:leader="dot" w:pos="10256"/>
            </w:tabs>
          </w:pPr>
          <w:r>
            <w:rPr>
              <w:rFonts w:hint="default" w:ascii="Times New Roman" w:hAnsi="Times New Roman" w:cs="Times New Roman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Cs w:val="28"/>
            </w:rPr>
            <w:instrText xml:space="preserve"> HYPERLINK \l _Toc28886 </w:instrText>
          </w:r>
          <w:r>
            <w:rPr>
              <w:rFonts w:hint="default" w:ascii="Times New Roman" w:hAnsi="Times New Roman" w:cs="Times New Roman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Cs w:val="28"/>
              <w:lang w:val="ru-RU"/>
            </w:rPr>
            <w:t>3</w:t>
          </w:r>
          <w:r>
            <w:rPr>
              <w:rFonts w:hint="default" w:ascii="Times New Roman" w:hAnsi="Times New Roman" w:cs="Times New Roman"/>
              <w:szCs w:val="28"/>
            </w:rPr>
            <w:t xml:space="preserve"> СТОХАСТИЧЕСКИЙ ТРЁХСОСТОЯНИЕ КЛЕТОЧНЫЙ АВТОМАТ С ПАМЯТЬЮ m</w:t>
          </w:r>
          <w:r>
            <w:tab/>
          </w:r>
          <w:r>
            <w:fldChar w:fldCharType="begin"/>
          </w:r>
          <w:r>
            <w:instrText xml:space="preserve"> PAGEREF _Toc28886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default" w:ascii="Times New Roman" w:hAnsi="Times New Roman" w:cs="Times New Roman"/>
              <w:szCs w:val="28"/>
            </w:rPr>
            <w:fldChar w:fldCharType="end"/>
          </w:r>
        </w:p>
        <w:p w14:paraId="534D58E1">
          <w:pPr>
            <w:pStyle w:val="22"/>
            <w:tabs>
              <w:tab w:val="right" w:leader="dot" w:pos="10256"/>
            </w:tabs>
          </w:pPr>
          <w:r>
            <w:rPr>
              <w:rFonts w:hint="default" w:ascii="Times New Roman" w:hAnsi="Times New Roman" w:cs="Times New Roman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Cs w:val="28"/>
            </w:rPr>
            <w:instrText xml:space="preserve"> HYPERLINK \l _Toc13895 </w:instrText>
          </w:r>
          <w:r>
            <w:rPr>
              <w:rFonts w:hint="default" w:ascii="Times New Roman" w:hAnsi="Times New Roman" w:cs="Times New Roman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bCs/>
              <w:szCs w:val="28"/>
              <w:lang w:val="ru-RU"/>
            </w:rPr>
            <w:t>3</w:t>
          </w:r>
          <w:r>
            <w:rPr>
              <w:rFonts w:hint="default" w:ascii="Times New Roman" w:hAnsi="Times New Roman" w:cs="Times New Roman"/>
              <w:bCs/>
              <w:szCs w:val="28"/>
            </w:rPr>
            <w:t>.1 Обоснование выбора</w:t>
          </w:r>
          <w:r>
            <w:tab/>
          </w:r>
          <w:r>
            <w:fldChar w:fldCharType="begin"/>
          </w:r>
          <w:r>
            <w:instrText xml:space="preserve"> PAGEREF _Toc13895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default" w:ascii="Times New Roman" w:hAnsi="Times New Roman" w:cs="Times New Roman"/>
              <w:szCs w:val="28"/>
            </w:rPr>
            <w:fldChar w:fldCharType="end"/>
          </w:r>
        </w:p>
        <w:p w14:paraId="55C31A65">
          <w:pPr>
            <w:pStyle w:val="22"/>
            <w:tabs>
              <w:tab w:val="right" w:leader="dot" w:pos="10256"/>
            </w:tabs>
          </w:pPr>
          <w:r>
            <w:rPr>
              <w:rFonts w:hint="default" w:ascii="Times New Roman" w:hAnsi="Times New Roman" w:cs="Times New Roman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Cs w:val="28"/>
            </w:rPr>
            <w:instrText xml:space="preserve"> HYPERLINK \l _Toc2380 </w:instrText>
          </w:r>
          <w:r>
            <w:rPr>
              <w:rFonts w:hint="default" w:ascii="Times New Roman" w:hAnsi="Times New Roman" w:cs="Times New Roman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bCs/>
              <w:szCs w:val="28"/>
              <w:lang w:val="ru-RU"/>
            </w:rPr>
            <w:t>3.2 Дискретизация доходностей</w:t>
          </w:r>
          <w:r>
            <w:tab/>
          </w:r>
          <w:r>
            <w:fldChar w:fldCharType="begin"/>
          </w:r>
          <w:r>
            <w:instrText xml:space="preserve"> PAGEREF _Toc2380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default" w:ascii="Times New Roman" w:hAnsi="Times New Roman" w:cs="Times New Roman"/>
              <w:szCs w:val="28"/>
            </w:rPr>
            <w:fldChar w:fldCharType="end"/>
          </w:r>
        </w:p>
        <w:p w14:paraId="76A745D3">
          <w:pPr>
            <w:pStyle w:val="22"/>
            <w:tabs>
              <w:tab w:val="right" w:leader="dot" w:pos="10256"/>
            </w:tabs>
          </w:pPr>
          <w:r>
            <w:rPr>
              <w:rFonts w:hint="default" w:ascii="Times New Roman" w:hAnsi="Times New Roman" w:cs="Times New Roman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Cs w:val="28"/>
            </w:rPr>
            <w:instrText xml:space="preserve"> HYPERLINK \l _Toc12962 </w:instrText>
          </w:r>
          <w:r>
            <w:rPr>
              <w:rFonts w:hint="default" w:ascii="Times New Roman" w:hAnsi="Times New Roman" w:cs="Times New Roman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bCs/>
              <w:szCs w:val="28"/>
              <w:lang w:val="ru-RU"/>
            </w:rPr>
            <w:t>3.3 Память длины m</w:t>
          </w:r>
          <w:r>
            <w:tab/>
          </w:r>
          <w:r>
            <w:fldChar w:fldCharType="begin"/>
          </w:r>
          <w:r>
            <w:instrText xml:space="preserve"> PAGEREF _Toc12962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default" w:ascii="Times New Roman" w:hAnsi="Times New Roman" w:cs="Times New Roman"/>
              <w:szCs w:val="28"/>
            </w:rPr>
            <w:fldChar w:fldCharType="end"/>
          </w:r>
        </w:p>
        <w:p w14:paraId="0BBF5056">
          <w:pPr>
            <w:pStyle w:val="22"/>
            <w:tabs>
              <w:tab w:val="right" w:leader="dot" w:pos="10256"/>
            </w:tabs>
          </w:pPr>
          <w:r>
            <w:rPr>
              <w:rFonts w:hint="default" w:ascii="Times New Roman" w:hAnsi="Times New Roman" w:cs="Times New Roman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Cs w:val="28"/>
            </w:rPr>
            <w:instrText xml:space="preserve"> HYPERLINK \l _Toc27164 </w:instrText>
          </w:r>
          <w:r>
            <w:rPr>
              <w:rFonts w:hint="default" w:ascii="Times New Roman" w:hAnsi="Times New Roman" w:cs="Times New Roman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bCs/>
              <w:szCs w:val="28"/>
              <w:lang w:val="ru-RU"/>
            </w:rPr>
            <w:t>3.4 Вероятностное правило перехода</w:t>
          </w:r>
          <w:r>
            <w:tab/>
          </w:r>
          <w:r>
            <w:fldChar w:fldCharType="begin"/>
          </w:r>
          <w:r>
            <w:instrText xml:space="preserve"> PAGEREF _Toc27164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default" w:ascii="Times New Roman" w:hAnsi="Times New Roman" w:cs="Times New Roman"/>
              <w:szCs w:val="28"/>
            </w:rPr>
            <w:fldChar w:fldCharType="end"/>
          </w:r>
        </w:p>
        <w:p w14:paraId="6C1DDE0E">
          <w:pPr>
            <w:pStyle w:val="22"/>
            <w:tabs>
              <w:tab w:val="right" w:leader="dot" w:pos="10256"/>
            </w:tabs>
          </w:pPr>
          <w:r>
            <w:rPr>
              <w:rFonts w:hint="default" w:ascii="Times New Roman" w:hAnsi="Times New Roman" w:cs="Times New Roman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Cs w:val="28"/>
            </w:rPr>
            <w:instrText xml:space="preserve"> HYPERLINK \l _Toc6445 </w:instrText>
          </w:r>
          <w:r>
            <w:rPr>
              <w:rFonts w:hint="default" w:ascii="Times New Roman" w:hAnsi="Times New Roman" w:cs="Times New Roman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bCs/>
              <w:szCs w:val="28"/>
              <w:lang w:val="ru-RU"/>
            </w:rPr>
            <w:t>3.5 Правило прогноза</w:t>
          </w:r>
          <w:r>
            <w:tab/>
          </w:r>
          <w:r>
            <w:fldChar w:fldCharType="begin"/>
          </w:r>
          <w:r>
            <w:instrText xml:space="preserve"> PAGEREF _Toc6445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default" w:ascii="Times New Roman" w:hAnsi="Times New Roman" w:cs="Times New Roman"/>
              <w:szCs w:val="28"/>
            </w:rPr>
            <w:fldChar w:fldCharType="end"/>
          </w:r>
        </w:p>
        <w:p w14:paraId="660ECADA">
          <w:pPr>
            <w:pStyle w:val="22"/>
            <w:tabs>
              <w:tab w:val="right" w:leader="dot" w:pos="10256"/>
            </w:tabs>
          </w:pPr>
          <w:r>
            <w:rPr>
              <w:rFonts w:hint="default" w:ascii="Times New Roman" w:hAnsi="Times New Roman" w:cs="Times New Roman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Cs w:val="28"/>
            </w:rPr>
            <w:instrText xml:space="preserve"> HYPERLINK \l _Toc31663 </w:instrText>
          </w:r>
          <w:r>
            <w:rPr>
              <w:rFonts w:hint="default" w:ascii="Times New Roman" w:hAnsi="Times New Roman" w:cs="Times New Roman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bCs/>
              <w:szCs w:val="28"/>
              <w:lang w:val="ru-RU"/>
            </w:rPr>
            <w:t>3.6 Переход к цене</w:t>
          </w:r>
          <w:r>
            <w:tab/>
          </w:r>
          <w:r>
            <w:fldChar w:fldCharType="begin"/>
          </w:r>
          <w:r>
            <w:instrText xml:space="preserve"> PAGEREF _Toc31663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default" w:ascii="Times New Roman" w:hAnsi="Times New Roman" w:cs="Times New Roman"/>
              <w:szCs w:val="28"/>
            </w:rPr>
            <w:fldChar w:fldCharType="end"/>
          </w:r>
        </w:p>
        <w:p w14:paraId="30CD46AB">
          <w:pPr>
            <w:pStyle w:val="22"/>
            <w:tabs>
              <w:tab w:val="right" w:leader="dot" w:pos="10256"/>
            </w:tabs>
          </w:pPr>
          <w:r>
            <w:rPr>
              <w:rFonts w:hint="default" w:ascii="Times New Roman" w:hAnsi="Times New Roman" w:cs="Times New Roman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Cs w:val="28"/>
            </w:rPr>
            <w:instrText xml:space="preserve"> HYPERLINK \l _Toc29816 </w:instrText>
          </w:r>
          <w:r>
            <w:rPr>
              <w:rFonts w:hint="default" w:ascii="Times New Roman" w:hAnsi="Times New Roman" w:cs="Times New Roman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Cs w:val="28"/>
              <w:lang w:val="ru-RU"/>
            </w:rPr>
            <w:t>4</w:t>
          </w:r>
          <w:r>
            <w:rPr>
              <w:rFonts w:hint="default" w:ascii="Times New Roman" w:hAnsi="Times New Roman" w:cs="Times New Roman"/>
              <w:szCs w:val="28"/>
            </w:rPr>
            <w:t xml:space="preserve"> ПОРЯДОК РАБОТЫ С ПРОГРАММОЙ</w:t>
          </w:r>
          <w:r>
            <w:tab/>
          </w:r>
          <w:r>
            <w:fldChar w:fldCharType="begin"/>
          </w:r>
          <w:r>
            <w:instrText xml:space="preserve"> PAGEREF _Toc29816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default" w:ascii="Times New Roman" w:hAnsi="Times New Roman" w:cs="Times New Roman"/>
              <w:szCs w:val="28"/>
            </w:rPr>
            <w:fldChar w:fldCharType="end"/>
          </w:r>
        </w:p>
        <w:p w14:paraId="4462C5B1">
          <w:pPr>
            <w:pStyle w:val="22"/>
            <w:tabs>
              <w:tab w:val="right" w:leader="dot" w:pos="10256"/>
            </w:tabs>
          </w:pPr>
          <w:r>
            <w:rPr>
              <w:rFonts w:hint="default" w:ascii="Times New Roman" w:hAnsi="Times New Roman" w:cs="Times New Roman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Cs w:val="28"/>
            </w:rPr>
            <w:instrText xml:space="preserve"> HYPERLINK \l _Toc6876 </w:instrText>
          </w:r>
          <w:r>
            <w:rPr>
              <w:rFonts w:hint="default" w:ascii="Times New Roman" w:hAnsi="Times New Roman" w:cs="Times New Roman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bCs/>
              <w:szCs w:val="28"/>
              <w:lang w:val="ru-RU"/>
            </w:rPr>
            <w:t>4.1 Подготовка данных и выбор источника</w:t>
          </w:r>
          <w:r>
            <w:tab/>
          </w:r>
          <w:r>
            <w:fldChar w:fldCharType="begin"/>
          </w:r>
          <w:r>
            <w:instrText xml:space="preserve"> PAGEREF _Toc6876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default" w:ascii="Times New Roman" w:hAnsi="Times New Roman" w:cs="Times New Roman"/>
              <w:szCs w:val="28"/>
            </w:rPr>
            <w:fldChar w:fldCharType="end"/>
          </w:r>
        </w:p>
        <w:p w14:paraId="77135ED6">
          <w:pPr>
            <w:pStyle w:val="22"/>
            <w:tabs>
              <w:tab w:val="right" w:leader="dot" w:pos="10256"/>
            </w:tabs>
          </w:pPr>
          <w:r>
            <w:rPr>
              <w:rFonts w:hint="default" w:ascii="Times New Roman" w:hAnsi="Times New Roman" w:cs="Times New Roman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Cs w:val="28"/>
            </w:rPr>
            <w:instrText xml:space="preserve"> HYPERLINK \l _Toc24679 </w:instrText>
          </w:r>
          <w:r>
            <w:rPr>
              <w:rFonts w:hint="default" w:ascii="Times New Roman" w:hAnsi="Times New Roman" w:cs="Times New Roman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bCs/>
              <w:szCs w:val="28"/>
              <w:lang w:val="ru-RU"/>
            </w:rPr>
            <w:t>4.2 Настройка параметров модели</w:t>
          </w:r>
          <w:r>
            <w:tab/>
          </w:r>
          <w:r>
            <w:fldChar w:fldCharType="begin"/>
          </w:r>
          <w:r>
            <w:instrText xml:space="preserve"> PAGEREF _Toc24679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default" w:ascii="Times New Roman" w:hAnsi="Times New Roman" w:cs="Times New Roman"/>
              <w:szCs w:val="28"/>
            </w:rPr>
            <w:fldChar w:fldCharType="end"/>
          </w:r>
        </w:p>
        <w:p w14:paraId="22015374">
          <w:pPr>
            <w:pStyle w:val="22"/>
            <w:tabs>
              <w:tab w:val="right" w:leader="dot" w:pos="10256"/>
            </w:tabs>
          </w:pPr>
          <w:r>
            <w:rPr>
              <w:rFonts w:hint="default" w:ascii="Times New Roman" w:hAnsi="Times New Roman" w:cs="Times New Roman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Cs w:val="28"/>
            </w:rPr>
            <w:instrText xml:space="preserve"> HYPERLINK \l _Toc25812 </w:instrText>
          </w:r>
          <w:r>
            <w:rPr>
              <w:rFonts w:hint="default" w:ascii="Times New Roman" w:hAnsi="Times New Roman" w:cs="Times New Roman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bCs/>
              <w:szCs w:val="28"/>
              <w:lang w:val="ru-RU"/>
            </w:rPr>
            <w:t>4.3 Выполнение прогноза</w:t>
          </w:r>
          <w:r>
            <w:tab/>
          </w:r>
          <w:r>
            <w:fldChar w:fldCharType="begin"/>
          </w:r>
          <w:r>
            <w:instrText xml:space="preserve"> PAGEREF _Toc25812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default" w:ascii="Times New Roman" w:hAnsi="Times New Roman" w:cs="Times New Roman"/>
              <w:szCs w:val="28"/>
            </w:rPr>
            <w:fldChar w:fldCharType="end"/>
          </w:r>
        </w:p>
        <w:p w14:paraId="19706B6B">
          <w:pPr>
            <w:pStyle w:val="22"/>
            <w:tabs>
              <w:tab w:val="right" w:leader="dot" w:pos="10256"/>
            </w:tabs>
          </w:pPr>
          <w:r>
            <w:rPr>
              <w:rFonts w:hint="default" w:ascii="Times New Roman" w:hAnsi="Times New Roman" w:cs="Times New Roman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Cs w:val="28"/>
            </w:rPr>
            <w:instrText xml:space="preserve"> HYPERLINK \l _Toc6866 </w:instrText>
          </w:r>
          <w:r>
            <w:rPr>
              <w:rFonts w:hint="default" w:ascii="Times New Roman" w:hAnsi="Times New Roman" w:cs="Times New Roman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bCs/>
              <w:szCs w:val="28"/>
              <w:lang w:val="ru-RU"/>
            </w:rPr>
            <w:t>4.4 Оценка точности и экспорт результатов</w:t>
          </w:r>
          <w:r>
            <w:tab/>
          </w:r>
          <w:r>
            <w:fldChar w:fldCharType="begin"/>
          </w:r>
          <w:r>
            <w:instrText xml:space="preserve"> PAGEREF _Toc6866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default" w:ascii="Times New Roman" w:hAnsi="Times New Roman" w:cs="Times New Roman"/>
              <w:szCs w:val="28"/>
            </w:rPr>
            <w:fldChar w:fldCharType="end"/>
          </w:r>
        </w:p>
        <w:p w14:paraId="132577AB">
          <w:pPr>
            <w:pStyle w:val="22"/>
            <w:tabs>
              <w:tab w:val="right" w:leader="dot" w:pos="10256"/>
            </w:tabs>
          </w:pPr>
          <w:r>
            <w:rPr>
              <w:rFonts w:hint="default" w:ascii="Times New Roman" w:hAnsi="Times New Roman" w:cs="Times New Roman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Cs w:val="28"/>
            </w:rPr>
            <w:instrText xml:space="preserve"> HYPERLINK \l _Toc10164 </w:instrText>
          </w:r>
          <w:r>
            <w:rPr>
              <w:rFonts w:hint="default" w:ascii="Times New Roman" w:hAnsi="Times New Roman" w:cs="Times New Roman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bCs/>
              <w:szCs w:val="28"/>
              <w:lang w:val="ru-RU"/>
            </w:rPr>
            <w:t>4.5 Подготовка релизных сборок для запуска</w:t>
          </w:r>
          <w:r>
            <w:tab/>
          </w:r>
          <w:r>
            <w:fldChar w:fldCharType="begin"/>
          </w:r>
          <w:r>
            <w:instrText xml:space="preserve"> PAGEREF _Toc10164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hint="default" w:ascii="Times New Roman" w:hAnsi="Times New Roman" w:cs="Times New Roman"/>
              <w:szCs w:val="28"/>
            </w:rPr>
            <w:fldChar w:fldCharType="end"/>
          </w:r>
        </w:p>
        <w:p w14:paraId="19B2B73E">
          <w:pPr>
            <w:pStyle w:val="22"/>
            <w:tabs>
              <w:tab w:val="right" w:leader="dot" w:pos="10256"/>
            </w:tabs>
          </w:pPr>
          <w:r>
            <w:rPr>
              <w:rFonts w:hint="default" w:ascii="Times New Roman" w:hAnsi="Times New Roman" w:cs="Times New Roman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Cs w:val="28"/>
            </w:rPr>
            <w:instrText xml:space="preserve"> HYPERLINK \l _Toc19048 </w:instrText>
          </w:r>
          <w:r>
            <w:rPr>
              <w:rFonts w:hint="default" w:ascii="Times New Roman" w:hAnsi="Times New Roman" w:cs="Times New Roman"/>
              <w:szCs w:val="28"/>
            </w:rPr>
            <w:fldChar w:fldCharType="separate"/>
          </w:r>
          <w:r>
            <w:rPr>
              <w:rFonts w:hint="default" w:cs="Times New Roman" w:eastAsiaTheme="majorEastAsia"/>
              <w:bCs/>
              <w:szCs w:val="28"/>
              <w:lang w:val="ru-RU" w:eastAsia="en-US" w:bidi="ar-SA"/>
            </w:rPr>
            <w:t>5</w:t>
          </w:r>
          <w:r>
            <w:rPr>
              <w:rFonts w:hint="default" w:ascii="Times New Roman" w:hAnsi="Times New Roman" w:cs="Times New Roman" w:eastAsiaTheme="majorEastAsia"/>
              <w:bCs/>
              <w:szCs w:val="28"/>
              <w:lang w:val="ru-RU" w:eastAsia="en-US" w:bidi="ar-SA"/>
            </w:rPr>
            <w:t xml:space="preserve">  ПРОГНОЗИРОВАНИЕ 5 ВРЕМЕННЫХ РЯДОВ</w:t>
          </w:r>
          <w:r>
            <w:tab/>
          </w:r>
          <w:r>
            <w:fldChar w:fldCharType="begin"/>
          </w:r>
          <w:r>
            <w:instrText xml:space="preserve"> PAGEREF _Toc19048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rFonts w:hint="default" w:ascii="Times New Roman" w:hAnsi="Times New Roman" w:cs="Times New Roman"/>
              <w:szCs w:val="28"/>
            </w:rPr>
            <w:fldChar w:fldCharType="end"/>
          </w:r>
        </w:p>
        <w:p w14:paraId="1EF73E3D">
          <w:pPr>
            <w:pStyle w:val="22"/>
            <w:tabs>
              <w:tab w:val="right" w:leader="dot" w:pos="10256"/>
            </w:tabs>
          </w:pPr>
          <w:r>
            <w:rPr>
              <w:rFonts w:hint="default" w:ascii="Times New Roman" w:hAnsi="Times New Roman" w:cs="Times New Roman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Cs w:val="28"/>
            </w:rPr>
            <w:instrText xml:space="preserve"> HYPERLINK \l _Toc17520 </w:instrText>
          </w:r>
          <w:r>
            <w:rPr>
              <w:rFonts w:hint="default" w:ascii="Times New Roman" w:hAnsi="Times New Roman" w:cs="Times New Roman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bCs/>
              <w:szCs w:val="28"/>
              <w:lang w:val="ru-RU"/>
            </w:rPr>
            <w:t>5.1 Подготовка исходных данных</w:t>
          </w:r>
          <w:r>
            <w:tab/>
          </w:r>
          <w:r>
            <w:fldChar w:fldCharType="begin"/>
          </w:r>
          <w:r>
            <w:instrText xml:space="preserve"> PAGEREF _Toc17520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rFonts w:hint="default" w:ascii="Times New Roman" w:hAnsi="Times New Roman" w:cs="Times New Roman"/>
              <w:szCs w:val="28"/>
            </w:rPr>
            <w:fldChar w:fldCharType="end"/>
          </w:r>
        </w:p>
        <w:p w14:paraId="2018792B">
          <w:pPr>
            <w:pStyle w:val="22"/>
            <w:tabs>
              <w:tab w:val="right" w:leader="dot" w:pos="10256"/>
            </w:tabs>
          </w:pPr>
          <w:r>
            <w:rPr>
              <w:rFonts w:hint="default" w:ascii="Times New Roman" w:hAnsi="Times New Roman" w:cs="Times New Roman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Cs w:val="28"/>
            </w:rPr>
            <w:instrText xml:space="preserve"> HYPERLINK \l _Toc13664 </w:instrText>
          </w:r>
          <w:r>
            <w:rPr>
              <w:rFonts w:hint="default" w:ascii="Times New Roman" w:hAnsi="Times New Roman" w:cs="Times New Roman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bCs/>
              <w:szCs w:val="28"/>
              <w:lang w:val="ru-RU"/>
            </w:rPr>
            <w:t>5.2 Проведение прогнозирования</w:t>
          </w:r>
          <w:r>
            <w:tab/>
          </w:r>
          <w:r>
            <w:fldChar w:fldCharType="begin"/>
          </w:r>
          <w:r>
            <w:instrText xml:space="preserve"> PAGEREF _Toc13664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rFonts w:hint="default" w:ascii="Times New Roman" w:hAnsi="Times New Roman" w:cs="Times New Roman"/>
              <w:szCs w:val="28"/>
            </w:rPr>
            <w:fldChar w:fldCharType="end"/>
          </w:r>
        </w:p>
        <w:p w14:paraId="5C0DEF2E">
          <w:pPr>
            <w:pStyle w:val="22"/>
            <w:tabs>
              <w:tab w:val="right" w:leader="dot" w:pos="10256"/>
            </w:tabs>
          </w:pPr>
          <w:r>
            <w:rPr>
              <w:rFonts w:hint="default" w:ascii="Times New Roman" w:hAnsi="Times New Roman" w:cs="Times New Roman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Cs w:val="28"/>
            </w:rPr>
            <w:instrText xml:space="preserve"> HYPERLINK \l _Toc29991 </w:instrText>
          </w:r>
          <w:r>
            <w:rPr>
              <w:rFonts w:hint="default" w:ascii="Times New Roman" w:hAnsi="Times New Roman" w:cs="Times New Roman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bCs/>
              <w:szCs w:val="28"/>
              <w:lang w:val="ru-RU"/>
            </w:rPr>
            <w:t>5.3 Формирование сравнительной таблицы</w:t>
          </w:r>
          <w:r>
            <w:tab/>
          </w:r>
          <w:r>
            <w:fldChar w:fldCharType="begin"/>
          </w:r>
          <w:r>
            <w:instrText xml:space="preserve"> PAGEREF _Toc29991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rFonts w:hint="default" w:ascii="Times New Roman" w:hAnsi="Times New Roman" w:cs="Times New Roman"/>
              <w:szCs w:val="28"/>
            </w:rPr>
            <w:fldChar w:fldCharType="end"/>
          </w:r>
        </w:p>
        <w:p w14:paraId="163A8CB0">
          <w:pPr>
            <w:pStyle w:val="22"/>
            <w:tabs>
              <w:tab w:val="right" w:leader="dot" w:pos="10256"/>
            </w:tabs>
          </w:pPr>
          <w:r>
            <w:rPr>
              <w:rFonts w:hint="default" w:ascii="Times New Roman" w:hAnsi="Times New Roman" w:cs="Times New Roman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Cs w:val="28"/>
            </w:rPr>
            <w:instrText xml:space="preserve"> HYPERLINK \l _Toc12029 </w:instrText>
          </w:r>
          <w:r>
            <w:rPr>
              <w:rFonts w:hint="default" w:ascii="Times New Roman" w:hAnsi="Times New Roman" w:cs="Times New Roman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bCs/>
              <w:szCs w:val="28"/>
              <w:lang w:val="ru-RU"/>
            </w:rPr>
            <w:t>5.4 Анализ полученных результатов</w:t>
          </w:r>
          <w:r>
            <w:tab/>
          </w:r>
          <w:r>
            <w:fldChar w:fldCharType="begin"/>
          </w:r>
          <w:r>
            <w:instrText xml:space="preserve"> PAGEREF _Toc12029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rPr>
              <w:rFonts w:hint="default" w:ascii="Times New Roman" w:hAnsi="Times New Roman" w:cs="Times New Roman"/>
              <w:szCs w:val="28"/>
            </w:rPr>
            <w:fldChar w:fldCharType="end"/>
          </w:r>
        </w:p>
        <w:p w14:paraId="245D24DC">
          <w:pPr>
            <w:pStyle w:val="22"/>
            <w:tabs>
              <w:tab w:val="right" w:leader="dot" w:pos="10256"/>
            </w:tabs>
          </w:pPr>
          <w:r>
            <w:rPr>
              <w:rFonts w:hint="default" w:ascii="Times New Roman" w:hAnsi="Times New Roman" w:cs="Times New Roman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Cs w:val="28"/>
            </w:rPr>
            <w:instrText xml:space="preserve"> HYPERLINK \l _Toc17196 </w:instrText>
          </w:r>
          <w:r>
            <w:rPr>
              <w:rFonts w:hint="default" w:ascii="Times New Roman" w:hAnsi="Times New Roman" w:cs="Times New Roman"/>
              <w:szCs w:val="28"/>
            </w:rPr>
            <w:fldChar w:fldCharType="separate"/>
          </w:r>
          <w:r>
            <w:rPr>
              <w:rFonts w:hint="default" w:ascii="Times New Roman" w:hAnsi="Times New Roman" w:cs="Times New Roman" w:eastAsiaTheme="majorEastAsia"/>
              <w:bCs/>
              <w:szCs w:val="28"/>
              <w:lang w:val="ru-RU" w:eastAsia="en-US" w:bidi="ar-SA"/>
            </w:rPr>
            <w:t>ЗАКЛЮЧЕНИЕ</w:t>
          </w:r>
          <w:r>
            <w:tab/>
          </w:r>
          <w:r>
            <w:fldChar w:fldCharType="begin"/>
          </w:r>
          <w:r>
            <w:instrText xml:space="preserve"> PAGEREF _Toc17196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rPr>
              <w:rFonts w:hint="default" w:ascii="Times New Roman" w:hAnsi="Times New Roman" w:cs="Times New Roman"/>
              <w:szCs w:val="28"/>
            </w:rPr>
            <w:fldChar w:fldCharType="end"/>
          </w:r>
        </w:p>
        <w:p w14:paraId="116FBF86">
          <w:pPr>
            <w:pStyle w:val="22"/>
            <w:tabs>
              <w:tab w:val="right" w:leader="dot" w:pos="10256"/>
            </w:tabs>
          </w:pPr>
          <w:r>
            <w:rPr>
              <w:rFonts w:hint="default" w:ascii="Times New Roman" w:hAnsi="Times New Roman" w:cs="Times New Roman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Cs w:val="28"/>
            </w:rPr>
            <w:instrText xml:space="preserve"> HYPERLINK \l _Toc31221 </w:instrText>
          </w:r>
          <w:r>
            <w:rPr>
              <w:rFonts w:hint="default" w:ascii="Times New Roman" w:hAnsi="Times New Roman" w:cs="Times New Roman"/>
              <w:szCs w:val="28"/>
            </w:rPr>
            <w:fldChar w:fldCharType="separate"/>
          </w:r>
          <w:r>
            <w:rPr>
              <w:rFonts w:hint="default" w:ascii="Times New Roman" w:hAnsi="Times New Roman" w:eastAsia="Times New Roman" w:cs="Times New Roman"/>
              <w:bCs/>
              <w:szCs w:val="28"/>
              <w:lang w:val="en-US" w:eastAsia="en-US" w:bidi="ar-SA"/>
            </w:rPr>
            <w:t>СПИСОК ИСПОЛЬЗОВАННЫХ ИСТОЧНИКОВ</w:t>
          </w:r>
          <w:r>
            <w:tab/>
          </w:r>
          <w:r>
            <w:fldChar w:fldCharType="begin"/>
          </w:r>
          <w:r>
            <w:instrText xml:space="preserve"> PAGEREF _Toc31221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rPr>
              <w:rFonts w:hint="default" w:ascii="Times New Roman" w:hAnsi="Times New Roman" w:cs="Times New Roman"/>
              <w:szCs w:val="28"/>
            </w:rPr>
            <w:fldChar w:fldCharType="end"/>
          </w:r>
        </w:p>
        <w:p w14:paraId="0B75D80B">
          <w:pPr>
            <w:pStyle w:val="22"/>
            <w:tabs>
              <w:tab w:val="right" w:leader="dot" w:pos="10256"/>
            </w:tabs>
          </w:pPr>
          <w:r>
            <w:rPr>
              <w:rFonts w:hint="default" w:ascii="Times New Roman" w:hAnsi="Times New Roman" w:cs="Times New Roman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Cs w:val="28"/>
            </w:rPr>
            <w:instrText xml:space="preserve"> HYPERLINK \l _Toc4682 </w:instrText>
          </w:r>
          <w:r>
            <w:rPr>
              <w:rFonts w:hint="default" w:ascii="Times New Roman" w:hAnsi="Times New Roman" w:cs="Times New Roman"/>
              <w:szCs w:val="28"/>
            </w:rPr>
            <w:fldChar w:fldCharType="separate"/>
          </w:r>
          <w:r>
            <w:rPr>
              <w:rFonts w:hint="default" w:cs="Times New Roman"/>
              <w:bCs/>
              <w:szCs w:val="28"/>
              <w:lang w:val="ru-RU"/>
            </w:rPr>
            <w:t>Приложение А</w:t>
          </w:r>
          <w:r>
            <w:tab/>
          </w:r>
          <w:r>
            <w:fldChar w:fldCharType="begin"/>
          </w:r>
          <w:r>
            <w:instrText xml:space="preserve"> PAGEREF _Toc4682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rPr>
              <w:rFonts w:hint="default" w:ascii="Times New Roman" w:hAnsi="Times New Roman" w:cs="Times New Roman"/>
              <w:szCs w:val="28"/>
            </w:rPr>
            <w:fldChar w:fldCharType="end"/>
          </w:r>
        </w:p>
        <w:p w14:paraId="2CD9C190">
          <w:r>
            <w:rPr>
              <w:rFonts w:hint="default" w:ascii="Times New Roman" w:hAnsi="Times New Roman" w:cs="Times New Roman"/>
              <w:szCs w:val="28"/>
            </w:rPr>
            <w:fldChar w:fldCharType="end"/>
          </w:r>
        </w:p>
      </w:sdtContent>
    </w:sdt>
    <w:p w14:paraId="43426A4A"/>
    <w:p w14:paraId="2C5BEF23">
      <w:pP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page"/>
      </w:r>
    </w:p>
    <w:p w14:paraId="3EE25EB4">
      <w:pPr>
        <w:ind w:firstLine="709" w:firstLineChars="0"/>
        <w:jc w:val="center"/>
        <w:outlineLvl w:val="0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0" w:name="_Toc13814"/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ВВЕДЕНИЕ</w:t>
      </w:r>
      <w:bookmarkEnd w:id="0"/>
    </w:p>
    <w:p w14:paraId="1808A95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675E267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Финансовые рынки представляют собой сложные динамические системы, поведение которых изменяется во времени под воздействием множества факторов. Котировки акций характеризуются нелинейностью, высокой волатильностью и наличием случайной составляющей, что усложняет задачу их прогнозирования. В связи с этим актуальным является поиск и исследование альтернативных методов анализа временных рядов, способных учитывать вероятностный характер рыночной динамики.</w:t>
      </w:r>
    </w:p>
    <w:p w14:paraId="72D953E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Одним из таких подходов является использование клеточных автоматов </w:t>
      </w:r>
      <w:r>
        <w:rPr>
          <w:rFonts w:hint="default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-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дискретных динамических систем, в которых эволюция состояния определяется локальными правилами перехода. Применение трёхсостояний модели (рост, падение, нейтральное состояние) позволяет преобразовать непрерывный временной ряд цен в дискретную последовательность состояний и построить вероятностный механизм прогнозирования.</w:t>
      </w:r>
    </w:p>
    <w:p w14:paraId="048DB90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Целью данной курсовой работы является разработка и программная реализация трёхцветной стохастической клеточно-автоматной модели для прогнозирования финансовых временных рядов.</w:t>
      </w:r>
    </w:p>
    <w:p w14:paraId="4EDDE84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Для достижения поставленной цели были решены следующие задачи: изучены теоретические основы анализа временных рядов и клеточных автоматов, реализован алгоритм модели с памятью, проведено прогнозирование на основе данных Московской биржи и выполнен сравнительный анализ результатов для пяти акций российских компаний.</w:t>
      </w:r>
    </w:p>
    <w:p w14:paraId="035B39F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Объектом исследования являются временные ряды котировок акций, предметом </w:t>
      </w:r>
      <w:r>
        <w:rPr>
          <w:rFonts w:hint="default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-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клеточно-автоматная модель их прогнозирования.</w:t>
      </w:r>
    </w:p>
    <w:p w14:paraId="144836B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page"/>
      </w:r>
    </w:p>
    <w:p w14:paraId="1BA8BC8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/>
        <w:jc w:val="center"/>
        <w:textAlignment w:val="auto"/>
        <w:outlineLvl w:val="0"/>
        <w:rPr>
          <w:rFonts w:hint="default" w:ascii="Times New Roman" w:hAnsi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pPr>
      <w:bookmarkStart w:id="1" w:name="_Toc15574"/>
      <w:r>
        <w:rPr>
          <w:rFonts w:hint="default" w:ascii="Times New Roman" w:hAnsi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  <w:t>1 ТЕОРЕТИЧЕСКИЕ ОСНОВЫ АНАЛИЗА ВРЕМЕННЫХ РЯДОВ</w:t>
      </w:r>
      <w:bookmarkEnd w:id="1"/>
    </w:p>
    <w:p w14:paraId="351C2B2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/>
        <w:jc w:val="center"/>
        <w:textAlignment w:val="auto"/>
        <w:rPr>
          <w:rFonts w:hint="default" w:ascii="Times New Roman" w:hAnsi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pPr>
    </w:p>
    <w:p w14:paraId="6704490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  <w:t xml:space="preserve">В рамках дисциплины </w:t>
      </w:r>
      <w:r>
        <w:rPr>
          <w:rFonts w:hint="default" w:ascii="Times New Roman" w:hAnsi="Times New Roman" w:cs="Times New Roman"/>
          <w:b w:val="0"/>
          <w:color w:val="000000" w:themeColor="text1"/>
          <w:sz w:val="28"/>
          <w:lang w:val="en-US"/>
          <w14:textFill>
            <w14:solidFill>
              <w14:schemeClr w14:val="tx1"/>
            </w14:solidFill>
          </w14:textFill>
        </w:rPr>
        <w:t>“</w:t>
      </w:r>
      <w:r>
        <w:rPr>
          <w:rFonts w:hint="default"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  <w:t>Нелинейная динамика экономических процессов</w:t>
      </w:r>
      <w:r>
        <w:rPr>
          <w:rFonts w:hint="default" w:ascii="Times New Roman" w:hAnsi="Times New Roman" w:cs="Times New Roman"/>
          <w:b w:val="0"/>
          <w:color w:val="000000" w:themeColor="text1"/>
          <w:sz w:val="28"/>
          <w:lang w:val="en-US"/>
          <w14:textFill>
            <w14:solidFill>
              <w14:schemeClr w14:val="tx1"/>
            </w14:solidFill>
          </w14:textFill>
        </w:rPr>
        <w:t xml:space="preserve">” </w:t>
      </w:r>
      <w:r>
        <w:rPr>
          <w:rFonts w:hint="default"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  <w:t xml:space="preserve">объектом исследования выступают временные ряды котировок акций. </w:t>
      </w:r>
      <w:r>
        <w:rPr>
          <w:rFonts w:hint="default"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b w:val="0"/>
          <w:color w:val="000000" w:themeColor="text1"/>
          <w:sz w:val="28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  <w:t>Временной ряд представляет собой последовательность значений показателя, упорядоченных по времени и полученных через равные промежутки времени.</w:t>
      </w:r>
    </w:p>
    <w:p w14:paraId="2D960D8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Финансовые временные ряды представляют собой нелинейные, нестационарные динамические системы, обладающие шумовой компонентой и эффектом кластеризации волатильности.</w:t>
      </w:r>
    </w:p>
    <w:p w14:paraId="55A4946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  <w:t>Формально временной ряд может быть представлен как xt = f(xt</w:t>
      </w:r>
      <w:r>
        <w:rPr>
          <w:rFonts w:hint="default" w:cs="Times New Roman"/>
          <w:b w:val="0"/>
          <w:color w:val="000000" w:themeColor="text1"/>
          <w:sz w:val="28"/>
          <w:lang w:val="ru-RU"/>
          <w14:textFill>
            <w14:solidFill>
              <w14:schemeClr w14:val="tx1"/>
            </w14:solidFill>
          </w14:textFill>
        </w:rPr>
        <w:t>-</w:t>
      </w:r>
      <w:r>
        <w:rPr>
          <w:rFonts w:hint="default"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  <w:t>1, …, xt</w:t>
      </w:r>
      <w:r>
        <w:rPr>
          <w:rFonts w:hint="default" w:cs="Times New Roman"/>
          <w:b w:val="0"/>
          <w:color w:val="000000" w:themeColor="text1"/>
          <w:sz w:val="28"/>
          <w:lang w:val="ru-RU"/>
          <w14:textFill>
            <w14:solidFill>
              <w14:schemeClr w14:val="tx1"/>
            </w14:solidFill>
          </w14:textFill>
        </w:rPr>
        <w:t>-</w:t>
      </w:r>
      <w:r>
        <w:rPr>
          <w:rFonts w:hint="default"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  <w:t xml:space="preserve">m) + εt, где f </w:t>
      </w:r>
      <w:r>
        <w:rPr>
          <w:rFonts w:hint="default" w:cs="Times New Roman"/>
          <w:b w:val="0"/>
          <w:color w:val="000000" w:themeColor="text1"/>
          <w:sz w:val="28"/>
          <w:lang w:val="ru-RU"/>
          <w14:textFill>
            <w14:solidFill>
              <w14:schemeClr w14:val="tx1"/>
            </w14:solidFill>
          </w14:textFill>
        </w:rPr>
        <w:t>-</w:t>
      </w:r>
      <w:r>
        <w:rPr>
          <w:rFonts w:hint="default"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  <w:t xml:space="preserve"> нелинейная функция, m </w:t>
      </w:r>
      <w:r>
        <w:rPr>
          <w:rFonts w:hint="default" w:cs="Times New Roman"/>
          <w:b w:val="0"/>
          <w:color w:val="000000" w:themeColor="text1"/>
          <w:sz w:val="28"/>
          <w:lang w:val="ru-RU"/>
          <w14:textFill>
            <w14:solidFill>
              <w14:schemeClr w14:val="tx1"/>
            </w14:solidFill>
          </w14:textFill>
        </w:rPr>
        <w:t>-</w:t>
      </w:r>
      <w:r>
        <w:rPr>
          <w:rFonts w:hint="default"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  <w:t xml:space="preserve"> глубина памяти, εt </w:t>
      </w:r>
      <w:r>
        <w:rPr>
          <w:rFonts w:hint="default" w:cs="Times New Roman"/>
          <w:b w:val="0"/>
          <w:color w:val="000000" w:themeColor="text1"/>
          <w:sz w:val="28"/>
          <w:lang w:val="ru-RU"/>
          <w14:textFill>
            <w14:solidFill>
              <w14:schemeClr w14:val="tx1"/>
            </w14:solidFill>
          </w14:textFill>
        </w:rPr>
        <w:t>-</w:t>
      </w:r>
      <w:r>
        <w:rPr>
          <w:rFonts w:hint="default"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  <w:t xml:space="preserve"> случайная ошибка.</w:t>
      </w:r>
    </w:p>
    <w:p w14:paraId="5F3294F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  <w:br w:type="textWrapping"/>
      </w:r>
    </w:p>
    <w:p w14:paraId="05DCEC4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709" w:firstLineChars="0"/>
        <w:jc w:val="both"/>
        <w:textAlignment w:val="auto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br w:type="page"/>
      </w:r>
    </w:p>
    <w:p w14:paraId="2D75C7D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/>
        <w:jc w:val="center"/>
        <w:textAlignment w:val="auto"/>
        <w:outlineLvl w:val="0"/>
        <w:rPr>
          <w:rFonts w:hint="default" w:ascii="Times New Roman" w:hAnsi="Times New Roman" w:cs="Times New Roman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2" w:name="_Toc2560"/>
      <w:r>
        <w:rPr>
          <w:rFonts w:hint="default" w:ascii="Times New Roman" w:hAnsi="Times New Roman" w:cs="Times New Roman"/>
          <w:b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2</w:t>
      </w:r>
      <w:r>
        <w:rPr>
          <w:rFonts w:hint="default" w:ascii="Times New Roman" w:hAnsi="Times New Roman" w:cs="Times New Roman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ТЕОРЕТИЧЕСКИЕ ОСНОВЫ КЛЕТОЧНЫХ АВТОМАТОВ</w:t>
      </w:r>
      <w:bookmarkEnd w:id="2"/>
    </w:p>
    <w:p w14:paraId="500150D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/>
        <w:jc w:val="center"/>
        <w:textAlignment w:val="auto"/>
        <w:rPr>
          <w:rFonts w:hint="default" w:ascii="Times New Roman" w:hAnsi="Times New Roman" w:cs="Times New Roman"/>
          <w:b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</w:p>
    <w:p w14:paraId="39A1833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Клеточный автомат</w:t>
      </w:r>
      <w:r>
        <w:rPr>
          <w:rFonts w:hint="default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-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дискретная динамическая система, определяемая четверкой CA = (L, S, N, F), где L </w:t>
      </w:r>
      <w:r>
        <w:rPr>
          <w:rFonts w:hint="default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-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множество клеток, S </w:t>
      </w:r>
      <w:r>
        <w:rPr>
          <w:rFonts w:hint="default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-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конечное множество состояний, N </w:t>
      </w:r>
      <w:r>
        <w:rPr>
          <w:rFonts w:hint="default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-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окрестность, F </w:t>
      </w:r>
      <w:r>
        <w:rPr>
          <w:rFonts w:hint="default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-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функция перехода.</w:t>
      </w:r>
    </w:p>
    <w:p w14:paraId="7DD84DB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eastAsia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Эволюция описывается соотношением: </w:t>
      </w:r>
    </w:p>
    <w:p w14:paraId="29E098B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eastAsia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7BB2BD2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vertAlign w:val="subscript"/>
          <w14:textFill>
            <w14:solidFill>
              <w14:schemeClr w14:val="tx1"/>
            </w14:solidFill>
          </w14:textFill>
        </w:rPr>
        <w:t>i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vertAlign w:val="superscript"/>
          <w14:textFill>
            <w14:solidFill>
              <w14:schemeClr w14:val="tx1"/>
            </w14:solidFill>
          </w14:textFill>
        </w:rPr>
        <w:t>t+1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= F(s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vertAlign w:val="subscript"/>
          <w14:textFill>
            <w14:solidFill>
              <w14:schemeClr w14:val="tx1"/>
            </w14:solidFill>
          </w14:textFill>
        </w:rPr>
        <w:t>j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vertAlign w:val="superscript"/>
          <w14:textFill>
            <w14:solidFill>
              <w14:schemeClr w14:val="tx1"/>
            </w14:solidFill>
          </w14:textFill>
        </w:rPr>
        <w:t>t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 j ∈ N(i))</w:t>
      </w:r>
    </w:p>
    <w:p w14:paraId="50712A3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0044846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709" w:firstLineChars="0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Клеточные автоматы классифицируются по размерности (1D, 2D), по числу состояний (двух-, трёх-, многосостояние) и по типу правила (детерминированные, стохастические, с памятью).</w:t>
      </w:r>
    </w:p>
    <w:p w14:paraId="0CBF101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709" w:firstLineChars="0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В классическом одномерном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клеточном автомате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правило фиксировано: </w:t>
      </w:r>
    </w:p>
    <w:p w14:paraId="090369D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709" w:firstLineChars="0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152907F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709" w:firstLineChars="0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vertAlign w:val="subscript"/>
          <w14:textFill>
            <w14:solidFill>
              <w14:schemeClr w14:val="tx1"/>
            </w14:solidFill>
          </w14:textFill>
        </w:rPr>
        <w:t>i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vertAlign w:val="superscript"/>
          <w14:textFill>
            <w14:solidFill>
              <w14:schemeClr w14:val="tx1"/>
            </w14:solidFill>
          </w14:textFill>
        </w:rPr>
        <w:t>t+1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= F(s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vertAlign w:val="subscript"/>
          <w14:textFill>
            <w14:solidFill>
              <w14:schemeClr w14:val="tx1"/>
            </w14:solidFill>
          </w14:textFill>
        </w:rPr>
        <w:t>i</w:t>
      </w:r>
      <w:r>
        <w:rPr>
          <w:rFonts w:hint="default" w:cs="Times New Roman"/>
          <w:color w:val="000000" w:themeColor="text1"/>
          <w:sz w:val="28"/>
          <w:szCs w:val="28"/>
          <w:vertAlign w:val="subscript"/>
          <w:lang w:val="ru-RU"/>
          <w14:textFill>
            <w14:solidFill>
              <w14:schemeClr w14:val="tx1"/>
            </w14:solidFill>
          </w14:textFill>
        </w:rPr>
        <w:t>-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vertAlign w:val="superscript"/>
          <w14:textFill>
            <w14:solidFill>
              <w14:schemeClr w14:val="tx1"/>
            </w14:solidFill>
          </w14:textFill>
        </w:rPr>
        <w:t>t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 s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vertAlign w:val="subscript"/>
          <w14:textFill>
            <w14:solidFill>
              <w14:schemeClr w14:val="tx1"/>
            </w14:solidFill>
          </w14:textFill>
        </w:rPr>
        <w:t>i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vertAlign w:val="superscript"/>
          <w14:textFill>
            <w14:solidFill>
              <w14:schemeClr w14:val="tx1"/>
            </w14:solidFill>
          </w14:textFill>
        </w:rPr>
        <w:t>t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 s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vertAlign w:val="subscript"/>
          <w14:textFill>
            <w14:solidFill>
              <w14:schemeClr w14:val="tx1"/>
            </w14:solidFill>
          </w14:textFill>
        </w:rPr>
        <w:t>i+1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vertAlign w:val="superscript"/>
          <w14:textFill>
            <w14:solidFill>
              <w14:schemeClr w14:val="tx1"/>
            </w14:solidFill>
          </w14:textFill>
        </w:rPr>
        <w:t>t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)</w:t>
      </w:r>
    </w:p>
    <w:p w14:paraId="6C4A8B7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709" w:firstLineChars="0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4A0820A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709" w:firstLineChars="0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В данной работе используется трёхсостояние автомат с множеством состояний S = {</w:t>
      </w:r>
      <w:r>
        <w:rPr>
          <w:rFonts w:hint="default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-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1, 0, 1}, интерпретируемых как рост, стабильность и падение.</w:t>
      </w:r>
    </w:p>
    <w:p w14:paraId="7E00511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Переход определяется временной функцией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:</w:t>
      </w:r>
    </w:p>
    <w:p w14:paraId="39B2044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</w:p>
    <w:p w14:paraId="0BB118A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s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vertAlign w:val="subscript"/>
          <w:lang w:val="en-US"/>
          <w14:textFill>
            <w14:solidFill>
              <w14:schemeClr w14:val="tx1"/>
            </w14:solidFill>
          </w14:textFill>
        </w:rPr>
        <w:t>t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= F(s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vertAlign w:val="subscript"/>
          <w:lang w:val="en-US"/>
          <w14:textFill>
            <w14:solidFill>
              <w14:schemeClr w14:val="tx1"/>
            </w14:solidFill>
          </w14:textFill>
        </w:rPr>
        <w:t>t-1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 …, s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vertAlign w:val="subscript"/>
          <w:lang w:val="en-US"/>
          <w14:textFill>
            <w14:solidFill>
              <w14:schemeClr w14:val="tx1"/>
            </w14:solidFill>
          </w14:textFill>
        </w:rPr>
        <w:t>t-m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}).</w:t>
      </w:r>
    </w:p>
    <w:p w14:paraId="1D55085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page"/>
      </w:r>
    </w:p>
    <w:p w14:paraId="3360426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/>
        <w:jc w:val="center"/>
        <w:textAlignment w:val="auto"/>
        <w:outlineLvl w:val="0"/>
        <w:rPr>
          <w:rFonts w:hint="default" w:ascii="Times New Roman" w:hAnsi="Times New Roman" w:cs="Times New Roman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3" w:name="_Toc28886"/>
      <w:r>
        <w:rPr>
          <w:rFonts w:hint="default" w:ascii="Times New Roman" w:hAnsi="Times New Roman" w:cs="Times New Roman"/>
          <w:b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3</w:t>
      </w:r>
      <w:r>
        <w:rPr>
          <w:rFonts w:hint="default" w:ascii="Times New Roman" w:hAnsi="Times New Roman" w:cs="Times New Roman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СТОХАСТИЧЕСКИЙ ТРЁХСОСТОЯНИЕ КЛЕТОЧНЫЙ АВТОМАТ С ПАМЯТЬЮ m</w:t>
      </w:r>
      <w:bookmarkEnd w:id="3"/>
    </w:p>
    <w:p w14:paraId="6BC279F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/>
        <w:jc w:val="left"/>
        <w:textAlignment w:val="auto"/>
        <w:outlineLvl w:val="0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4" w:name="_Toc13895"/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3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.1 Обоснование выбора</w:t>
      </w:r>
      <w:bookmarkEnd w:id="4"/>
    </w:p>
    <w:p w14:paraId="59F2B5F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В предыдущих разделах было показано, что финансовые временные ряды характеризуются высокой степенью неопределённости и наличием случайной составляющей. Поведение рынка нельзя считать полностью детерминированным, поскольку на динамику цен влияет большое количество факторов: экономические новости, макроэкономические показатели, поведение инвесторов и спекулятивная активность.</w:t>
      </w:r>
    </w:p>
    <w:p w14:paraId="05BA4F5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Поэтому использование полностью детерминированного клеточного автомата может быть недостаточно гибким. В связи с этим в работе применяется стохастическая модификация клеточного автомата, в которой правило перехода между состояниями формируется на основе вероятностей.</w:t>
      </w:r>
    </w:p>
    <w:p w14:paraId="2531EB5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Иными словами, модель не жёстко задаёт следующее состояние, а выбирает его на основе статистики наблюдений в исторических данных.</w:t>
      </w:r>
    </w:p>
    <w:p w14:paraId="7D0767D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0D8DFE6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/>
        <w:jc w:val="left"/>
        <w:textAlignment w:val="auto"/>
        <w:outlineLvl w:val="0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bookmarkStart w:id="5" w:name="_Toc2380"/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3.2 Дискретизация доходностей</w:t>
      </w:r>
      <w:bookmarkEnd w:id="5"/>
    </w:p>
    <w:p w14:paraId="08281A8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На первом этапе выполняется преобразование исходного временного ряда цен в ряд доходностей.</w:t>
      </w:r>
    </w:p>
    <w:p w14:paraId="66F1E24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Доходность рассчитывается по формуле:</w:t>
      </w:r>
    </w:p>
    <w:p w14:paraId="075256E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54FC8A7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:vertAlign w:val="baseli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r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vertAlign w:val="subscript"/>
          <w14:textFill>
            <w14:solidFill>
              <w14:schemeClr w14:val="tx1"/>
            </w14:solidFill>
          </w14:textFill>
        </w:rPr>
        <w:t>t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= </w:t>
      </w:r>
      <w:r>
        <w:rPr>
          <w:rFonts w:hint="default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ln(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x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vertAlign w:val="subscript"/>
          <w14:textFill>
            <w14:solidFill>
              <w14:schemeClr w14:val="tx1"/>
            </w14:solidFill>
          </w14:textFill>
        </w:rPr>
        <w:t>t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/ x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vertAlign w:val="subscript"/>
          <w14:textFill>
            <w14:solidFill>
              <w14:schemeClr w14:val="tx1"/>
            </w14:solidFill>
          </w14:textFill>
        </w:rPr>
        <w:t>t</w:t>
      </w:r>
      <w:r>
        <w:rPr>
          <w:rFonts w:hint="default" w:cs="Times New Roman"/>
          <w:color w:val="000000" w:themeColor="text1"/>
          <w:sz w:val="28"/>
          <w:szCs w:val="28"/>
          <w:vertAlign w:val="subscript"/>
          <w:lang w:val="ru-RU"/>
          <w14:textFill>
            <w14:solidFill>
              <w14:schemeClr w14:val="tx1"/>
            </w14:solidFill>
          </w14:textFill>
        </w:rPr>
        <w:t>-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default" w:cs="Times New Roman"/>
          <w:color w:val="000000" w:themeColor="text1"/>
          <w:sz w:val="28"/>
          <w:szCs w:val="28"/>
          <w:vertAlign w:val="baseline"/>
          <w:lang w:val="en-US"/>
          <w14:textFill>
            <w14:solidFill>
              <w14:schemeClr w14:val="tx1"/>
            </w14:solidFill>
          </w14:textFill>
        </w:rPr>
        <w:t>)</w:t>
      </w:r>
    </w:p>
    <w:p w14:paraId="4F25C18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:vertAlign w:val="subscript"/>
          <w:lang w:val="ru-RU"/>
          <w14:textFill>
            <w14:solidFill>
              <w14:schemeClr w14:val="tx1"/>
            </w14:solidFill>
          </w14:textFill>
        </w:rPr>
      </w:pPr>
    </w:p>
    <w:p w14:paraId="56943C8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vertAlign w:val="baseline"/>
          <w:lang w:val="en-US"/>
          <w14:textFill>
            <w14:solidFill>
              <w14:schemeClr w14:val="tx1"/>
            </w14:solidFill>
          </w14:textFill>
        </w:rPr>
        <w:t>x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vertAlign w:val="subscript"/>
          <w14:textFill>
            <w14:solidFill>
              <w14:schemeClr w14:val="tx1"/>
            </w14:solidFill>
          </w14:textFill>
        </w:rPr>
        <w:t>t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vertAlign w:val="baseline"/>
          <w:lang w:val="en-US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цена акции в текущий момент времени t</w:t>
      </w:r>
    </w:p>
    <w:p w14:paraId="15EA443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x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vertAlign w:val="subscript"/>
          <w14:textFill>
            <w14:solidFill>
              <w14:schemeClr w14:val="tx1"/>
            </w14:solidFill>
          </w14:textFill>
        </w:rPr>
        <w:t>t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vertAlign w:val="subscript"/>
          <w:lang w:val="ru-RU"/>
          <w14:textFill>
            <w14:solidFill>
              <w14:schemeClr w14:val="tx1"/>
            </w14:solidFill>
          </w14:textFill>
        </w:rPr>
        <w:t>-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vertAlign w:val="subscript"/>
          <w:lang w:val="en-US"/>
          <w14:textFill>
            <w14:solidFill>
              <w14:schemeClr w14:val="tx1"/>
            </w14:solidFill>
          </w14:textFill>
        </w:rPr>
        <w:t>1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vertAlign w:val="baseline"/>
          <w:lang w:val="en-US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цена акции в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предыдущий 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момент времени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t - 1</w:t>
      </w:r>
    </w:p>
    <w:p w14:paraId="5BAEEB2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r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vertAlign w:val="subscript"/>
          <w14:textFill>
            <w14:solidFill>
              <w14:schemeClr w14:val="tx1"/>
            </w14:solidFill>
          </w14:textFill>
        </w:rPr>
        <w:t>t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-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относительное изменение цены (доходность)</w:t>
      </w:r>
    </w:p>
    <w:p w14:paraId="5EC05EB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709" w:firstLineChars="0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46AAA3E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Экономический смысл данной формулы заключается в том, что она показывает, на сколько процентов изменилась цена по сравнению с предыдущим значением.</w:t>
      </w:r>
    </w:p>
    <w:p w14:paraId="63B9A97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После вычисления доходностей выполняется их дискретизация, то есть переход от непрерывных значений к трём фиксированным состояниям.</w:t>
      </w:r>
    </w:p>
    <w:p w14:paraId="7269012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Вводится пороговое значение k, которое определяет границу между значимым и незначительным изменением.</w:t>
      </w:r>
    </w:p>
    <w:p w14:paraId="5429989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Состояние определяется следующим системой уравнений:</w:t>
      </w:r>
    </w:p>
    <w:p w14:paraId="2C6AAA0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</w:p>
    <w:p w14:paraId="53A3C5E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vertAlign w:val="subscript"/>
          <w14:textFill>
            <w14:solidFill>
              <w14:schemeClr w14:val="tx1"/>
            </w14:solidFill>
          </w14:textFill>
        </w:rPr>
        <w:t>t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= 1 при r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vertAlign w:val="subscript"/>
          <w14:textFill>
            <w14:solidFill>
              <w14:schemeClr w14:val="tx1"/>
            </w14:solidFill>
          </w14:textFill>
        </w:rPr>
        <w:t>t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t &gt; k </w:t>
      </w:r>
    </w:p>
    <w:p w14:paraId="45F8B47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vertAlign w:val="subscript"/>
          <w14:textFill>
            <w14:solidFill>
              <w14:schemeClr w14:val="tx1"/>
            </w14:solidFill>
          </w14:textFill>
        </w:rPr>
        <w:t>t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=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-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 при r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vertAlign w:val="subscript"/>
          <w14:textFill>
            <w14:solidFill>
              <w14:schemeClr w14:val="tx1"/>
            </w14:solidFill>
          </w14:textFill>
        </w:rPr>
        <w:t>t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&lt;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-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k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</w:p>
    <w:p w14:paraId="3DFDE56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vertAlign w:val="subscript"/>
          <w14:textFill>
            <w14:solidFill>
              <w14:schemeClr w14:val="tx1"/>
            </w14:solidFill>
          </w14:textFill>
        </w:rPr>
        <w:t>t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= 0 при |r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vertAlign w:val="subscript"/>
          <w14:textFill>
            <w14:solidFill>
              <w14:schemeClr w14:val="tx1"/>
            </w14:solidFill>
          </w14:textFill>
        </w:rPr>
        <w:t>t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t| ≤ k</w:t>
      </w:r>
    </w:p>
    <w:p w14:paraId="7DD2271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7DC5F02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:vertAlign w:val="baseli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vertAlign w:val="baseline"/>
          <w:lang w:val="en-US"/>
          <w14:textFill>
            <w14:solidFill>
              <w14:schemeClr w14:val="tx1"/>
            </w14:solidFill>
          </w14:textFill>
        </w:rPr>
        <w:t>s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vertAlign w:val="subscript"/>
          <w14:textFill>
            <w14:solidFill>
              <w14:schemeClr w14:val="tx1"/>
            </w14:solidFill>
          </w14:textFill>
        </w:rPr>
        <w:t>t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vertAlign w:val="baseline"/>
          <w:lang w:val="en-US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vertAlign w:val="baseline"/>
          <w:lang w:val="ru-RU"/>
          <w14:textFill>
            <w14:solidFill>
              <w14:schemeClr w14:val="tx1"/>
            </w14:solidFill>
          </w14:textFill>
        </w:rPr>
        <w:t xml:space="preserve">состояние системы в момент времени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vertAlign w:val="baseline"/>
          <w:lang w:val="en-US"/>
          <w14:textFill>
            <w14:solidFill>
              <w14:schemeClr w14:val="tx1"/>
            </w14:solidFill>
          </w14:textFill>
        </w:rPr>
        <w:t>t</w:t>
      </w:r>
    </w:p>
    <w:p w14:paraId="1E49F1E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:vertAlign w:val="baseline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vertAlign w:val="baseline"/>
          <w:lang w:val="en-US"/>
          <w14:textFill>
            <w14:solidFill>
              <w14:schemeClr w14:val="tx1"/>
            </w14:solidFill>
          </w14:textFill>
        </w:rPr>
        <w:t xml:space="preserve">k -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vertAlign w:val="baseline"/>
          <w:lang w:val="ru-RU"/>
          <w14:textFill>
            <w14:solidFill>
              <w14:schemeClr w14:val="tx1"/>
            </w14:solidFill>
          </w14:textFill>
        </w:rPr>
        <w:t>порог дискретизации</w:t>
      </w:r>
    </w:p>
    <w:p w14:paraId="3F98003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709" w:firstLineChars="0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5953BB9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Экономическая интерпретация:</w:t>
      </w:r>
    </w:p>
    <w:p w14:paraId="09517B4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1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-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существенный рост;</w:t>
      </w:r>
    </w:p>
    <w:p w14:paraId="6FA905D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-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1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-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существенное падение;</w:t>
      </w:r>
    </w:p>
    <w:p w14:paraId="560EB46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0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-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незначительное изменение (боковое движение).</w:t>
      </w:r>
    </w:p>
    <w:p w14:paraId="579BB3C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08D1886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Таким образом, исходный временной ряд преобразуется в последовательность из трёх состояний.</w:t>
      </w:r>
    </w:p>
    <w:p w14:paraId="291C32D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365B30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/>
        <w:jc w:val="left"/>
        <w:textAlignment w:val="auto"/>
        <w:outlineLvl w:val="0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bookmarkStart w:id="6" w:name="_Toc12962"/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3.3 Память длины m</w:t>
      </w:r>
      <w:bookmarkEnd w:id="6"/>
    </w:p>
    <w:p w14:paraId="396D5AF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Следующим важным параметром модели является глубина памяти m.</w:t>
      </w:r>
    </w:p>
    <w:p w14:paraId="38ED592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Под глубиной памяти понимается количество предыдущих состояний, которые учитываются при прогнозировании следующего состояния.</w:t>
      </w:r>
    </w:p>
    <w:p w14:paraId="7AFF35D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Формируется шаблон:</w:t>
      </w:r>
    </w:p>
    <w:p w14:paraId="4FB7D08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cs="Times New Roman"/>
          <w:color w:val="000000" w:themeColor="text1"/>
          <w:sz w:val="28"/>
          <w:szCs w:val="28"/>
          <w:vertAlign w:val="baseli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parrent</w:t>
      </w:r>
      <w:r>
        <w:rPr>
          <w:rFonts w:hint="default" w:cs="Times New Roman"/>
          <w:color w:val="000000" w:themeColor="text1"/>
          <w:sz w:val="28"/>
          <w:szCs w:val="28"/>
          <w:vertAlign w:val="subscript"/>
          <w:lang w:val="en-US"/>
          <w14:textFill>
            <w14:solidFill>
              <w14:schemeClr w14:val="tx1"/>
            </w14:solidFill>
          </w14:textFill>
        </w:rPr>
        <w:t xml:space="preserve">t = </w:t>
      </w:r>
      <w:r>
        <w:rPr>
          <w:rFonts w:hint="default" w:cs="Times New Roman"/>
          <w:color w:val="000000" w:themeColor="text1"/>
          <w:sz w:val="28"/>
          <w:szCs w:val="28"/>
          <w:vertAlign w:val="baseline"/>
          <w:lang w:val="en-US"/>
          <w14:textFill>
            <w14:solidFill>
              <w14:schemeClr w14:val="tx1"/>
            </w14:solidFill>
          </w14:textFill>
        </w:rPr>
        <w:t>(s</w:t>
      </w:r>
      <w:r>
        <w:rPr>
          <w:rFonts w:hint="default" w:cs="Times New Roman"/>
          <w:color w:val="000000" w:themeColor="text1"/>
          <w:sz w:val="28"/>
          <w:szCs w:val="28"/>
          <w:vertAlign w:val="subscript"/>
          <w:lang w:val="en-US"/>
          <w14:textFill>
            <w14:solidFill>
              <w14:schemeClr w14:val="tx1"/>
            </w14:solidFill>
          </w14:textFill>
        </w:rPr>
        <w:t>t-m</w:t>
      </w:r>
      <w:r>
        <w:rPr>
          <w:rFonts w:hint="default" w:cs="Times New Roman"/>
          <w:color w:val="000000" w:themeColor="text1"/>
          <w:sz w:val="28"/>
          <w:szCs w:val="28"/>
          <w:vertAlign w:val="baseline"/>
          <w:lang w:val="en-US"/>
          <w14:textFill>
            <w14:solidFill>
              <w14:schemeClr w14:val="tx1"/>
            </w14:solidFill>
          </w14:textFill>
        </w:rPr>
        <w:t>, t</w:t>
      </w:r>
      <w:r>
        <w:rPr>
          <w:rFonts w:hint="default" w:cs="Times New Roman"/>
          <w:color w:val="000000" w:themeColor="text1"/>
          <w:sz w:val="28"/>
          <w:szCs w:val="28"/>
          <w:vertAlign w:val="subscript"/>
          <w:lang w:val="en-US"/>
          <w14:textFill>
            <w14:solidFill>
              <w14:schemeClr w14:val="tx1"/>
            </w14:solidFill>
          </w14:textFill>
        </w:rPr>
        <w:t>t-m+1</w:t>
      </w:r>
      <w:r>
        <w:rPr>
          <w:rFonts w:hint="default" w:cs="Times New Roman"/>
          <w:color w:val="000000" w:themeColor="text1"/>
          <w:sz w:val="28"/>
          <w:szCs w:val="28"/>
          <w:vertAlign w:val="baseline"/>
          <w:lang w:val="en-US"/>
          <w14:textFill>
            <w14:solidFill>
              <w14:schemeClr w14:val="tx1"/>
            </w14:solidFill>
          </w14:textFill>
        </w:rPr>
        <w:t>, …, s</w:t>
      </w:r>
      <w:r>
        <w:rPr>
          <w:rFonts w:hint="default" w:cs="Times New Roman"/>
          <w:color w:val="000000" w:themeColor="text1"/>
          <w:sz w:val="28"/>
          <w:szCs w:val="28"/>
          <w:vertAlign w:val="subscript"/>
          <w:lang w:val="en-US"/>
          <w14:textFill>
            <w14:solidFill>
              <w14:schemeClr w14:val="tx1"/>
            </w14:solidFill>
          </w14:textFill>
        </w:rPr>
        <w:t>t-1</w:t>
      </w:r>
      <w:r>
        <w:rPr>
          <w:rFonts w:hint="default" w:cs="Times New Roman"/>
          <w:color w:val="000000" w:themeColor="text1"/>
          <w:sz w:val="28"/>
          <w:szCs w:val="28"/>
          <w:vertAlign w:val="baseline"/>
          <w:lang w:val="en-US"/>
          <w14:textFill>
            <w14:solidFill>
              <w14:schemeClr w14:val="tx1"/>
            </w14:solidFill>
          </w14:textFill>
        </w:rPr>
        <w:t>)</w:t>
      </w:r>
    </w:p>
    <w:p w14:paraId="267B6FC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cs="Times New Roman"/>
          <w:color w:val="000000" w:themeColor="text1"/>
          <w:sz w:val="28"/>
          <w:szCs w:val="28"/>
          <w:vertAlign w:val="baseline"/>
          <w:lang w:val="en-US"/>
          <w14:textFill>
            <w14:solidFill>
              <w14:schemeClr w14:val="tx1"/>
            </w14:solidFill>
          </w14:textFill>
        </w:rPr>
      </w:pPr>
    </w:p>
    <w:p w14:paraId="74CB3CF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parrent</w:t>
      </w:r>
      <w:r>
        <w:rPr>
          <w:rFonts w:hint="default" w:cs="Times New Roman"/>
          <w:color w:val="000000" w:themeColor="text1"/>
          <w:sz w:val="28"/>
          <w:szCs w:val="28"/>
          <w:vertAlign w:val="subscript"/>
          <w:lang w:val="en-US"/>
          <w14:textFill>
            <w14:solidFill>
              <w14:schemeClr w14:val="tx1"/>
            </w14:solidFill>
          </w14:textFill>
        </w:rPr>
        <w:t xml:space="preserve">t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-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последовательность предыдущих m состояний;</w:t>
      </w:r>
    </w:p>
    <w:p w14:paraId="26D7AAD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cs="Times New Roman"/>
          <w:color w:val="000000" w:themeColor="text1"/>
          <w:sz w:val="28"/>
          <w:szCs w:val="28"/>
          <w:vertAlign w:val="baseline"/>
          <w:lang w:val="en-US"/>
          <w14:textFill>
            <w14:solidFill>
              <w14:schemeClr w14:val="tx1"/>
            </w14:solidFill>
          </w14:textFill>
        </w:rPr>
        <w:t>s</w:t>
      </w:r>
      <w:r>
        <w:rPr>
          <w:rFonts w:hint="default" w:cs="Times New Roman"/>
          <w:color w:val="000000" w:themeColor="text1"/>
          <w:sz w:val="28"/>
          <w:szCs w:val="28"/>
          <w:vertAlign w:val="subscript"/>
          <w:lang w:val="en-US"/>
          <w14:textFill>
            <w14:solidFill>
              <w14:schemeClr w14:val="tx1"/>
            </w14:solidFill>
          </w14:textFill>
        </w:rPr>
        <w:t xml:space="preserve">t-1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-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последнее известное состояние.</w:t>
      </w:r>
    </w:p>
    <w:p w14:paraId="24370F1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:vertAlign w:val="baseline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cs="Times New Roman"/>
          <w:color w:val="000000" w:themeColor="text1"/>
          <w:sz w:val="28"/>
          <w:szCs w:val="28"/>
          <w:vertAlign w:val="baseline"/>
          <w:lang w:val="en-US"/>
          <w14:textFill>
            <w14:solidFill>
              <w14:schemeClr w14:val="tx1"/>
            </w14:solidFill>
          </w14:textFill>
        </w:rPr>
        <w:t>s</w:t>
      </w:r>
      <w:r>
        <w:rPr>
          <w:rFonts w:hint="default" w:cs="Times New Roman"/>
          <w:color w:val="000000" w:themeColor="text1"/>
          <w:sz w:val="28"/>
          <w:szCs w:val="28"/>
          <w:vertAlign w:val="subscript"/>
          <w:lang w:val="en-US"/>
          <w14:textFill>
            <w14:solidFill>
              <w14:schemeClr w14:val="tx1"/>
            </w14:solidFill>
          </w14:textFill>
        </w:rPr>
        <w:t>t-m</w:t>
      </w:r>
      <w:r>
        <w:rPr>
          <w:rFonts w:hint="default" w:cs="Times New Roman"/>
          <w:color w:val="000000" w:themeColor="text1"/>
          <w:sz w:val="28"/>
          <w:szCs w:val="28"/>
          <w:vertAlign w:val="baseline"/>
          <w:lang w:val="en-US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cs="Times New Roman"/>
          <w:color w:val="000000" w:themeColor="text1"/>
          <w:sz w:val="28"/>
          <w:szCs w:val="28"/>
          <w:vertAlign w:val="baseline"/>
          <w:lang w:val="ru-RU"/>
          <w14:textFill>
            <w14:solidFill>
              <w14:schemeClr w14:val="tx1"/>
            </w14:solidFill>
          </w14:textFill>
        </w:rPr>
        <w:t xml:space="preserve">состояние системы </w:t>
      </w:r>
      <w:r>
        <w:rPr>
          <w:rFonts w:hint="default" w:cs="Times New Roman"/>
          <w:color w:val="000000" w:themeColor="text1"/>
          <w:sz w:val="28"/>
          <w:szCs w:val="28"/>
          <w:vertAlign w:val="baseline"/>
          <w:lang w:val="en-US"/>
          <w14:textFill>
            <w14:solidFill>
              <w14:schemeClr w14:val="tx1"/>
            </w14:solidFill>
          </w14:textFill>
        </w:rPr>
        <w:t xml:space="preserve">m </w:t>
      </w:r>
      <w:r>
        <w:rPr>
          <w:rFonts w:hint="default" w:cs="Times New Roman"/>
          <w:color w:val="000000" w:themeColor="text1"/>
          <w:sz w:val="28"/>
          <w:szCs w:val="28"/>
          <w:vertAlign w:val="baseline"/>
          <w:lang w:val="ru-RU"/>
          <w14:textFill>
            <w14:solidFill>
              <w14:schemeClr w14:val="tx1"/>
            </w14:solidFill>
          </w14:textFill>
        </w:rPr>
        <w:t>шагов назад</w:t>
      </w:r>
    </w:p>
    <w:p w14:paraId="11DD7AE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7E951B0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cs="Times New Roman"/>
          <w:color w:val="000000" w:themeColor="text1"/>
          <w:sz w:val="28"/>
          <w:szCs w:val="28"/>
          <w:vertAlign w:val="baseli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Количество возможных шаблонов определяется как</w:t>
      </w:r>
      <w:r>
        <w:rPr>
          <w:rFonts w:hint="default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 3</w:t>
      </w:r>
      <w:r>
        <w:rPr>
          <w:rFonts w:hint="default" w:cs="Times New Roman"/>
          <w:color w:val="000000" w:themeColor="text1"/>
          <w:sz w:val="28"/>
          <w:szCs w:val="28"/>
          <w:vertAlign w:val="superscript"/>
          <w:lang w:val="en-US"/>
          <w14:textFill>
            <w14:solidFill>
              <w14:schemeClr w14:val="tx1"/>
            </w14:solidFill>
          </w14:textFill>
        </w:rPr>
        <w:t>m</w:t>
      </w:r>
    </w:p>
    <w:p w14:paraId="1C3BE9D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Это связано с тем, что каждое состояние может принимать три значения (</w:t>
      </w:r>
      <w:r>
        <w:rPr>
          <w:rFonts w:hint="default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-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1, 0, 1), и для каждого из </w:t>
      </w:r>
      <w:r>
        <w:rPr>
          <w:rFonts w:hint="default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m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шагов существует три варианта.</w:t>
      </w:r>
    </w:p>
    <w:p w14:paraId="27BFE03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Например:</w:t>
      </w:r>
    </w:p>
    <w:p w14:paraId="1C7F4B5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при m=2m = 2m=2 возможных комбинаций 9;</w:t>
      </w:r>
    </w:p>
    <w:p w14:paraId="4EF0EBD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при m=3m = 3m=3 </w:t>
      </w:r>
      <w:r>
        <w:rPr>
          <w:rFonts w:hint="default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-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уже 27.</w:t>
      </w:r>
    </w:p>
    <w:p w14:paraId="3E94D84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413CFDF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Таким образом, увеличение глубины памяти значительно увеличивает количество возможных переходов.</w:t>
      </w:r>
    </w:p>
    <w:p w14:paraId="2D004F5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648943D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/>
        <w:jc w:val="left"/>
        <w:textAlignment w:val="auto"/>
        <w:outlineLvl w:val="0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bookmarkStart w:id="7" w:name="_Toc27164"/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3.4 Вероятностное правило перехода</w:t>
      </w:r>
      <w:bookmarkEnd w:id="7"/>
    </w:p>
    <w:p w14:paraId="3425498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После формирования всех шаблонов производится подсчёт частоты появления следующего состояния.</w:t>
      </w:r>
    </w:p>
    <w:p w14:paraId="1EF0A0F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Для каждого шаблона определяется вероятность перехода:</w:t>
      </w:r>
    </w:p>
    <w:p w14:paraId="6E7C924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42F430B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both"/>
        <w:textAlignment w:val="auto"/>
        <w:rPr>
          <w:rFonts w:hint="default" w:cs="Times New Roman"/>
          <w:color w:val="000000" w:themeColor="text1"/>
          <w:sz w:val="28"/>
          <w:szCs w:val="28"/>
          <w:vertAlign w:val="baseli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P(s | pattern) = (count</w:t>
      </w:r>
      <w:r>
        <w:rPr>
          <w:rFonts w:hint="default" w:cs="Times New Roman"/>
          <w:color w:val="000000" w:themeColor="text1"/>
          <w:sz w:val="28"/>
          <w:szCs w:val="28"/>
          <w:vertAlign w:val="subscript"/>
          <w:lang w:val="en-US"/>
          <w14:textFill>
            <w14:solidFill>
              <w14:schemeClr w14:val="tx1"/>
            </w14:solidFill>
          </w14:textFill>
        </w:rPr>
        <w:t>s</w:t>
      </w:r>
      <w:r>
        <w:rPr>
          <w:rFonts w:hint="default" w:cs="Times New Roman"/>
          <w:color w:val="000000" w:themeColor="text1"/>
          <w:sz w:val="28"/>
          <w:szCs w:val="28"/>
          <w:vertAlign w:val="baseline"/>
          <w:lang w:val="en-US"/>
          <w14:textFill>
            <w14:solidFill>
              <w14:schemeClr w14:val="tx1"/>
            </w14:solidFill>
          </w14:textFill>
        </w:rPr>
        <w:t xml:space="preserve"> + a) / N + 3a</w:t>
      </w:r>
    </w:p>
    <w:p w14:paraId="2A93032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both"/>
        <w:textAlignment w:val="auto"/>
        <w:rPr>
          <w:rFonts w:hint="default" w:cs="Times New Roman"/>
          <w:color w:val="000000" w:themeColor="text1"/>
          <w:sz w:val="28"/>
          <w:szCs w:val="28"/>
          <w:vertAlign w:val="baseline"/>
          <w:lang w:val="en-US"/>
          <w14:textFill>
            <w14:solidFill>
              <w14:schemeClr w14:val="tx1"/>
            </w14:solidFill>
          </w14:textFill>
        </w:rPr>
      </w:pPr>
    </w:p>
    <w:p w14:paraId="7569538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cs="Times New Roman"/>
          <w:color w:val="000000" w:themeColor="text1"/>
          <w:sz w:val="28"/>
          <w:szCs w:val="28"/>
          <w:vertAlign w:val="baseli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с</w:t>
      </w:r>
      <w:r>
        <w:rPr>
          <w:rFonts w:hint="default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ount</w:t>
      </w:r>
      <w:r>
        <w:rPr>
          <w:rFonts w:hint="default" w:cs="Times New Roman"/>
          <w:color w:val="000000" w:themeColor="text1"/>
          <w:sz w:val="28"/>
          <w:szCs w:val="28"/>
          <w:vertAlign w:val="subscript"/>
          <w:lang w:val="en-US"/>
          <w14:textFill>
            <w14:solidFill>
              <w14:schemeClr w14:val="tx1"/>
            </w14:solidFill>
          </w14:textFill>
        </w:rPr>
        <w:t>s</w:t>
      </w:r>
      <w:r>
        <w:rPr>
          <w:rFonts w:hint="default" w:cs="Times New Roman"/>
          <w:color w:val="000000" w:themeColor="text1"/>
          <w:sz w:val="28"/>
          <w:szCs w:val="28"/>
          <w:vertAlign w:val="baseline"/>
          <w:lang w:val="en-US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cs="Times New Roman"/>
          <w:color w:val="000000" w:themeColor="text1"/>
          <w:sz w:val="28"/>
          <w:szCs w:val="28"/>
          <w:vertAlign w:val="baseline"/>
          <w:lang w:val="ru-RU"/>
          <w14:textFill>
            <w14:solidFill>
              <w14:schemeClr w14:val="tx1"/>
            </w14:solidFill>
          </w14:textFill>
        </w:rPr>
        <w:t xml:space="preserve">количество случаев, когда после данного шаблона наблюдалось сотояние </w:t>
      </w:r>
      <w:r>
        <w:rPr>
          <w:rFonts w:hint="default" w:cs="Times New Roman"/>
          <w:color w:val="000000" w:themeColor="text1"/>
          <w:sz w:val="28"/>
          <w:szCs w:val="28"/>
          <w:vertAlign w:val="baseline"/>
          <w:lang w:val="en-US"/>
          <w14:textFill>
            <w14:solidFill>
              <w14:schemeClr w14:val="tx1"/>
            </w14:solidFill>
          </w14:textFill>
        </w:rPr>
        <w:t>s</w:t>
      </w:r>
    </w:p>
    <w:p w14:paraId="458E4D1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cs="Times New Roman"/>
          <w:color w:val="000000" w:themeColor="text1"/>
          <w:sz w:val="28"/>
          <w:szCs w:val="28"/>
          <w:vertAlign w:val="baseline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cs="Times New Roman"/>
          <w:color w:val="000000" w:themeColor="text1"/>
          <w:sz w:val="28"/>
          <w:szCs w:val="28"/>
          <w:vertAlign w:val="baseline"/>
          <w:lang w:val="ru-RU"/>
          <w14:textFill>
            <w14:solidFill>
              <w14:schemeClr w14:val="tx1"/>
            </w14:solidFill>
          </w14:textFill>
        </w:rPr>
        <w:t>а - параметр Лапласовского сглаживания</w:t>
      </w:r>
    </w:p>
    <w:p w14:paraId="4271448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P(s | pattern) - </w:t>
      </w:r>
      <w:r>
        <w:rPr>
          <w:rFonts w:hint="default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условная вероятность перехода к состоянию </w:t>
      </w:r>
      <w:r>
        <w:rPr>
          <w:rFonts w:hint="default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s </w:t>
      </w:r>
      <w:r>
        <w:rPr>
          <w:rFonts w:hint="default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при заданном шаблоне</w:t>
      </w:r>
    </w:p>
    <w:p w14:paraId="65D6ABD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Параметр </w:t>
      </w:r>
      <w:r>
        <w:rPr>
          <w:rFonts w:hint="default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a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используется для того, чтобы избежать ситуации нулевых вероятностей. Это особенно важно при малом количестве наблюдений.</w:t>
      </w:r>
    </w:p>
    <w:p w14:paraId="6AF3872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Проще говоря, если некоторый переход не встречался в обучающих данных, модель всё равно оставляет ему небольшую вероятность.</w:t>
      </w:r>
    </w:p>
    <w:p w14:paraId="5C99FA9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35D525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/>
        <w:jc w:val="left"/>
        <w:textAlignment w:val="auto"/>
        <w:outlineLvl w:val="0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bookmarkStart w:id="8" w:name="_Toc6445"/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3.5 Правило прогноза</w:t>
      </w:r>
      <w:bookmarkEnd w:id="8"/>
    </w:p>
    <w:p w14:paraId="6C47013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После вычисления вероятностей для каждого возможного состояния выбирается наиболее вероятное:</w:t>
      </w:r>
    </w:p>
    <w:p w14:paraId="6585645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3820B9B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cs="Times New Roman"/>
          <w:color w:val="000000" w:themeColor="text1"/>
          <w:sz w:val="28"/>
          <w:szCs w:val="28"/>
          <w:vertAlign w:val="baseli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~s</w:t>
      </w:r>
      <w:r>
        <w:rPr>
          <w:rFonts w:hint="default" w:cs="Times New Roman"/>
          <w:color w:val="000000" w:themeColor="text1"/>
          <w:sz w:val="28"/>
          <w:szCs w:val="28"/>
          <w:vertAlign w:val="subscript"/>
          <w:lang w:val="en-US"/>
          <w14:textFill>
            <w14:solidFill>
              <w14:schemeClr w14:val="tx1"/>
            </w14:solidFill>
          </w14:textFill>
        </w:rPr>
        <w:t>t+1</w:t>
      </w:r>
      <w:r>
        <w:rPr>
          <w:rFonts w:hint="default" w:cs="Times New Roman"/>
          <w:color w:val="000000" w:themeColor="text1"/>
          <w:sz w:val="28"/>
          <w:szCs w:val="28"/>
          <w:vertAlign w:val="baseline"/>
          <w:lang w:val="en-US"/>
          <w14:textFill>
            <w14:solidFill>
              <w14:schemeClr w14:val="tx1"/>
            </w14:solidFill>
          </w14:textFill>
        </w:rPr>
        <w:t xml:space="preserve"> = arg max P(s | pattern)</w:t>
      </w:r>
    </w:p>
    <w:p w14:paraId="1B367D6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cs="Times New Roman"/>
          <w:color w:val="000000" w:themeColor="text1"/>
          <w:sz w:val="28"/>
          <w:szCs w:val="28"/>
          <w:vertAlign w:val="baseline"/>
          <w:lang w:val="en-US"/>
          <w14:textFill>
            <w14:solidFill>
              <w14:schemeClr w14:val="tx1"/>
            </w14:solidFill>
          </w14:textFill>
        </w:rPr>
      </w:pPr>
    </w:p>
    <w:p w14:paraId="5C8C8A6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cs="Times New Roman"/>
          <w:color w:val="000000" w:themeColor="text1"/>
          <w:sz w:val="28"/>
          <w:szCs w:val="28"/>
          <w:vertAlign w:val="baseline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~s</w:t>
      </w:r>
      <w:r>
        <w:rPr>
          <w:rFonts w:hint="default" w:cs="Times New Roman"/>
          <w:color w:val="000000" w:themeColor="text1"/>
          <w:sz w:val="28"/>
          <w:szCs w:val="28"/>
          <w:vertAlign w:val="subscript"/>
          <w:lang w:val="en-US"/>
          <w14:textFill>
            <w14:solidFill>
              <w14:schemeClr w14:val="tx1"/>
            </w14:solidFill>
          </w14:textFill>
        </w:rPr>
        <w:t>t+1</w:t>
      </w:r>
      <w:r>
        <w:rPr>
          <w:rFonts w:hint="default" w:cs="Times New Roman"/>
          <w:color w:val="000000" w:themeColor="text1"/>
          <w:sz w:val="28"/>
          <w:szCs w:val="28"/>
          <w:vertAlign w:val="baseline"/>
          <w:lang w:val="en-US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cs="Times New Roman"/>
          <w:color w:val="000000" w:themeColor="text1"/>
          <w:sz w:val="28"/>
          <w:szCs w:val="28"/>
          <w:vertAlign w:val="baseline"/>
          <w:lang w:val="ru-RU"/>
          <w14:textFill>
            <w14:solidFill>
              <w14:schemeClr w14:val="tx1"/>
            </w14:solidFill>
          </w14:textFill>
        </w:rPr>
        <w:t>прогнозируемое состояние на следующий момент времени</w:t>
      </w:r>
    </w:p>
    <w:p w14:paraId="3061DD5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both"/>
        <w:textAlignment w:val="auto"/>
        <w:rPr>
          <w:rFonts w:hint="default" w:cs="Times New Roman"/>
          <w:color w:val="000000" w:themeColor="text1"/>
          <w:sz w:val="28"/>
          <w:szCs w:val="28"/>
          <w:vertAlign w:val="baseline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cs="Times New Roman"/>
          <w:color w:val="000000" w:themeColor="text1"/>
          <w:sz w:val="28"/>
          <w:szCs w:val="28"/>
          <w:vertAlign w:val="baseline"/>
          <w:lang w:val="en-US"/>
          <w14:textFill>
            <w14:solidFill>
              <w14:schemeClr w14:val="tx1"/>
            </w14:solidFill>
          </w14:textFill>
        </w:rPr>
        <w:t xml:space="preserve">agr max - </w:t>
      </w:r>
      <w:r>
        <w:rPr>
          <w:rFonts w:hint="default" w:cs="Times New Roman"/>
          <w:color w:val="000000" w:themeColor="text1"/>
          <w:sz w:val="28"/>
          <w:szCs w:val="28"/>
          <w:vertAlign w:val="baseline"/>
          <w:lang w:val="ru-RU"/>
          <w14:textFill>
            <w14:solidFill>
              <w14:schemeClr w14:val="tx1"/>
            </w14:solidFill>
          </w14:textFill>
        </w:rPr>
        <w:t>операция выбора значения аргумента, при котором функция вероятности принимает максимальное значение</w:t>
      </w:r>
    </w:p>
    <w:p w14:paraId="787F6D6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both"/>
        <w:textAlignment w:val="auto"/>
        <w:rPr>
          <w:rFonts w:hint="default" w:cs="Times New Roman"/>
          <w:color w:val="000000" w:themeColor="text1"/>
          <w:sz w:val="28"/>
          <w:szCs w:val="28"/>
          <w:vertAlign w:val="baseline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cs="Times New Roman"/>
          <w:color w:val="000000" w:themeColor="text1"/>
          <w:sz w:val="28"/>
          <w:szCs w:val="28"/>
          <w:vertAlign w:val="baseline"/>
          <w:lang w:val="en-US"/>
          <w14:textFill>
            <w14:solidFill>
              <w14:schemeClr w14:val="tx1"/>
            </w14:solidFill>
          </w14:textFill>
        </w:rPr>
        <w:t xml:space="preserve">P(s | pattern) - </w:t>
      </w:r>
      <w:r>
        <w:rPr>
          <w:rFonts w:hint="default" w:cs="Times New Roman"/>
          <w:color w:val="000000" w:themeColor="text1"/>
          <w:sz w:val="28"/>
          <w:szCs w:val="28"/>
          <w:vertAlign w:val="baseline"/>
          <w:lang w:val="ru-RU"/>
          <w14:textFill>
            <w14:solidFill>
              <w14:schemeClr w14:val="tx1"/>
            </w14:solidFill>
          </w14:textFill>
        </w:rPr>
        <w:t xml:space="preserve">услованая вероятность перехода к состоянию </w:t>
      </w:r>
      <w:r>
        <w:rPr>
          <w:rFonts w:hint="default" w:cs="Times New Roman"/>
          <w:color w:val="000000" w:themeColor="text1"/>
          <w:sz w:val="28"/>
          <w:szCs w:val="28"/>
          <w:vertAlign w:val="baseline"/>
          <w:lang w:val="en-US"/>
          <w14:textFill>
            <w14:solidFill>
              <w14:schemeClr w14:val="tx1"/>
            </w14:solidFill>
          </w14:textFill>
        </w:rPr>
        <w:t xml:space="preserve">s </w:t>
      </w:r>
      <w:r>
        <w:rPr>
          <w:rFonts w:hint="default" w:cs="Times New Roman"/>
          <w:color w:val="000000" w:themeColor="text1"/>
          <w:sz w:val="28"/>
          <w:szCs w:val="28"/>
          <w:vertAlign w:val="baseline"/>
          <w:lang w:val="ru-RU"/>
          <w14:textFill>
            <w14:solidFill>
              <w14:schemeClr w14:val="tx1"/>
            </w14:solidFill>
          </w14:textFill>
        </w:rPr>
        <w:t>при заданном шаблоне предыдущих состояний</w:t>
      </w:r>
    </w:p>
    <w:p w14:paraId="35215A5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5C47790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То есть модель выбирает то состояние, которое чаще всего следовало за данной комбинацией состояний в прошлом.</w:t>
      </w:r>
    </w:p>
    <w:p w14:paraId="03A8117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/>
        <w:jc w:val="left"/>
        <w:textAlignment w:val="auto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</w:p>
    <w:p w14:paraId="2DE1B4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/>
        <w:jc w:val="left"/>
        <w:textAlignment w:val="auto"/>
        <w:outlineLvl w:val="0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bookmarkStart w:id="9" w:name="_Toc31663"/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3.6 Переход к цене</w:t>
      </w:r>
      <w:bookmarkEnd w:id="9"/>
    </w:p>
    <w:p w14:paraId="3E1BADA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После того как определено прогнозное состояние </w:t>
      </w:r>
      <w:r>
        <w:rPr>
          <w:rFonts w:hint="default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~s</w:t>
      </w:r>
      <w:r>
        <w:rPr>
          <w:rFonts w:hint="default" w:cs="Times New Roman"/>
          <w:color w:val="000000" w:themeColor="text1"/>
          <w:sz w:val="28"/>
          <w:szCs w:val="28"/>
          <w:vertAlign w:val="subscript"/>
          <w:lang w:val="en-US"/>
          <w14:textFill>
            <w14:solidFill>
              <w14:schemeClr w14:val="tx1"/>
            </w14:solidFill>
          </w14:textFill>
        </w:rPr>
        <w:t>t+1</w:t>
      </w:r>
      <w:r>
        <w:rPr>
          <w:rFonts w:hint="default" w:cs="Times New Roman"/>
          <w:color w:val="000000" w:themeColor="text1"/>
          <w:sz w:val="28"/>
          <w:szCs w:val="28"/>
          <w:vertAlign w:val="baseline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 необходимо получить числовой прогноз цены.</w:t>
      </w:r>
    </w:p>
    <w:p w14:paraId="13E50D9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Для этого для каждого состояния рассчитывается средняя доходность:</w:t>
      </w:r>
    </w:p>
    <w:p w14:paraId="078C622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51383BB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 w:eastAsia="zh-CN"/>
          <w14:textFill>
            <w14:solidFill>
              <w14:schemeClr w14:val="tx1"/>
            </w14:solidFill>
          </w14:textFill>
        </w:rPr>
        <w:t>խ</w:t>
      </w:r>
      <w:r>
        <w:rPr>
          <w:rFonts w:hint="default" w:cs="Times New Roman"/>
          <w:color w:val="000000" w:themeColor="text1"/>
          <w:sz w:val="28"/>
          <w:szCs w:val="28"/>
          <w:vertAlign w:val="subscript"/>
          <w:lang w:val="en-US" w:eastAsia="zh-CN"/>
          <w14:textFill>
            <w14:solidFill>
              <w14:schemeClr w14:val="tx1"/>
            </w14:solidFill>
          </w14:textFill>
        </w:rPr>
        <w:t>s</w:t>
      </w:r>
      <w:r>
        <w:rPr>
          <w:rFonts w:hint="default" w:cs="Times New Roman"/>
          <w:color w:val="000000" w:themeColor="text1"/>
          <w:sz w:val="28"/>
          <w:szCs w:val="28"/>
          <w:lang w:val="ru-RU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=</w:t>
      </w:r>
      <w:r>
        <w:rPr>
          <w:rFonts w:hint="default" w:cs="Times New Roman"/>
          <w:color w:val="000000" w:themeColor="text1"/>
          <w:sz w:val="28"/>
          <w:szCs w:val="28"/>
          <w:lang w:val="ru-RU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cs="Times New Roman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1/n</w:t>
      </w:r>
      <w:r>
        <w:rPr>
          <w:rFonts w:hint="default" w:cs="Times New Roman"/>
          <w:color w:val="000000" w:themeColor="text1"/>
          <w:sz w:val="28"/>
          <w:szCs w:val="28"/>
          <w:vertAlign w:val="subscript"/>
          <w:lang w:val="en-US" w:eastAsia="zh-CN"/>
          <w14:textFill>
            <w14:solidFill>
              <w14:schemeClr w14:val="tx1"/>
            </w14:solidFill>
          </w14:textFill>
        </w:rPr>
        <w:t>s</w:t>
      </w:r>
      <w:r>
        <w:rPr>
          <w:rFonts w:hint="default" w:cs="Times New Roman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∑</w:t>
      </w:r>
      <w:r>
        <w:rPr>
          <w:rFonts w:hint="default" w:cs="Times New Roman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r</w:t>
      </w:r>
      <w:r>
        <w:rPr>
          <w:rFonts w:hint="default" w:cs="Times New Roman"/>
          <w:color w:val="000000" w:themeColor="text1"/>
          <w:sz w:val="28"/>
          <w:szCs w:val="28"/>
          <w:vertAlign w:val="subscript"/>
          <w:lang w:val="en-US" w:eastAsia="zh-CN"/>
          <w14:textFill>
            <w14:solidFill>
              <w14:schemeClr w14:val="tx1"/>
            </w14:solidFill>
          </w14:textFill>
        </w:rPr>
        <w:t>t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</w:p>
    <w:p w14:paraId="71F0246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7891999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 w:eastAsia="zh-CN"/>
          <w14:textFill>
            <w14:solidFill>
              <w14:schemeClr w14:val="tx1"/>
            </w14:solidFill>
          </w14:textFill>
        </w:rPr>
        <w:t>խ</w:t>
      </w:r>
      <w:r>
        <w:rPr>
          <w:rFonts w:hint="default" w:cs="Times New Roman"/>
          <w:color w:val="000000" w:themeColor="text1"/>
          <w:sz w:val="28"/>
          <w:szCs w:val="28"/>
          <w:vertAlign w:val="subscript"/>
          <w:lang w:val="en-US" w:eastAsia="zh-CN"/>
          <w14:textFill>
            <w14:solidFill>
              <w14:schemeClr w14:val="tx1"/>
            </w14:solidFill>
          </w14:textFill>
        </w:rPr>
        <w:t>s</w:t>
      </w:r>
      <w:r>
        <w:rPr>
          <w:rFonts w:hint="default" w:cs="Times New Roman"/>
          <w:color w:val="000000" w:themeColor="text1"/>
          <w:sz w:val="28"/>
          <w:szCs w:val="28"/>
          <w:lang w:val="ru-RU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-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средняя доходность для состояния s</w:t>
      </w:r>
    </w:p>
    <w:p w14:paraId="0C6176B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N</w:t>
      </w:r>
      <w:r>
        <w:rPr>
          <w:rFonts w:hint="default" w:cs="Times New Roman"/>
          <w:color w:val="000000" w:themeColor="text1"/>
          <w:sz w:val="28"/>
          <w:szCs w:val="28"/>
          <w:vertAlign w:val="subscript"/>
          <w:lang w:val="en-US"/>
          <w14:textFill>
            <w14:solidFill>
              <w14:schemeClr w14:val="tx1"/>
            </w14:solidFill>
          </w14:textFill>
        </w:rPr>
        <w:t>s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​ </w:t>
      </w:r>
      <w:r>
        <w:rPr>
          <w:rFonts w:hint="default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-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количество наблюдений этого состояния.</w:t>
      </w:r>
    </w:p>
    <w:p w14:paraId="4377962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7CD93F6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Прогнозная доходность в момент времени t равна средней доходности того состояния, которое спрогнозировала модель</w:t>
      </w:r>
      <w:r>
        <w:rPr>
          <w:rFonts w:hint="default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:</w:t>
      </w:r>
    </w:p>
    <w:p w14:paraId="3CC5ABC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</w:p>
    <w:p w14:paraId="04EE3C4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cs="Times New Roman"/>
          <w:color w:val="000000" w:themeColor="text1"/>
          <w:sz w:val="28"/>
          <w:szCs w:val="28"/>
          <w:vertAlign w:val="baseli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cs="Times New Roman"/>
          <w:color w:val="000000" w:themeColor="text1"/>
          <w:sz w:val="28"/>
          <w:szCs w:val="28"/>
          <w:vertAlign w:val="baseline"/>
          <w:lang w:val="en-US"/>
          <w14:textFill>
            <w14:solidFill>
              <w14:schemeClr w14:val="tx1"/>
            </w14:solidFill>
          </w14:textFill>
        </w:rPr>
        <w:t>r</w:t>
      </w:r>
      <w:r>
        <w:rPr>
          <w:rFonts w:hint="default" w:cs="Times New Roman"/>
          <w:color w:val="000000" w:themeColor="text1"/>
          <w:sz w:val="28"/>
          <w:szCs w:val="28"/>
          <w:vertAlign w:val="subscript"/>
          <w:lang w:val="en-US"/>
          <w14:textFill>
            <w14:solidFill>
              <w14:schemeClr w14:val="tx1"/>
            </w14:solidFill>
          </w14:textFill>
        </w:rPr>
        <w:t>t</w:t>
      </w:r>
      <w:r>
        <w:rPr>
          <w:rFonts w:hint="default" w:cs="Times New Roman"/>
          <w:color w:val="000000" w:themeColor="text1"/>
          <w:sz w:val="28"/>
          <w:szCs w:val="28"/>
          <w:vertAlign w:val="baseline"/>
          <w:lang w:val="en-US"/>
          <w14:textFill>
            <w14:solidFill>
              <w14:schemeClr w14:val="tx1"/>
            </w14:solidFill>
          </w14:textFill>
        </w:rPr>
        <w:t xml:space="preserve"> = </w:t>
      </w:r>
      <w:r>
        <w:rPr>
          <w:rFonts w:hint="default" w:cs="Times New Roman"/>
          <w:color w:val="000000" w:themeColor="text1"/>
          <w:sz w:val="28"/>
          <w:szCs w:val="28"/>
          <w:vertAlign w:val="subscript"/>
          <w:lang w:val="ru-RU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 w:eastAsia="zh-CN"/>
          <w14:textFill>
            <w14:solidFill>
              <w14:schemeClr w14:val="tx1"/>
            </w14:solidFill>
          </w14:textFill>
        </w:rPr>
        <w:t>խ</w:t>
      </w:r>
      <w:r>
        <w:rPr>
          <w:rFonts w:hint="default" w:cs="Times New Roman"/>
          <w:color w:val="000000" w:themeColor="text1"/>
          <w:sz w:val="28"/>
          <w:szCs w:val="28"/>
          <w:vertAlign w:val="subscript"/>
          <w:lang w:val="en-US" w:eastAsia="zh-CN"/>
          <w14:textFill>
            <w14:solidFill>
              <w14:schemeClr w14:val="tx1"/>
            </w14:solidFill>
          </w14:textFill>
        </w:rPr>
        <w:t>s</w:t>
      </w:r>
      <w:r>
        <w:rPr>
          <w:rFonts w:hint="default" w:cs="Times New Roman"/>
          <w:color w:val="000000" w:themeColor="text1"/>
          <w:sz w:val="28"/>
          <w:szCs w:val="28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 xml:space="preserve"> * s</w:t>
      </w:r>
    </w:p>
    <w:p w14:paraId="5905A58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cs="Times New Roman"/>
          <w:color w:val="000000" w:themeColor="text1"/>
          <w:sz w:val="28"/>
          <w:szCs w:val="28"/>
          <w:vertAlign w:val="baseline"/>
          <w:lang w:val="en-US" w:eastAsia="zh-CN"/>
          <w14:textFill>
            <w14:solidFill>
              <w14:schemeClr w14:val="tx1"/>
            </w14:solidFill>
          </w14:textFill>
        </w:rPr>
      </w:pPr>
    </w:p>
    <w:p w14:paraId="2D3FA4C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cs="Times New Roman"/>
          <w:color w:val="000000" w:themeColor="text1"/>
          <w:sz w:val="28"/>
          <w:szCs w:val="28"/>
          <w:vertAlign w:val="baseli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cs="Times New Roman"/>
          <w:color w:val="000000" w:themeColor="text1"/>
          <w:sz w:val="28"/>
          <w:szCs w:val="28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 xml:space="preserve">s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 xml:space="preserve">- </w:t>
      </w:r>
      <w:r>
        <w:rPr>
          <w:rFonts w:hint="default" w:cs="Times New Roman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c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остояние клеточного автомата (−1, 0 или +1), выбранное как наиболее вероятное.</w:t>
      </w:r>
    </w:p>
    <w:p w14:paraId="4179614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 w:eastAsia="zh-CN"/>
          <w14:textFill>
            <w14:solidFill>
              <w14:schemeClr w14:val="tx1"/>
            </w14:solidFill>
          </w14:textFill>
        </w:rPr>
        <w:t>խ</w:t>
      </w:r>
      <w:r>
        <w:rPr>
          <w:rFonts w:hint="default" w:cs="Times New Roman"/>
          <w:color w:val="000000" w:themeColor="text1"/>
          <w:sz w:val="28"/>
          <w:szCs w:val="28"/>
          <w:vertAlign w:val="subscript"/>
          <w:lang w:val="en-US" w:eastAsia="zh-CN"/>
          <w14:textFill>
            <w14:solidFill>
              <w14:schemeClr w14:val="tx1"/>
            </w14:solidFill>
          </w14:textFill>
        </w:rPr>
        <w:t>s</w:t>
      </w:r>
      <w:r>
        <w:rPr>
          <w:rFonts w:hint="default" w:cs="Times New Roman"/>
          <w:color w:val="000000" w:themeColor="text1"/>
          <w:sz w:val="28"/>
          <w:szCs w:val="28"/>
          <w:lang w:val="ru-RU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-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средняя доходность для состояния s</w:t>
      </w:r>
    </w:p>
    <w:p w14:paraId="43DC7ED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cs="Times New Roman"/>
          <w:color w:val="000000" w:themeColor="text1"/>
          <w:sz w:val="28"/>
          <w:szCs w:val="28"/>
          <w:vertAlign w:val="baseli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cs="Times New Roman"/>
          <w:color w:val="000000" w:themeColor="text1"/>
          <w:sz w:val="28"/>
          <w:szCs w:val="28"/>
          <w:vertAlign w:val="baseline"/>
          <w:lang w:val="en-US"/>
          <w14:textFill>
            <w14:solidFill>
              <w14:schemeClr w14:val="tx1"/>
            </w14:solidFill>
          </w14:textFill>
        </w:rPr>
        <w:t>r</w:t>
      </w:r>
      <w:r>
        <w:rPr>
          <w:rFonts w:hint="default" w:cs="Times New Roman"/>
          <w:color w:val="000000" w:themeColor="text1"/>
          <w:sz w:val="28"/>
          <w:szCs w:val="28"/>
          <w:vertAlign w:val="subscript"/>
          <w:lang w:val="en-US"/>
          <w14:textFill>
            <w14:solidFill>
              <w14:schemeClr w14:val="tx1"/>
            </w14:solidFill>
          </w14:textFill>
        </w:rPr>
        <w:t>t</w:t>
      </w:r>
      <w:r>
        <w:rPr>
          <w:rFonts w:hint="default" w:cs="Times New Roman"/>
          <w:color w:val="000000" w:themeColor="text1"/>
          <w:sz w:val="28"/>
          <w:szCs w:val="28"/>
          <w:vertAlign w:val="baseline"/>
          <w:lang w:val="en-US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cs="Times New Roman"/>
          <w:color w:val="000000" w:themeColor="text1"/>
          <w:sz w:val="28"/>
          <w:szCs w:val="28"/>
          <w:vertAlign w:val="baseline"/>
          <w:lang w:val="ru-RU"/>
          <w14:textFill>
            <w14:solidFill>
              <w14:schemeClr w14:val="tx1"/>
            </w14:solidFill>
          </w14:textFill>
        </w:rPr>
        <w:t>прогнозная доходность</w:t>
      </w:r>
    </w:p>
    <w:p w14:paraId="7BF9EBC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3BBDB86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Далее прогнозная цена определяется по формуле:</w:t>
      </w:r>
    </w:p>
    <w:p w14:paraId="09939BE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7BAEE23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cs="Times New Roman"/>
          <w:color w:val="000000" w:themeColor="text1"/>
          <w:sz w:val="28"/>
          <w:szCs w:val="28"/>
          <w:vertAlign w:val="subscript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cs="Times New Roman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~x</w:t>
      </w:r>
      <w:r>
        <w:rPr>
          <w:rFonts w:hint="default" w:cs="Times New Roman"/>
          <w:color w:val="000000" w:themeColor="text1"/>
          <w:sz w:val="28"/>
          <w:szCs w:val="28"/>
          <w:vertAlign w:val="subscript"/>
          <w:lang w:val="en-US" w:eastAsia="zh-CN"/>
          <w14:textFill>
            <w14:solidFill>
              <w14:schemeClr w14:val="tx1"/>
            </w14:solidFill>
          </w14:textFill>
        </w:rPr>
        <w:t>t+1</w:t>
      </w:r>
      <w:r>
        <w:rPr>
          <w:rFonts w:hint="default" w:cs="Times New Roman"/>
          <w:color w:val="000000" w:themeColor="text1"/>
          <w:sz w:val="28"/>
          <w:szCs w:val="28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 xml:space="preserve"> = ~x</w:t>
      </w:r>
      <w:r>
        <w:rPr>
          <w:rFonts w:hint="default" w:cs="Times New Roman"/>
          <w:color w:val="000000" w:themeColor="text1"/>
          <w:sz w:val="28"/>
          <w:szCs w:val="28"/>
          <w:vertAlign w:val="subscript"/>
          <w:lang w:val="en-US" w:eastAsia="zh-CN"/>
          <w14:textFill>
            <w14:solidFill>
              <w14:schemeClr w14:val="tx1"/>
            </w14:solidFill>
          </w14:textFill>
        </w:rPr>
        <w:t>t</w:t>
      </w:r>
      <w:r>
        <w:rPr>
          <w:rFonts w:hint="default" w:cs="Times New Roman"/>
          <w:color w:val="000000" w:themeColor="text1"/>
          <w:sz w:val="28"/>
          <w:szCs w:val="28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 xml:space="preserve"> * e</w:t>
      </w:r>
      <w:r>
        <w:rPr>
          <w:rFonts w:hint="default" w:cs="Times New Roman"/>
          <w:color w:val="000000" w:themeColor="text1"/>
          <w:sz w:val="28"/>
          <w:szCs w:val="28"/>
          <w:vertAlign w:val="superscript"/>
          <w:lang w:val="en-US" w:eastAsia="zh-CN"/>
          <w14:textFill>
            <w14:solidFill>
              <w14:schemeClr w14:val="tx1"/>
            </w14:solidFill>
          </w14:textFill>
        </w:rPr>
        <w:t>~r</w:t>
      </w:r>
      <w:r>
        <w:rPr>
          <w:rFonts w:hint="default" w:cs="Times New Roman"/>
          <w:color w:val="000000" w:themeColor="text1"/>
          <w:sz w:val="28"/>
          <w:szCs w:val="28"/>
          <w:vertAlign w:val="subscript"/>
          <w:lang w:val="en-US" w:eastAsia="zh-CN"/>
          <w14:textFill>
            <w14:solidFill>
              <w14:schemeClr w14:val="tx1"/>
            </w14:solidFill>
          </w14:textFill>
        </w:rPr>
        <w:t>t</w:t>
      </w:r>
    </w:p>
    <w:p w14:paraId="5A0A099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cs="Times New Roman"/>
          <w:color w:val="000000" w:themeColor="text1"/>
          <w:sz w:val="28"/>
          <w:szCs w:val="28"/>
          <w:vertAlign w:val="baseline"/>
          <w:lang w:val="en-US" w:eastAsia="zh-CN"/>
          <w14:textFill>
            <w14:solidFill>
              <w14:schemeClr w14:val="tx1"/>
            </w14:solidFill>
          </w14:textFill>
        </w:rPr>
      </w:pPr>
    </w:p>
    <w:p w14:paraId="57B4170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cs="Times New Roman"/>
          <w:color w:val="000000" w:themeColor="text1"/>
          <w:sz w:val="28"/>
          <w:szCs w:val="28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~x</w:t>
      </w:r>
      <w:r>
        <w:rPr>
          <w:rFonts w:hint="default" w:cs="Times New Roman"/>
          <w:color w:val="000000" w:themeColor="text1"/>
          <w:sz w:val="28"/>
          <w:szCs w:val="28"/>
          <w:vertAlign w:val="subscript"/>
          <w:lang w:val="en-US" w:eastAsia="zh-CN"/>
          <w14:textFill>
            <w14:solidFill>
              <w14:schemeClr w14:val="tx1"/>
            </w14:solidFill>
          </w14:textFill>
        </w:rPr>
        <w:t>t</w:t>
      </w:r>
      <w:r>
        <w:rPr>
          <w:rFonts w:hint="default" w:cs="Times New Roman"/>
          <w:color w:val="000000" w:themeColor="text1"/>
          <w:sz w:val="28"/>
          <w:szCs w:val="28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-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текущая </w:t>
      </w:r>
      <w:r>
        <w:rPr>
          <w:rFonts w:hint="default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прогнозная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цена;</w:t>
      </w:r>
    </w:p>
    <w:p w14:paraId="5752E8B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cs="Times New Roman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~x</w:t>
      </w:r>
      <w:r>
        <w:rPr>
          <w:rFonts w:hint="default" w:cs="Times New Roman"/>
          <w:color w:val="000000" w:themeColor="text1"/>
          <w:sz w:val="28"/>
          <w:szCs w:val="28"/>
          <w:vertAlign w:val="subscript"/>
          <w:lang w:val="en-US" w:eastAsia="zh-CN"/>
          <w14:textFill>
            <w14:solidFill>
              <w14:schemeClr w14:val="tx1"/>
            </w14:solidFill>
          </w14:textFill>
        </w:rPr>
        <w:t>t+1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-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следующая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прогнозируемая цена;</w:t>
      </w:r>
    </w:p>
    <w:p w14:paraId="527B20F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:vertAlign w:val="baseline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cs="Times New Roman"/>
          <w:color w:val="000000" w:themeColor="text1"/>
          <w:sz w:val="28"/>
          <w:szCs w:val="28"/>
          <w:vertAlign w:val="baseline"/>
          <w:lang w:val="en-US"/>
          <w14:textFill>
            <w14:solidFill>
              <w14:schemeClr w14:val="tx1"/>
            </w14:solidFill>
          </w14:textFill>
        </w:rPr>
        <w:t>r</w:t>
      </w:r>
      <w:r>
        <w:rPr>
          <w:rFonts w:hint="default" w:cs="Times New Roman"/>
          <w:color w:val="000000" w:themeColor="text1"/>
          <w:sz w:val="28"/>
          <w:szCs w:val="28"/>
          <w:vertAlign w:val="subscript"/>
          <w:lang w:val="en-US"/>
          <w14:textFill>
            <w14:solidFill>
              <w14:schemeClr w14:val="tx1"/>
            </w14:solidFill>
          </w14:textFill>
        </w:rPr>
        <w:t>t</w:t>
      </w:r>
      <w:r>
        <w:rPr>
          <w:rFonts w:hint="default" w:cs="Times New Roman"/>
          <w:color w:val="000000" w:themeColor="text1"/>
          <w:sz w:val="28"/>
          <w:szCs w:val="28"/>
          <w:vertAlign w:val="baseline"/>
          <w:lang w:val="en-US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cs="Times New Roman"/>
          <w:color w:val="000000" w:themeColor="text1"/>
          <w:sz w:val="28"/>
          <w:szCs w:val="28"/>
          <w:vertAlign w:val="baseline"/>
          <w:lang w:val="ru-RU"/>
          <w14:textFill>
            <w14:solidFill>
              <w14:schemeClr w14:val="tx1"/>
            </w14:solidFill>
          </w14:textFill>
        </w:rPr>
        <w:t>прогнозная доходность</w:t>
      </w:r>
      <w:r>
        <w:rPr>
          <w:rFonts w:hint="default" w:cs="Times New Roman"/>
          <w:color w:val="000000" w:themeColor="text1"/>
          <w:sz w:val="28"/>
          <w:szCs w:val="28"/>
          <w:vertAlign w:val="baseline"/>
          <w:lang w:val="ru-RU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cs="Times New Roman"/>
          <w:color w:val="000000" w:themeColor="text1"/>
          <w:sz w:val="28"/>
          <w:szCs w:val="28"/>
          <w:vertAlign w:val="baseline"/>
          <w:lang w:val="ru-RU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cs="Times New Roman"/>
          <w:color w:val="000000" w:themeColor="text1"/>
          <w:sz w:val="28"/>
          <w:szCs w:val="28"/>
          <w:vertAlign w:val="baselin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cs="Times New Roman"/>
          <w:color w:val="000000" w:themeColor="text1"/>
          <w:sz w:val="28"/>
          <w:szCs w:val="28"/>
          <w:vertAlign w:val="baseline"/>
          <w:lang w:val="ru-RU"/>
          <w14:textFill>
            <w14:solidFill>
              <w14:schemeClr w14:val="tx1"/>
            </w14:solidFill>
          </w14:textFill>
        </w:rPr>
        <w:t xml:space="preserve">При первой итерации </w:t>
      </w:r>
      <w:r>
        <w:rPr>
          <w:rFonts w:hint="default" w:cs="Times New Roman"/>
          <w:color w:val="000000" w:themeColor="text1"/>
          <w:sz w:val="28"/>
          <w:szCs w:val="28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~x</w:t>
      </w:r>
      <w:r>
        <w:rPr>
          <w:rFonts w:hint="default" w:cs="Times New Roman"/>
          <w:color w:val="000000" w:themeColor="text1"/>
          <w:sz w:val="28"/>
          <w:szCs w:val="28"/>
          <w:vertAlign w:val="subscript"/>
          <w:lang w:val="en-US" w:eastAsia="zh-CN"/>
          <w14:textFill>
            <w14:solidFill>
              <w14:schemeClr w14:val="tx1"/>
            </w14:solidFill>
          </w14:textFill>
        </w:rPr>
        <w:t>t</w:t>
      </w:r>
      <w:r>
        <w:rPr>
          <w:rFonts w:hint="default" w:cs="Times New Roman"/>
          <w:color w:val="000000" w:themeColor="text1"/>
          <w:sz w:val="28"/>
          <w:szCs w:val="28"/>
          <w:vertAlign w:val="subscript"/>
          <w:lang w:val="ru-RU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cs="Times New Roman"/>
          <w:color w:val="000000" w:themeColor="text1"/>
          <w:sz w:val="28"/>
          <w:szCs w:val="28"/>
          <w:vertAlign w:val="baseline"/>
          <w:lang w:val="ru-RU" w:eastAsia="zh-CN"/>
          <w14:textFill>
            <w14:solidFill>
              <w14:schemeClr w14:val="tx1"/>
            </w14:solidFill>
          </w14:textFill>
        </w:rPr>
        <w:t>берется как реальная цена, а не прогнозируемая.</w:t>
      </w:r>
    </w:p>
    <w:p w14:paraId="249FAA4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Таким образом, модель сначала прогнозирует направление движения, а затем переводит это направление в числовое </w:t>
      </w:r>
      <w:r>
        <w:rPr>
          <w:rFonts w:hint="default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прогноз с использованием соответствующей средней доходности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</w:t>
      </w:r>
    </w:p>
    <w:p w14:paraId="38A3C27D">
      <w:pP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page"/>
      </w:r>
    </w:p>
    <w:p w14:paraId="5472C456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0"/>
        <w:jc w:val="center"/>
        <w:textAlignment w:val="auto"/>
        <w:rPr>
          <w:rFonts w:hint="default" w:ascii="Times New Roman" w:hAnsi="Times New Roman" w:cs="Times New Roman"/>
          <w:b w:val="0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bookmarkStart w:id="10" w:name="_Toc29816"/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4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ПОРЯДОК РАБОТЫ С ПРОГРАММОЙ</w:t>
      </w:r>
      <w:bookmarkEnd w:id="10"/>
    </w:p>
    <w:p w14:paraId="01E1EC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/>
        <w:jc w:val="left"/>
        <w:textAlignment w:val="auto"/>
        <w:outlineLvl w:val="0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bookmarkStart w:id="11" w:name="_Toc6876"/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4.1 Подготовка данных и выбор источника</w:t>
      </w:r>
      <w:bookmarkEnd w:id="11"/>
    </w:p>
    <w:p w14:paraId="0E6C068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Программа поддерживает два источника временных рядов:  импорт CSV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файла и загрузку котировок через MOEX ISS API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API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московской биржи)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. Перед запуском прогнозирования пользователь выбирает источник данных, задаёт диапазон дат (для API) либо указывает файл CSV. После загрузки данные приводятся к единому формату (дата–цена закрытия) и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сортируются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 времени.</w:t>
      </w:r>
    </w:p>
    <w:p w14:paraId="3FB3ADE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043778C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6150610" cy="4338955"/>
            <wp:effectExtent l="0" t="0" r="6350" b="4445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0610" cy="4338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F1AFC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Рисунок </w:t>
      </w:r>
      <w:r>
        <w:rPr>
          <w:rFonts w:hint="default" w:ascii="Times New Roman" w:hAnsi="Times New Roman" w:cs="Times New Roman"/>
          <w:b w:val="0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1</w:t>
      </w:r>
      <w:r>
        <w:rPr>
          <w:rFonts w:hint="default" w:ascii="Times New Roman" w:hAnsi="Times New Roman" w:cs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b w:val="0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-</w:t>
      </w:r>
      <w:r>
        <w:rPr>
          <w:rFonts w:hint="default" w:ascii="Times New Roman" w:hAnsi="Times New Roman" w:cs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b w:val="0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Интерфейс приложения</w:t>
      </w:r>
    </w:p>
    <w:p w14:paraId="3C24121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6144895" cy="3711575"/>
            <wp:effectExtent l="0" t="0" r="12065" b="6985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44895" cy="371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C1EC0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Рисунок 2 - Импорт данных</w:t>
      </w:r>
    </w:p>
    <w:p w14:paraId="2DB81EF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</w:p>
    <w:p w14:paraId="3F85C99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/>
        <w:jc w:val="left"/>
        <w:textAlignment w:val="auto"/>
        <w:outlineLvl w:val="0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bookmarkStart w:id="12" w:name="_Toc24679"/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4.2 Настройка параметров модели</w:t>
      </w:r>
      <w:bookmarkEnd w:id="12"/>
    </w:p>
    <w:p w14:paraId="0DF1638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Далее задаются ключевые параметры трёхсостояний модели: порог дискретизации k, глубина памяти m и параметр Лапласовского сглаживания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a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 Порог k определяет, какие изменения доходности относятся к росту, падению или нейтральному состоянию; параметр m задаёт длину временного контекста (шаблона), по которому оценивается вероятностный переход</w:t>
      </w:r>
    </w:p>
    <w:p w14:paraId="7019DA8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6458FE7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6146165" cy="361950"/>
            <wp:effectExtent l="0" t="0" r="10795" b="3810"/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46165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A1AE1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Рисунок 3 - Установка значений ключевых параметров</w:t>
      </w:r>
    </w:p>
    <w:p w14:paraId="1FBB839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</w:p>
    <w:p w14:paraId="4FE17A3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/>
        <w:jc w:val="left"/>
        <w:textAlignment w:val="auto"/>
        <w:outlineLvl w:val="0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bookmarkStart w:id="13" w:name="_Toc25812"/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4.3 Выполнение прогноза</w:t>
      </w:r>
      <w:bookmarkEnd w:id="13"/>
    </w:p>
    <w:p w14:paraId="5F1BAAB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После нажатия кнопки запуска выполняются последовательные этапы: </w:t>
      </w:r>
    </w:p>
    <w:p w14:paraId="07D4794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1) расчёт доходностей r</w:t>
      </w:r>
      <w:r>
        <w:rPr>
          <w:rFonts w:hint="default" w:cs="Times New Roman"/>
          <w:color w:val="000000" w:themeColor="text1"/>
          <w:sz w:val="28"/>
          <w:szCs w:val="28"/>
          <w:vertAlign w:val="subscript"/>
          <w:lang w:val="en-US"/>
          <w14:textFill>
            <w14:solidFill>
              <w14:schemeClr w14:val="tx1"/>
            </w14:solidFill>
          </w14:textFill>
        </w:rPr>
        <w:t>t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по исходным ценам; </w:t>
      </w:r>
    </w:p>
    <w:p w14:paraId="7A8646F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2) кодирование доходностей в состояния s</w:t>
      </w:r>
      <w:r>
        <w:rPr>
          <w:rFonts w:hint="default" w:cs="Times New Roman"/>
          <w:color w:val="000000" w:themeColor="text1"/>
          <w:sz w:val="28"/>
          <w:szCs w:val="28"/>
          <w:vertAlign w:val="subscript"/>
          <w:lang w:val="en-US"/>
          <w14:textFill>
            <w14:solidFill>
              <w14:schemeClr w14:val="tx1"/>
            </w14:solidFill>
          </w14:textFill>
        </w:rPr>
        <w:t>t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∈ {</w:t>
      </w:r>
      <w:r>
        <w:rPr>
          <w:rFonts w:hint="default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-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1, 0, 1}; </w:t>
      </w:r>
    </w:p>
    <w:p w14:paraId="0230F13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3) формирование обучающей выборки шаблонов длины m и оценка частот переходов; </w:t>
      </w:r>
    </w:p>
    <w:p w14:paraId="64BCB54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4) получение вероятностей со сглаживанием; </w:t>
      </w:r>
    </w:p>
    <w:p w14:paraId="0D2152B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5) выбор наиболее вероятного состояния на каждом шаге и перевод состояния в прогнозируемую доходность по средним; </w:t>
      </w:r>
    </w:p>
    <w:p w14:paraId="7CB8FB5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6) рекурсивное восстановление ценового прогноза. </w:t>
      </w:r>
    </w:p>
    <w:p w14:paraId="0B03E4A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4316E2E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Результат отображается на графике, где сравниваются фактические и прогнозные значения.</w:t>
      </w:r>
    </w:p>
    <w:p w14:paraId="2FD0740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1D86831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793740" cy="3815080"/>
            <wp:effectExtent l="0" t="0" r="12700" b="10160"/>
            <wp:docPr id="8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93740" cy="381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DDB40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Рисунок 4 - Результаты прогноза</w:t>
      </w:r>
    </w:p>
    <w:p w14:paraId="76817DA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</w:p>
    <w:p w14:paraId="019A296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/>
        <w:jc w:val="left"/>
        <w:textAlignment w:val="auto"/>
        <w:outlineLvl w:val="0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bookmarkStart w:id="14" w:name="_Toc6866"/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4.4 Оценка точности и экспорт результатов</w:t>
      </w:r>
      <w:bookmarkEnd w:id="14"/>
    </w:p>
    <w:p w14:paraId="7A3F852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Точность прогноза оценивается по метрикам MAE, MSE, RMSE и MAPE. После расчёта метрик пользователь может сохранить результаты в CSV-файл: прогнозные цены по датам, значения ошибок и параметры модели. Это обеспечивает воспроизводимость экспериментов и возможность сравнения результатов для разных временных рядов.</w:t>
      </w:r>
    </w:p>
    <w:p w14:paraId="73B5CA2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61B77AF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6150610" cy="407670"/>
            <wp:effectExtent l="0" t="0" r="6350" b="3810"/>
            <wp:docPr id="9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50610" cy="407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0122F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Рисунок 5 - Краткая сводка результатов по ошибкам прогноза</w:t>
      </w:r>
    </w:p>
    <w:p w14:paraId="18EFA2C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709" w:firstLineChars="0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51931BB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6146800" cy="2787650"/>
            <wp:effectExtent l="0" t="0" r="10160" b="1270"/>
            <wp:docPr id="6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46800" cy="278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56C03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6151245" cy="1339215"/>
            <wp:effectExtent l="0" t="0" r="5715" b="1905"/>
            <wp:docPr id="7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51245" cy="1339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80FA1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Рисунок 6 - Подробная сводка результатов по ошибкам прогноза</w:t>
      </w:r>
    </w:p>
    <w:p w14:paraId="0F5E471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812155" cy="3682365"/>
            <wp:effectExtent l="0" t="0" r="9525" b="5715"/>
            <wp:docPr id="11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12155" cy="3682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6C7F2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Рисунок 7 - Выбор сохранения экспорт файла</w:t>
      </w:r>
    </w:p>
    <w:p w14:paraId="4F050DC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</w:p>
    <w:p w14:paraId="7EBC6D5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4359275" cy="3663315"/>
            <wp:effectExtent l="0" t="0" r="14605" b="9525"/>
            <wp:docPr id="12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59275" cy="3663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905F7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Рисунок 8 - Данные в экспорт файле</w:t>
      </w:r>
    </w:p>
    <w:p w14:paraId="73FED0D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</w:p>
    <w:p w14:paraId="7E895CF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/>
        <w:jc w:val="left"/>
        <w:textAlignment w:val="auto"/>
        <w:outlineLvl w:val="0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bookmarkStart w:id="15" w:name="_Toc10164"/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4.5 Подготовка релизных сборок для запуска</w:t>
      </w:r>
      <w:bookmarkEnd w:id="15"/>
    </w:p>
    <w:p w14:paraId="7371584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Для распространения приложения сформированы две релизные сборки: framework-dependent (требует установленного .NET 8 Runtime на целевой машине) и self-contained (содержит все необходимые компоненты платформы и не требует установки .NET). На рисунке 6.1 показана структура каталогов релизных сборок, а на рисунке 6.2 </w:t>
      </w:r>
      <w:r>
        <w:rPr>
          <w:rFonts w:hint="default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-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состав framework-dependent сборки.</w:t>
      </w:r>
    </w:p>
    <w:p w14:paraId="4A96B64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7488813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760720" cy="63373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324C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Рисунок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9</w:t>
      </w:r>
      <w:r>
        <w:rPr>
          <w:rFonts w:hint="default" w:ascii="Times New Roman" w:hAnsi="Times New Roman" w:eastAsia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-</w:t>
      </w:r>
      <w:r>
        <w:rPr>
          <w:rFonts w:hint="default" w:ascii="Times New Roman" w:hAnsi="Times New Roman" w:eastAsia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Структура каталогов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релиза</w:t>
      </w:r>
    </w:p>
    <w:p w14:paraId="075BC31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</w:p>
    <w:p w14:paraId="6F0074E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760720" cy="270891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09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F666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Рисунок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10 -</w:t>
      </w:r>
      <w:r>
        <w:rPr>
          <w:rFonts w:hint="default" w:ascii="Times New Roman" w:hAnsi="Times New Roman" w:eastAsia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Файлы релиза</w:t>
      </w:r>
    </w:p>
    <w:p w14:paraId="294EECF8">
      <w:pP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page"/>
      </w:r>
    </w:p>
    <w:p w14:paraId="5D45DEF3">
      <w:pPr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0"/>
        <w:jc w:val="center"/>
        <w:textAlignment w:val="auto"/>
        <w:outlineLvl w:val="0"/>
        <w:rPr>
          <w:rFonts w:hint="default" w:ascii="Times New Roman" w:hAnsi="Times New Roman" w:cs="Times New Roman" w:eastAsiaTheme="majorEastAsia"/>
          <w:b/>
          <w:bCs/>
          <w:color w:val="000000" w:themeColor="text1"/>
          <w:sz w:val="28"/>
          <w:szCs w:val="28"/>
          <w:lang w:val="ru-RU" w:eastAsia="en-US" w:bidi="ar-SA"/>
          <w14:textFill>
            <w14:solidFill>
              <w14:schemeClr w14:val="tx1"/>
            </w14:solidFill>
          </w14:textFill>
        </w:rPr>
      </w:pPr>
      <w:bookmarkStart w:id="16" w:name="_Toc19048"/>
      <w:r>
        <w:rPr>
          <w:rFonts w:hint="default" w:cs="Times New Roman" w:eastAsiaTheme="majorEastAsia"/>
          <w:b/>
          <w:bCs/>
          <w:color w:val="000000" w:themeColor="text1"/>
          <w:sz w:val="28"/>
          <w:szCs w:val="28"/>
          <w:lang w:val="ru-RU" w:eastAsia="en-US" w:bidi="ar-SA"/>
          <w14:textFill>
            <w14:solidFill>
              <w14:schemeClr w14:val="tx1"/>
            </w14:solidFill>
          </w14:textFill>
        </w:rPr>
        <w:t>5</w:t>
      </w:r>
      <w:r>
        <w:rPr>
          <w:rFonts w:hint="default" w:ascii="Times New Roman" w:hAnsi="Times New Roman" w:cs="Times New Roman" w:eastAsiaTheme="majorEastAsia"/>
          <w:b/>
          <w:bCs/>
          <w:color w:val="000000" w:themeColor="text1"/>
          <w:sz w:val="28"/>
          <w:szCs w:val="28"/>
          <w:lang w:val="ru-RU" w:eastAsia="en-US" w:bidi="ar-SA"/>
          <w14:textFill>
            <w14:solidFill>
              <w14:schemeClr w14:val="tx1"/>
            </w14:solidFill>
          </w14:textFill>
        </w:rPr>
        <w:t xml:space="preserve">  ПРОГНОЗИРОВАНИЕ 5 ВРЕМЕННЫХ РЯДОВ</w:t>
      </w:r>
      <w:bookmarkEnd w:id="16"/>
    </w:p>
    <w:p w14:paraId="70C7544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/>
        <w:jc w:val="left"/>
        <w:textAlignment w:val="auto"/>
        <w:outlineLvl w:val="0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bookmarkStart w:id="17" w:name="_Toc17520"/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5.1 Подготовка исходных данных</w:t>
      </w:r>
      <w:bookmarkEnd w:id="17"/>
    </w:p>
    <w:p w14:paraId="34DC131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Практическая часть работы началась с формирования набора временных рядов для последующего прогнозирования. В качестве источника данных использовалась информационная система Московской биржи (MOEX ISS API), позволяющая выгружать исторические котировки акций в формате CSV/XLS.</w:t>
      </w:r>
    </w:p>
    <w:p w14:paraId="1B499E3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Были выбраны пять ликвидных российских компаний:</w:t>
      </w:r>
    </w:p>
    <w:p w14:paraId="085E4C45">
      <w:pPr>
        <w:pStyle w:val="32"/>
        <w:keepNext w:val="0"/>
        <w:keepLines w:val="0"/>
        <w:widowControl/>
        <w:numPr>
          <w:ilvl w:val="0"/>
          <w:numId w:val="7"/>
        </w:numPr>
        <w:suppressLineNumbers w:val="0"/>
        <w:rPr>
          <w:rFonts w:hint="default" w:ascii="Times New Roman" w:hAnsi="Times New Roman" w:eastAsia="Times New Roman" w:cs="Times New Roman"/>
          <w:color w:val="000000" w:themeColor="text1"/>
          <w:kern w:val="0"/>
          <w:sz w:val="28"/>
          <w:szCs w:val="28"/>
          <w:lang w:val="en-US" w:eastAsia="en-US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color w:val="000000" w:themeColor="text1"/>
          <w:kern w:val="0"/>
          <w:sz w:val="28"/>
          <w:szCs w:val="28"/>
          <w:lang w:val="en-US" w:eastAsia="en-US" w:bidi="ar-SA"/>
          <w14:textFill>
            <w14:solidFill>
              <w14:schemeClr w14:val="tx1"/>
            </w14:solidFill>
          </w14:textFill>
        </w:rPr>
        <w:t xml:space="preserve">GAZP </w:t>
      </w:r>
      <w:r>
        <w:rPr>
          <w:rFonts w:hint="default" w:eastAsia="Times New Roman" w:cs="Times New Roman"/>
          <w:color w:val="000000" w:themeColor="text1"/>
          <w:kern w:val="0"/>
          <w:sz w:val="28"/>
          <w:szCs w:val="28"/>
          <w:lang w:val="en-US" w:eastAsia="en-US" w:bidi="ar-SA"/>
          <w14:textFill>
            <w14:solidFill>
              <w14:schemeClr w14:val="tx1"/>
            </w14:solidFill>
          </w14:textFill>
        </w:rPr>
        <w:t>-</w:t>
      </w:r>
      <w:r>
        <w:rPr>
          <w:rFonts w:hint="default" w:ascii="Times New Roman" w:hAnsi="Times New Roman" w:eastAsia="Times New Roman" w:cs="Times New Roman"/>
          <w:color w:val="000000" w:themeColor="text1"/>
          <w:kern w:val="0"/>
          <w:sz w:val="28"/>
          <w:szCs w:val="28"/>
          <w:lang w:val="en-US" w:eastAsia="en-US" w:bidi="ar-SA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eastAsia="Times New Roman" w:cs="Times New Roman"/>
          <w:color w:val="000000" w:themeColor="text1"/>
          <w:kern w:val="0"/>
          <w:sz w:val="28"/>
          <w:szCs w:val="28"/>
          <w:lang w:val="en-US" w:eastAsia="en-US" w:bidi="ar-SA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eastAsia="Times New Roman" w:cs="Times New Roman"/>
          <w:color w:val="000000" w:themeColor="text1"/>
          <w:kern w:val="0"/>
          <w:sz w:val="28"/>
          <w:szCs w:val="28"/>
          <w:lang w:val="ru-RU" w:eastAsia="en-US" w:bidi="ar-SA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color w:val="000000" w:themeColor="text1"/>
          <w:kern w:val="0"/>
          <w:sz w:val="28"/>
          <w:szCs w:val="28"/>
          <w:lang w:val="en-US" w:eastAsia="en-US" w:bidi="ar-SA"/>
          <w14:textFill>
            <w14:solidFill>
              <w14:schemeClr w14:val="tx1"/>
            </w14:solidFill>
          </w14:textFill>
        </w:rPr>
        <w:t xml:space="preserve">ПАО </w:t>
      </w:r>
      <w:r>
        <w:rPr>
          <w:rFonts w:hint="default" w:eastAsia="Times New Roman" w:cs="Times New Roman"/>
          <w:color w:val="000000" w:themeColor="text1"/>
          <w:kern w:val="0"/>
          <w:sz w:val="28"/>
          <w:szCs w:val="28"/>
          <w:lang w:val="en-US" w:eastAsia="en-US" w:bidi="ar-SA"/>
          <w14:textFill>
            <w14:solidFill>
              <w14:schemeClr w14:val="tx1"/>
            </w14:solidFill>
          </w14:textFill>
        </w:rPr>
        <w:t>“</w:t>
      </w:r>
      <w:r>
        <w:rPr>
          <w:rFonts w:hint="default" w:ascii="Times New Roman" w:hAnsi="Times New Roman" w:eastAsia="Times New Roman" w:cs="Times New Roman"/>
          <w:color w:val="000000" w:themeColor="text1"/>
          <w:kern w:val="0"/>
          <w:sz w:val="28"/>
          <w:szCs w:val="28"/>
          <w:lang w:val="en-US" w:eastAsia="en-US" w:bidi="ar-SA"/>
          <w14:textFill>
            <w14:solidFill>
              <w14:schemeClr w14:val="tx1"/>
            </w14:solidFill>
          </w14:textFill>
        </w:rPr>
        <w:t>Газпром</w:t>
      </w:r>
      <w:r>
        <w:rPr>
          <w:rFonts w:hint="default" w:eastAsia="Times New Roman" w:cs="Times New Roman"/>
          <w:color w:val="000000" w:themeColor="text1"/>
          <w:kern w:val="0"/>
          <w:sz w:val="28"/>
          <w:szCs w:val="28"/>
          <w:lang w:val="en-US" w:eastAsia="en-US" w:bidi="ar-SA"/>
          <w14:textFill>
            <w14:solidFill>
              <w14:schemeClr w14:val="tx1"/>
            </w14:solidFill>
          </w14:textFill>
        </w:rPr>
        <w:t>”</w:t>
      </w:r>
      <w:r>
        <w:rPr>
          <w:rFonts w:hint="default" w:ascii="Times New Roman" w:hAnsi="Times New Roman" w:eastAsia="Times New Roman" w:cs="Times New Roman"/>
          <w:color w:val="000000" w:themeColor="text1"/>
          <w:kern w:val="0"/>
          <w:sz w:val="28"/>
          <w:szCs w:val="28"/>
          <w:lang w:val="en-US" w:eastAsia="en-US" w:bidi="ar-SA"/>
          <w14:textFill>
            <w14:solidFill>
              <w14:schemeClr w14:val="tx1"/>
            </w14:solidFill>
          </w14:textFill>
        </w:rPr>
        <w:t xml:space="preserve"> (газовая отрасль)</w:t>
      </w:r>
    </w:p>
    <w:p w14:paraId="129DE1C7">
      <w:pPr>
        <w:pStyle w:val="32"/>
        <w:keepNext w:val="0"/>
        <w:keepLines w:val="0"/>
        <w:widowControl/>
        <w:numPr>
          <w:ilvl w:val="0"/>
          <w:numId w:val="7"/>
        </w:numPr>
        <w:suppressLineNumbers w:val="0"/>
        <w:ind w:left="0" w:leftChars="0" w:firstLine="0" w:firstLineChars="0"/>
        <w:rPr>
          <w:rFonts w:hint="default" w:ascii="Times New Roman" w:hAnsi="Times New Roman" w:eastAsia="Times New Roman" w:cs="Times New Roman"/>
          <w:color w:val="000000" w:themeColor="text1"/>
          <w:kern w:val="0"/>
          <w:sz w:val="28"/>
          <w:szCs w:val="28"/>
          <w:lang w:val="en-US" w:eastAsia="en-US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color w:val="000000" w:themeColor="text1"/>
          <w:kern w:val="0"/>
          <w:sz w:val="28"/>
          <w:szCs w:val="28"/>
          <w:lang w:val="en-US" w:eastAsia="en-US" w:bidi="ar-SA"/>
          <w14:textFill>
            <w14:solidFill>
              <w14:schemeClr w14:val="tx1"/>
            </w14:solidFill>
          </w14:textFill>
        </w:rPr>
        <w:t xml:space="preserve">GMKN </w:t>
      </w:r>
      <w:r>
        <w:rPr>
          <w:rFonts w:hint="default" w:eastAsia="Times New Roman" w:cs="Times New Roman"/>
          <w:color w:val="000000" w:themeColor="text1"/>
          <w:kern w:val="0"/>
          <w:sz w:val="28"/>
          <w:szCs w:val="28"/>
          <w:lang w:val="en-US" w:eastAsia="en-US" w:bidi="ar-SA"/>
          <w14:textFill>
            <w14:solidFill>
              <w14:schemeClr w14:val="tx1"/>
            </w14:solidFill>
          </w14:textFill>
        </w:rPr>
        <w:t>-</w:t>
      </w:r>
      <w:r>
        <w:rPr>
          <w:rFonts w:hint="default" w:ascii="Times New Roman" w:hAnsi="Times New Roman" w:eastAsia="Times New Roman" w:cs="Times New Roman"/>
          <w:color w:val="000000" w:themeColor="text1"/>
          <w:kern w:val="0"/>
          <w:sz w:val="28"/>
          <w:szCs w:val="28"/>
          <w:lang w:val="en-US" w:eastAsia="en-US" w:bidi="ar-SA"/>
          <w14:textFill>
            <w14:solidFill>
              <w14:schemeClr w14:val="tx1"/>
            </w14:solidFill>
          </w14:textFill>
        </w:rPr>
        <w:t xml:space="preserve"> ПАО «ГМК </w:t>
      </w:r>
      <w:r>
        <w:rPr>
          <w:rFonts w:hint="default" w:eastAsia="Times New Roman" w:cs="Times New Roman"/>
          <w:color w:val="000000" w:themeColor="text1"/>
          <w:kern w:val="0"/>
          <w:sz w:val="28"/>
          <w:szCs w:val="28"/>
          <w:lang w:val="en-US" w:eastAsia="en-US" w:bidi="ar-SA"/>
          <w14:textFill>
            <w14:solidFill>
              <w14:schemeClr w14:val="tx1"/>
            </w14:solidFill>
          </w14:textFill>
        </w:rPr>
        <w:t>“</w:t>
      </w:r>
      <w:r>
        <w:rPr>
          <w:rFonts w:hint="default" w:ascii="Times New Roman" w:hAnsi="Times New Roman" w:eastAsia="Times New Roman" w:cs="Times New Roman"/>
          <w:color w:val="000000" w:themeColor="text1"/>
          <w:kern w:val="0"/>
          <w:sz w:val="28"/>
          <w:szCs w:val="28"/>
          <w:lang w:val="en-US" w:eastAsia="en-US" w:bidi="ar-SA"/>
          <w14:textFill>
            <w14:solidFill>
              <w14:schemeClr w14:val="tx1"/>
            </w14:solidFill>
          </w14:textFill>
        </w:rPr>
        <w:t>Норильский никель</w:t>
      </w:r>
      <w:r>
        <w:rPr>
          <w:rFonts w:hint="default" w:eastAsia="Times New Roman" w:cs="Times New Roman"/>
          <w:color w:val="000000" w:themeColor="text1"/>
          <w:kern w:val="0"/>
          <w:sz w:val="28"/>
          <w:szCs w:val="28"/>
          <w:lang w:val="en-US" w:eastAsia="en-US" w:bidi="ar-SA"/>
          <w14:textFill>
            <w14:solidFill>
              <w14:schemeClr w14:val="tx1"/>
            </w14:solidFill>
          </w14:textFill>
        </w:rPr>
        <w:t>”</w:t>
      </w:r>
      <w:r>
        <w:rPr>
          <w:rFonts w:hint="default" w:ascii="Times New Roman" w:hAnsi="Times New Roman" w:eastAsia="Times New Roman" w:cs="Times New Roman"/>
          <w:color w:val="000000" w:themeColor="text1"/>
          <w:kern w:val="0"/>
          <w:sz w:val="28"/>
          <w:szCs w:val="28"/>
          <w:lang w:val="en-US" w:eastAsia="en-US" w:bidi="ar-SA"/>
          <w14:textFill>
            <w14:solidFill>
              <w14:schemeClr w14:val="tx1"/>
            </w14:solidFill>
          </w14:textFill>
        </w:rPr>
        <w:t xml:space="preserve"> (цветная металлургия)</w:t>
      </w:r>
    </w:p>
    <w:p w14:paraId="4F3CF0F9">
      <w:pPr>
        <w:pStyle w:val="32"/>
        <w:keepNext w:val="0"/>
        <w:keepLines w:val="0"/>
        <w:widowControl/>
        <w:numPr>
          <w:ilvl w:val="0"/>
          <w:numId w:val="7"/>
        </w:numPr>
        <w:suppressLineNumbers w:val="0"/>
        <w:ind w:left="0" w:leftChars="0" w:firstLine="0" w:firstLineChars="0"/>
        <w:rPr>
          <w:rFonts w:hint="default" w:ascii="Times New Roman" w:hAnsi="Times New Roman" w:eastAsia="Times New Roman" w:cs="Times New Roman"/>
          <w:color w:val="000000" w:themeColor="text1"/>
          <w:kern w:val="0"/>
          <w:sz w:val="28"/>
          <w:szCs w:val="28"/>
          <w:lang w:val="en-US" w:eastAsia="en-US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color w:val="000000" w:themeColor="text1"/>
          <w:kern w:val="0"/>
          <w:sz w:val="28"/>
          <w:szCs w:val="28"/>
          <w:lang w:val="en-US" w:eastAsia="en-US" w:bidi="ar-SA"/>
          <w14:textFill>
            <w14:solidFill>
              <w14:schemeClr w14:val="tx1"/>
            </w14:solidFill>
          </w14:textFill>
        </w:rPr>
        <w:t xml:space="preserve">LKOH </w:t>
      </w:r>
      <w:r>
        <w:rPr>
          <w:rFonts w:hint="default" w:eastAsia="Times New Roman" w:cs="Times New Roman"/>
          <w:color w:val="000000" w:themeColor="text1"/>
          <w:kern w:val="0"/>
          <w:sz w:val="28"/>
          <w:szCs w:val="28"/>
          <w:lang w:val="en-US" w:eastAsia="en-US" w:bidi="ar-SA"/>
          <w14:textFill>
            <w14:solidFill>
              <w14:schemeClr w14:val="tx1"/>
            </w14:solidFill>
          </w14:textFill>
        </w:rPr>
        <w:t>-</w:t>
      </w:r>
      <w:r>
        <w:rPr>
          <w:rFonts w:hint="default" w:ascii="Times New Roman" w:hAnsi="Times New Roman" w:eastAsia="Times New Roman" w:cs="Times New Roman"/>
          <w:color w:val="000000" w:themeColor="text1"/>
          <w:kern w:val="0"/>
          <w:sz w:val="28"/>
          <w:szCs w:val="28"/>
          <w:lang w:val="en-US" w:eastAsia="en-US" w:bidi="ar-SA"/>
          <w14:textFill>
            <w14:solidFill>
              <w14:schemeClr w14:val="tx1"/>
            </w14:solidFill>
          </w14:textFill>
        </w:rPr>
        <w:t xml:space="preserve"> ПАО </w:t>
      </w:r>
      <w:r>
        <w:rPr>
          <w:rFonts w:hint="default" w:eastAsia="Times New Roman" w:cs="Times New Roman"/>
          <w:color w:val="000000" w:themeColor="text1"/>
          <w:kern w:val="0"/>
          <w:sz w:val="28"/>
          <w:szCs w:val="28"/>
          <w:lang w:val="en-US" w:eastAsia="en-US" w:bidi="ar-SA"/>
          <w14:textFill>
            <w14:solidFill>
              <w14:schemeClr w14:val="tx1"/>
            </w14:solidFill>
          </w14:textFill>
        </w:rPr>
        <w:t>“</w:t>
      </w:r>
      <w:r>
        <w:rPr>
          <w:rFonts w:hint="default" w:ascii="Times New Roman" w:hAnsi="Times New Roman" w:eastAsia="Times New Roman" w:cs="Times New Roman"/>
          <w:color w:val="000000" w:themeColor="text1"/>
          <w:kern w:val="0"/>
          <w:sz w:val="28"/>
          <w:szCs w:val="28"/>
          <w:lang w:val="en-US" w:eastAsia="en-US" w:bidi="ar-SA"/>
          <w14:textFill>
            <w14:solidFill>
              <w14:schemeClr w14:val="tx1"/>
            </w14:solidFill>
          </w14:textFill>
        </w:rPr>
        <w:t>ЛУКОЙЛ</w:t>
      </w:r>
      <w:r>
        <w:rPr>
          <w:rFonts w:hint="default" w:eastAsia="Times New Roman" w:cs="Times New Roman"/>
          <w:color w:val="000000" w:themeColor="text1"/>
          <w:kern w:val="0"/>
          <w:sz w:val="28"/>
          <w:szCs w:val="28"/>
          <w:lang w:val="en-US" w:eastAsia="en-US" w:bidi="ar-SA"/>
          <w14:textFill>
            <w14:solidFill>
              <w14:schemeClr w14:val="tx1"/>
            </w14:solidFill>
          </w14:textFill>
        </w:rPr>
        <w:t>”</w:t>
      </w:r>
      <w:r>
        <w:rPr>
          <w:rFonts w:hint="default" w:ascii="Times New Roman" w:hAnsi="Times New Roman" w:eastAsia="Times New Roman" w:cs="Times New Roman"/>
          <w:color w:val="000000" w:themeColor="text1"/>
          <w:kern w:val="0"/>
          <w:sz w:val="28"/>
          <w:szCs w:val="28"/>
          <w:lang w:val="en-US" w:eastAsia="en-US" w:bidi="ar-SA"/>
          <w14:textFill>
            <w14:solidFill>
              <w14:schemeClr w14:val="tx1"/>
            </w14:solidFill>
          </w14:textFill>
        </w:rPr>
        <w:t xml:space="preserve"> (нефтегазовая отрасль)</w:t>
      </w:r>
    </w:p>
    <w:p w14:paraId="1639C32A">
      <w:pPr>
        <w:pStyle w:val="32"/>
        <w:keepNext w:val="0"/>
        <w:keepLines w:val="0"/>
        <w:widowControl/>
        <w:numPr>
          <w:ilvl w:val="0"/>
          <w:numId w:val="7"/>
        </w:numPr>
        <w:suppressLineNumbers w:val="0"/>
        <w:ind w:left="0" w:leftChars="0" w:firstLine="0" w:firstLineChars="0"/>
        <w:rPr>
          <w:rFonts w:hint="default" w:ascii="Times New Roman" w:hAnsi="Times New Roman" w:eastAsia="Times New Roman" w:cs="Times New Roman"/>
          <w:color w:val="000000" w:themeColor="text1"/>
          <w:kern w:val="0"/>
          <w:sz w:val="28"/>
          <w:szCs w:val="28"/>
          <w:lang w:val="en-US" w:eastAsia="en-US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color w:val="000000" w:themeColor="text1"/>
          <w:kern w:val="0"/>
          <w:sz w:val="28"/>
          <w:szCs w:val="28"/>
          <w:lang w:val="en-US" w:eastAsia="en-US" w:bidi="ar-SA"/>
          <w14:textFill>
            <w14:solidFill>
              <w14:schemeClr w14:val="tx1"/>
            </w14:solidFill>
          </w14:textFill>
        </w:rPr>
        <w:t xml:space="preserve">ROSN </w:t>
      </w:r>
      <w:r>
        <w:rPr>
          <w:rFonts w:hint="default" w:eastAsia="Times New Roman" w:cs="Times New Roman"/>
          <w:color w:val="000000" w:themeColor="text1"/>
          <w:kern w:val="0"/>
          <w:sz w:val="28"/>
          <w:szCs w:val="28"/>
          <w:lang w:val="en-US" w:eastAsia="en-US" w:bidi="ar-SA"/>
          <w14:textFill>
            <w14:solidFill>
              <w14:schemeClr w14:val="tx1"/>
            </w14:solidFill>
          </w14:textFill>
        </w:rPr>
        <w:t xml:space="preserve">- </w:t>
      </w:r>
      <w:r>
        <w:rPr>
          <w:rFonts w:hint="default" w:ascii="Times New Roman" w:hAnsi="Times New Roman" w:eastAsia="Times New Roman" w:cs="Times New Roman"/>
          <w:color w:val="000000" w:themeColor="text1"/>
          <w:kern w:val="0"/>
          <w:sz w:val="28"/>
          <w:szCs w:val="28"/>
          <w:lang w:val="en-US" w:eastAsia="en-US" w:bidi="ar-SA"/>
          <w14:textFill>
            <w14:solidFill>
              <w14:schemeClr w14:val="tx1"/>
            </w14:solidFill>
          </w14:textFill>
        </w:rPr>
        <w:t xml:space="preserve">ПАО </w:t>
      </w:r>
      <w:r>
        <w:rPr>
          <w:rFonts w:hint="default" w:eastAsia="Times New Roman" w:cs="Times New Roman"/>
          <w:color w:val="000000" w:themeColor="text1"/>
          <w:kern w:val="0"/>
          <w:sz w:val="28"/>
          <w:szCs w:val="28"/>
          <w:lang w:val="en-US" w:eastAsia="en-US" w:bidi="ar-SA"/>
          <w14:textFill>
            <w14:solidFill>
              <w14:schemeClr w14:val="tx1"/>
            </w14:solidFill>
          </w14:textFill>
        </w:rPr>
        <w:t>“</w:t>
      </w:r>
      <w:r>
        <w:rPr>
          <w:rFonts w:hint="default" w:ascii="Times New Roman" w:hAnsi="Times New Roman" w:eastAsia="Times New Roman" w:cs="Times New Roman"/>
          <w:color w:val="000000" w:themeColor="text1"/>
          <w:kern w:val="0"/>
          <w:sz w:val="28"/>
          <w:szCs w:val="28"/>
          <w:lang w:val="en-US" w:eastAsia="en-US" w:bidi="ar-SA"/>
          <w14:textFill>
            <w14:solidFill>
              <w14:schemeClr w14:val="tx1"/>
            </w14:solidFill>
          </w14:textFill>
        </w:rPr>
        <w:t>Роснефть</w:t>
      </w:r>
      <w:r>
        <w:rPr>
          <w:rFonts w:hint="default" w:eastAsia="Times New Roman" w:cs="Times New Roman"/>
          <w:color w:val="000000" w:themeColor="text1"/>
          <w:kern w:val="0"/>
          <w:sz w:val="28"/>
          <w:szCs w:val="28"/>
          <w:lang w:val="en-US" w:eastAsia="en-US" w:bidi="ar-SA"/>
          <w14:textFill>
            <w14:solidFill>
              <w14:schemeClr w14:val="tx1"/>
            </w14:solidFill>
          </w14:textFill>
        </w:rPr>
        <w:t>”</w:t>
      </w:r>
      <w:r>
        <w:rPr>
          <w:rFonts w:hint="default" w:ascii="Times New Roman" w:hAnsi="Times New Roman" w:eastAsia="Times New Roman" w:cs="Times New Roman"/>
          <w:color w:val="000000" w:themeColor="text1"/>
          <w:kern w:val="0"/>
          <w:sz w:val="28"/>
          <w:szCs w:val="28"/>
          <w:lang w:val="en-US" w:eastAsia="en-US" w:bidi="ar-SA"/>
          <w14:textFill>
            <w14:solidFill>
              <w14:schemeClr w14:val="tx1"/>
            </w14:solidFill>
          </w14:textFill>
        </w:rPr>
        <w:t xml:space="preserve"> (нефтяная отрасль)</w:t>
      </w:r>
    </w:p>
    <w:p w14:paraId="39E22D76">
      <w:pPr>
        <w:pStyle w:val="32"/>
        <w:keepNext w:val="0"/>
        <w:keepLines w:val="0"/>
        <w:widowControl/>
        <w:numPr>
          <w:ilvl w:val="0"/>
          <w:numId w:val="7"/>
        </w:numPr>
        <w:suppressLineNumbers w:val="0"/>
        <w:ind w:left="0" w:leftChars="0" w:firstLine="0" w:firstLineChars="0"/>
        <w:rPr>
          <w:rFonts w:hint="default" w:ascii="Times New Roman" w:hAnsi="Times New Roman" w:eastAsia="Times New Roman" w:cs="Times New Roman"/>
          <w:color w:val="000000" w:themeColor="text1"/>
          <w:kern w:val="0"/>
          <w:sz w:val="28"/>
          <w:szCs w:val="28"/>
          <w:lang w:val="en-US" w:eastAsia="en-US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color w:val="000000" w:themeColor="text1"/>
          <w:kern w:val="0"/>
          <w:sz w:val="28"/>
          <w:szCs w:val="28"/>
          <w:lang w:val="en-US" w:eastAsia="en-US" w:bidi="ar-SA"/>
          <w14:textFill>
            <w14:solidFill>
              <w14:schemeClr w14:val="tx1"/>
            </w14:solidFill>
          </w14:textFill>
        </w:rPr>
        <w:t xml:space="preserve">SBER </w:t>
      </w:r>
      <w:r>
        <w:rPr>
          <w:rFonts w:hint="default" w:eastAsia="Times New Roman" w:cs="Times New Roman"/>
          <w:color w:val="000000" w:themeColor="text1"/>
          <w:kern w:val="0"/>
          <w:sz w:val="28"/>
          <w:szCs w:val="28"/>
          <w:lang w:val="en-US" w:eastAsia="en-US" w:bidi="ar-SA"/>
          <w14:textFill>
            <w14:solidFill>
              <w14:schemeClr w14:val="tx1"/>
            </w14:solidFill>
          </w14:textFill>
        </w:rPr>
        <w:t>-</w:t>
      </w:r>
      <w:r>
        <w:rPr>
          <w:rFonts w:hint="default" w:ascii="Times New Roman" w:hAnsi="Times New Roman" w:eastAsia="Times New Roman" w:cs="Times New Roman"/>
          <w:color w:val="000000" w:themeColor="text1"/>
          <w:kern w:val="0"/>
          <w:sz w:val="28"/>
          <w:szCs w:val="28"/>
          <w:lang w:val="en-US" w:eastAsia="en-US" w:bidi="ar-SA"/>
          <w14:textFill>
            <w14:solidFill>
              <w14:schemeClr w14:val="tx1"/>
            </w14:solidFill>
          </w14:textFill>
        </w:rPr>
        <w:t xml:space="preserve"> ПАО </w:t>
      </w:r>
      <w:r>
        <w:rPr>
          <w:rFonts w:hint="default" w:eastAsia="Times New Roman" w:cs="Times New Roman"/>
          <w:color w:val="000000" w:themeColor="text1"/>
          <w:kern w:val="0"/>
          <w:sz w:val="28"/>
          <w:szCs w:val="28"/>
          <w:lang w:val="en-US" w:eastAsia="en-US" w:bidi="ar-SA"/>
          <w14:textFill>
            <w14:solidFill>
              <w14:schemeClr w14:val="tx1"/>
            </w14:solidFill>
          </w14:textFill>
        </w:rPr>
        <w:t>“</w:t>
      </w:r>
      <w:r>
        <w:rPr>
          <w:rFonts w:hint="default" w:ascii="Times New Roman" w:hAnsi="Times New Roman" w:eastAsia="Times New Roman" w:cs="Times New Roman"/>
          <w:color w:val="000000" w:themeColor="text1"/>
          <w:kern w:val="0"/>
          <w:sz w:val="28"/>
          <w:szCs w:val="28"/>
          <w:lang w:val="en-US" w:eastAsia="en-US" w:bidi="ar-SA"/>
          <w14:textFill>
            <w14:solidFill>
              <w14:schemeClr w14:val="tx1"/>
            </w14:solidFill>
          </w14:textFill>
        </w:rPr>
        <w:t>Сбербанк России</w:t>
      </w:r>
      <w:r>
        <w:rPr>
          <w:rFonts w:hint="default" w:eastAsia="Times New Roman" w:cs="Times New Roman"/>
          <w:color w:val="000000" w:themeColor="text1"/>
          <w:kern w:val="0"/>
          <w:sz w:val="28"/>
          <w:szCs w:val="28"/>
          <w:lang w:val="en-US" w:eastAsia="en-US" w:bidi="ar-SA"/>
          <w14:textFill>
            <w14:solidFill>
              <w14:schemeClr w14:val="tx1"/>
            </w14:solidFill>
          </w14:textFill>
        </w:rPr>
        <w:t>”</w:t>
      </w:r>
      <w:r>
        <w:rPr>
          <w:rFonts w:hint="default" w:ascii="Times New Roman" w:hAnsi="Times New Roman" w:eastAsia="Times New Roman" w:cs="Times New Roman"/>
          <w:color w:val="000000" w:themeColor="text1"/>
          <w:kern w:val="0"/>
          <w:sz w:val="28"/>
          <w:szCs w:val="28"/>
          <w:lang w:val="en-US" w:eastAsia="en-US" w:bidi="ar-SA"/>
          <w14:textFill>
            <w14:solidFill>
              <w14:schemeClr w14:val="tx1"/>
            </w14:solidFill>
          </w14:textFill>
        </w:rPr>
        <w:t xml:space="preserve"> (финансовый сектор)</w:t>
      </w:r>
    </w:p>
    <w:p w14:paraId="32A67A0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Для каждой компании был сформирован временной ряд цен закрытия за длительный период наблюдений.</w:t>
      </w:r>
    </w:p>
    <w:p w14:paraId="055864D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Использованный диапазон дат представлен в таблице</w:t>
      </w:r>
      <w:r>
        <w:rPr>
          <w:rFonts w:hint="default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:</w:t>
      </w:r>
    </w:p>
    <w:p w14:paraId="15AED8A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/>
        <w:jc w:val="both"/>
        <w:textAlignment w:val="auto"/>
        <w:rPr>
          <w:rFonts w:hint="default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</w:p>
    <w:tbl>
      <w:tblPr>
        <w:tblStyle w:val="12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31"/>
        <w:gridCol w:w="8481"/>
      </w:tblGrid>
      <w:tr w14:paraId="4B56DE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082CE9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0"/>
              <w:jc w:val="both"/>
              <w:textAlignment w:val="auto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Ряд</w:t>
            </w:r>
          </w:p>
        </w:tc>
        <w:tc>
          <w:tcPr>
            <w:tcW w:w="8436" w:type="dxa"/>
            <w:shd w:val="clear" w:color="auto" w:fill="auto"/>
            <w:vAlign w:val="center"/>
          </w:tcPr>
          <w:p w14:paraId="49FEFDC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0"/>
              <w:jc w:val="both"/>
              <w:textAlignment w:val="auto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Диапазон дат</w:t>
            </w:r>
          </w:p>
        </w:tc>
      </w:tr>
      <w:tr w14:paraId="2318B4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8949B5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0"/>
              <w:jc w:val="both"/>
              <w:textAlignment w:val="auto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GAZP</w:t>
            </w:r>
          </w:p>
        </w:tc>
        <w:tc>
          <w:tcPr>
            <w:tcW w:w="8436" w:type="dxa"/>
            <w:shd w:val="clear" w:color="auto" w:fill="auto"/>
            <w:vAlign w:val="center"/>
          </w:tcPr>
          <w:p w14:paraId="426397D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0"/>
              <w:jc w:val="both"/>
              <w:textAlignment w:val="auto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24.02.2016 — 20.02.2026</w:t>
            </w:r>
          </w:p>
        </w:tc>
      </w:tr>
      <w:tr w14:paraId="548B75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26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C29961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0"/>
              <w:jc w:val="both"/>
              <w:textAlignment w:val="auto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GMKN</w:t>
            </w:r>
          </w:p>
        </w:tc>
        <w:tc>
          <w:tcPr>
            <w:tcW w:w="8436" w:type="dxa"/>
            <w:shd w:val="clear" w:color="auto" w:fill="auto"/>
            <w:vAlign w:val="center"/>
          </w:tcPr>
          <w:p w14:paraId="24FD191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0"/>
              <w:jc w:val="both"/>
              <w:textAlignment w:val="auto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24.02.2016 — 01.04.2024 (до дробления акций)</w:t>
            </w:r>
          </w:p>
        </w:tc>
      </w:tr>
      <w:tr w14:paraId="45E54F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5E825D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0"/>
              <w:jc w:val="both"/>
              <w:textAlignment w:val="auto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LKOH</w:t>
            </w:r>
          </w:p>
        </w:tc>
        <w:tc>
          <w:tcPr>
            <w:tcW w:w="8436" w:type="dxa"/>
            <w:shd w:val="clear" w:color="auto" w:fill="auto"/>
            <w:vAlign w:val="center"/>
          </w:tcPr>
          <w:p w14:paraId="414B442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0"/>
              <w:jc w:val="both"/>
              <w:textAlignment w:val="auto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24.02.2016 — 20.02.2026</w:t>
            </w:r>
          </w:p>
        </w:tc>
      </w:tr>
      <w:tr w14:paraId="1C8E6A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5C49EF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0"/>
              <w:jc w:val="both"/>
              <w:textAlignment w:val="auto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ROSN</w:t>
            </w:r>
          </w:p>
        </w:tc>
        <w:tc>
          <w:tcPr>
            <w:tcW w:w="8436" w:type="dxa"/>
            <w:shd w:val="clear" w:color="auto" w:fill="auto"/>
            <w:vAlign w:val="center"/>
          </w:tcPr>
          <w:p w14:paraId="12F1638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0"/>
              <w:jc w:val="both"/>
              <w:textAlignment w:val="auto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24.02.2016 — 20.02.2026</w:t>
            </w:r>
          </w:p>
        </w:tc>
      </w:tr>
      <w:tr w14:paraId="33D65C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EAD59C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0"/>
              <w:jc w:val="both"/>
              <w:textAlignment w:val="auto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SBER</w:t>
            </w:r>
          </w:p>
        </w:tc>
        <w:tc>
          <w:tcPr>
            <w:tcW w:w="8436" w:type="dxa"/>
            <w:shd w:val="clear" w:color="auto" w:fill="auto"/>
            <w:vAlign w:val="center"/>
          </w:tcPr>
          <w:p w14:paraId="17BF71C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0"/>
              <w:jc w:val="both"/>
              <w:textAlignment w:val="auto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24.02.2016 — 20.02.2026</w:t>
            </w:r>
          </w:p>
        </w:tc>
      </w:tr>
    </w:tbl>
    <w:p w14:paraId="232AA20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0" w:firstLineChars="0"/>
        <w:jc w:val="center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Таблица 1 -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Диапазон дат для расчётов</w:t>
      </w:r>
    </w:p>
    <w:p w14:paraId="22F3374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5A059E9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Для GMKN период был ограничен датой дробления акций, чтобы избежать структурного разрыва ряда и некорректного влияния на модель.</w:t>
      </w:r>
    </w:p>
    <w:p w14:paraId="463FD6B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После выгрузки данные были сохранены в отдельных файлах и загружены в разработанное программное приложение.</w:t>
      </w:r>
    </w:p>
    <w:p w14:paraId="386CF60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/>
        <w:jc w:val="left"/>
        <w:textAlignment w:val="auto"/>
        <w:outlineLvl w:val="0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bookmarkStart w:id="18" w:name="_Toc13664"/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5.2 Проведение прогнозирования</w:t>
      </w:r>
      <w:bookmarkEnd w:id="18"/>
    </w:p>
    <w:p w14:paraId="0A5BF43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Далее для каждого временного ряда выполнялись одинаковые этапы обработки:</w:t>
      </w:r>
    </w:p>
    <w:p w14:paraId="48863FF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01A3F9A8">
      <w:pPr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Загрузка исходного файла в программу</w:t>
      </w:r>
    </w:p>
    <w:p w14:paraId="6AE51742">
      <w:pPr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709" w:firstLineChars="0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Расчёт доходностей </w:t>
      </w:r>
      <w:r>
        <w:rPr>
          <w:rFonts w:hint="default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r</w:t>
      </w:r>
      <w:r>
        <w:rPr>
          <w:rFonts w:hint="default" w:cs="Times New Roman"/>
          <w:color w:val="000000" w:themeColor="text1"/>
          <w:sz w:val="28"/>
          <w:szCs w:val="28"/>
          <w:vertAlign w:val="subscript"/>
          <w:lang w:val="en-US"/>
          <w14:textFill>
            <w14:solidFill>
              <w14:schemeClr w14:val="tx1"/>
            </w14:solidFill>
          </w14:textFill>
        </w:rPr>
        <w:t>t</w:t>
      </w:r>
    </w:p>
    <w:p w14:paraId="5D6D323D">
      <w:pPr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709" w:firstLineChars="0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Дискретизация доходностей в трёхсостояний ряд</w:t>
      </w:r>
      <w:r>
        <w:rPr>
          <w:rFonts w:hint="default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st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∈</w:t>
      </w:r>
      <w:r>
        <w:rPr>
          <w:rFonts w:hint="default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 {1, 0, -1}</w:t>
      </w:r>
    </w:p>
    <w:p w14:paraId="77FFF6D8">
      <w:pPr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709" w:firstLineChars="0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Формирование шаблонов длины </w:t>
      </w:r>
      <w:r>
        <w:rPr>
          <w:rFonts w:hint="default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m</w:t>
      </w:r>
    </w:p>
    <w:p w14:paraId="39D17875">
      <w:pPr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709" w:firstLineChars="0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Оценка вероятностей переходов с использованием Лапласовского сглаживания.</w:t>
      </w:r>
    </w:p>
    <w:p w14:paraId="1FCA2EFA">
      <w:pPr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709" w:firstLineChars="0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Подбор оптимальной глубины памяти mmm.</w:t>
      </w:r>
    </w:p>
    <w:p w14:paraId="486503CC">
      <w:pPr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709" w:firstLineChars="0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Расчёт прогнозной цены.</w:t>
      </w:r>
    </w:p>
    <w:p w14:paraId="4093EF52">
      <w:pPr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709" w:firstLineChars="0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Вычисление метрик точности.</w:t>
      </w:r>
    </w:p>
    <w:p w14:paraId="5398620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4146044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Для каждого ряда программа автоматически перебирала различные значения глубины памяти и определяла то значение m, при котором ошибка прогнозирования была минимальной.</w:t>
      </w:r>
    </w:p>
    <w:p w14:paraId="2F25EB3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После выполнения расчётов результаты сохранялись в отдельные экспортные файлы:</w:t>
      </w:r>
    </w:p>
    <w:p w14:paraId="27CACC0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703D43EE">
      <w:pPr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GAZP_export</w:t>
      </w:r>
    </w:p>
    <w:p w14:paraId="044AE9DD">
      <w:pPr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709" w:firstLineChars="0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GMKN_export</w:t>
      </w:r>
    </w:p>
    <w:p w14:paraId="55242A73">
      <w:pPr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709" w:firstLineChars="0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LKOH_expor</w:t>
      </w:r>
      <w:r>
        <w:rPr>
          <w:rFonts w:hint="default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t</w:t>
      </w:r>
    </w:p>
    <w:p w14:paraId="0319B801">
      <w:pPr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709" w:firstLineChars="0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ROSN_export</w:t>
      </w:r>
    </w:p>
    <w:p w14:paraId="5DCEBD32">
      <w:pPr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709" w:firstLineChars="0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SBER_export</w:t>
      </w:r>
    </w:p>
    <w:p w14:paraId="0753348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/>
        <w:jc w:val="left"/>
        <w:textAlignment w:val="auto"/>
        <w:rPr>
          <w:rFonts w:hint="default" w:cs="Times New Roman"/>
          <w:b/>
          <w:bCs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</w:p>
    <w:p w14:paraId="4AB1B78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/>
        <w:jc w:val="left"/>
        <w:textAlignment w:val="auto"/>
        <w:outlineLvl w:val="0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bookmarkStart w:id="19" w:name="_Toc29991"/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5.3 Формирование сравнительной таблицы</w:t>
      </w:r>
      <w:bookmarkEnd w:id="19"/>
    </w:p>
    <w:p w14:paraId="737A89B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На основе экспортированных данных вручную была составлена итоговая сравнительная таблица.</w:t>
      </w:r>
    </w:p>
    <w:p w14:paraId="4712E50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tbl>
      <w:tblPr>
        <w:tblStyle w:val="12"/>
        <w:tblW w:w="0" w:type="auto"/>
        <w:tblCellSpacing w:w="1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25"/>
        <w:gridCol w:w="1807"/>
        <w:gridCol w:w="1273"/>
        <w:gridCol w:w="2229"/>
        <w:gridCol w:w="1669"/>
        <w:gridCol w:w="1547"/>
      </w:tblGrid>
      <w:tr w14:paraId="694D80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0" w:type="dxa"/>
        </w:trPr>
        <w:tc>
          <w:tcPr>
            <w:tcW w:w="1595" w:type="dxa"/>
            <w:shd w:val="clear" w:color="auto" w:fill="auto"/>
            <w:vAlign w:val="center"/>
          </w:tcPr>
          <w:p w14:paraId="4072BE8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0"/>
              <w:jc w:val="left"/>
              <w:textAlignment w:val="auto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Ряд</w:t>
            </w:r>
          </w:p>
        </w:tc>
        <w:tc>
          <w:tcPr>
            <w:tcW w:w="1787" w:type="dxa"/>
            <w:shd w:val="clear" w:color="auto" w:fill="auto"/>
            <w:vAlign w:val="center"/>
          </w:tcPr>
          <w:p w14:paraId="13AF8D6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0"/>
              <w:jc w:val="left"/>
              <w:textAlignment w:val="auto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Лучшая память m</w:t>
            </w:r>
          </w:p>
        </w:tc>
        <w:tc>
          <w:tcPr>
            <w:tcW w:w="1253" w:type="dxa"/>
            <w:shd w:val="clear" w:color="auto" w:fill="auto"/>
            <w:vAlign w:val="center"/>
          </w:tcPr>
          <w:p w14:paraId="0A415D3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0"/>
              <w:jc w:val="left"/>
              <w:textAlignment w:val="auto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MAE</w:t>
            </w:r>
          </w:p>
        </w:tc>
        <w:tc>
          <w:tcPr>
            <w:tcW w:w="2209" w:type="dxa"/>
            <w:shd w:val="clear" w:color="auto" w:fill="auto"/>
            <w:vAlign w:val="center"/>
          </w:tcPr>
          <w:p w14:paraId="71ABCFC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0"/>
              <w:jc w:val="left"/>
              <w:textAlignment w:val="auto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MSE</w:t>
            </w:r>
          </w:p>
        </w:tc>
        <w:tc>
          <w:tcPr>
            <w:tcW w:w="1649" w:type="dxa"/>
            <w:shd w:val="clear" w:color="auto" w:fill="auto"/>
            <w:vAlign w:val="center"/>
          </w:tcPr>
          <w:p w14:paraId="294D40C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0"/>
              <w:jc w:val="left"/>
              <w:textAlignment w:val="auto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RMSE</w:t>
            </w:r>
          </w:p>
        </w:tc>
        <w:tc>
          <w:tcPr>
            <w:tcW w:w="1517" w:type="dxa"/>
            <w:shd w:val="clear" w:color="auto" w:fill="auto"/>
            <w:vAlign w:val="center"/>
          </w:tcPr>
          <w:p w14:paraId="2078932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0"/>
              <w:jc w:val="left"/>
              <w:textAlignment w:val="auto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MAPE (%)</w:t>
            </w:r>
          </w:p>
        </w:tc>
      </w:tr>
      <w:tr w14:paraId="25672D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0" w:type="dxa"/>
        </w:trPr>
        <w:tc>
          <w:tcPr>
            <w:tcW w:w="1595" w:type="dxa"/>
            <w:shd w:val="clear" w:color="auto" w:fill="auto"/>
            <w:vAlign w:val="center"/>
          </w:tcPr>
          <w:p w14:paraId="609F515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0"/>
              <w:jc w:val="left"/>
              <w:textAlignment w:val="auto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GAZP</w:t>
            </w:r>
          </w:p>
        </w:tc>
        <w:tc>
          <w:tcPr>
            <w:tcW w:w="1787" w:type="dxa"/>
            <w:shd w:val="clear" w:color="auto" w:fill="auto"/>
            <w:vAlign w:val="center"/>
          </w:tcPr>
          <w:p w14:paraId="1319D21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0"/>
              <w:jc w:val="left"/>
              <w:textAlignment w:val="auto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1253" w:type="dxa"/>
            <w:shd w:val="clear" w:color="auto" w:fill="auto"/>
            <w:vAlign w:val="center"/>
          </w:tcPr>
          <w:p w14:paraId="1EDC5C7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0"/>
              <w:jc w:val="left"/>
              <w:textAlignment w:val="auto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20.45</w:t>
            </w:r>
          </w:p>
        </w:tc>
        <w:tc>
          <w:tcPr>
            <w:tcW w:w="2209" w:type="dxa"/>
            <w:shd w:val="clear" w:color="auto" w:fill="auto"/>
            <w:vAlign w:val="center"/>
          </w:tcPr>
          <w:p w14:paraId="0858872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0"/>
              <w:jc w:val="left"/>
              <w:textAlignment w:val="auto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760.08</w:t>
            </w:r>
          </w:p>
        </w:tc>
        <w:tc>
          <w:tcPr>
            <w:tcW w:w="1649" w:type="dxa"/>
            <w:shd w:val="clear" w:color="auto" w:fill="auto"/>
            <w:vAlign w:val="center"/>
          </w:tcPr>
          <w:p w14:paraId="2A92366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0"/>
              <w:jc w:val="left"/>
              <w:textAlignment w:val="auto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27.57</w:t>
            </w:r>
          </w:p>
        </w:tc>
        <w:tc>
          <w:tcPr>
            <w:tcW w:w="1517" w:type="dxa"/>
            <w:shd w:val="clear" w:color="auto" w:fill="auto"/>
            <w:vAlign w:val="center"/>
          </w:tcPr>
          <w:p w14:paraId="49ED546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0"/>
              <w:jc w:val="left"/>
              <w:textAlignment w:val="auto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15.53</w:t>
            </w:r>
          </w:p>
        </w:tc>
      </w:tr>
      <w:tr w14:paraId="03AEA9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0" w:type="dxa"/>
        </w:trPr>
        <w:tc>
          <w:tcPr>
            <w:tcW w:w="1595" w:type="dxa"/>
            <w:shd w:val="clear" w:color="auto" w:fill="auto"/>
            <w:vAlign w:val="center"/>
          </w:tcPr>
          <w:p w14:paraId="5C17A02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0"/>
              <w:jc w:val="left"/>
              <w:textAlignment w:val="auto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GMKN</w:t>
            </w:r>
          </w:p>
        </w:tc>
        <w:tc>
          <w:tcPr>
            <w:tcW w:w="1787" w:type="dxa"/>
            <w:shd w:val="clear" w:color="auto" w:fill="auto"/>
            <w:vAlign w:val="center"/>
          </w:tcPr>
          <w:p w14:paraId="0068383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0"/>
              <w:jc w:val="left"/>
              <w:textAlignment w:val="auto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  <w:tc>
          <w:tcPr>
            <w:tcW w:w="1253" w:type="dxa"/>
            <w:shd w:val="clear" w:color="auto" w:fill="auto"/>
            <w:vAlign w:val="center"/>
          </w:tcPr>
          <w:p w14:paraId="40B8834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0"/>
              <w:jc w:val="left"/>
              <w:textAlignment w:val="auto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3100.77</w:t>
            </w:r>
          </w:p>
        </w:tc>
        <w:tc>
          <w:tcPr>
            <w:tcW w:w="2209" w:type="dxa"/>
            <w:shd w:val="clear" w:color="auto" w:fill="auto"/>
            <w:vAlign w:val="center"/>
          </w:tcPr>
          <w:p w14:paraId="7E6D3F7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0"/>
              <w:jc w:val="left"/>
              <w:textAlignment w:val="auto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18314899.93</w:t>
            </w:r>
          </w:p>
        </w:tc>
        <w:tc>
          <w:tcPr>
            <w:tcW w:w="1649" w:type="dxa"/>
            <w:shd w:val="clear" w:color="auto" w:fill="auto"/>
            <w:vAlign w:val="center"/>
          </w:tcPr>
          <w:p w14:paraId="2E12557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0"/>
              <w:jc w:val="left"/>
              <w:textAlignment w:val="auto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4279.59</w:t>
            </w:r>
          </w:p>
        </w:tc>
        <w:tc>
          <w:tcPr>
            <w:tcW w:w="1517" w:type="dxa"/>
            <w:shd w:val="clear" w:color="auto" w:fill="auto"/>
            <w:vAlign w:val="center"/>
          </w:tcPr>
          <w:p w14:paraId="0433CAB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0"/>
              <w:jc w:val="left"/>
              <w:textAlignment w:val="auto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20.24</w:t>
            </w:r>
          </w:p>
        </w:tc>
      </w:tr>
      <w:tr w14:paraId="6DA0BB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0" w:type="dxa"/>
        </w:trPr>
        <w:tc>
          <w:tcPr>
            <w:tcW w:w="1595" w:type="dxa"/>
            <w:shd w:val="clear" w:color="auto" w:fill="auto"/>
            <w:vAlign w:val="center"/>
          </w:tcPr>
          <w:p w14:paraId="58B9E7F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0"/>
              <w:jc w:val="left"/>
              <w:textAlignment w:val="auto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LKOH</w:t>
            </w:r>
          </w:p>
        </w:tc>
        <w:tc>
          <w:tcPr>
            <w:tcW w:w="1787" w:type="dxa"/>
            <w:shd w:val="clear" w:color="auto" w:fill="auto"/>
            <w:vAlign w:val="center"/>
          </w:tcPr>
          <w:p w14:paraId="13D6987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0"/>
              <w:jc w:val="left"/>
              <w:textAlignment w:val="auto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1253" w:type="dxa"/>
            <w:shd w:val="clear" w:color="auto" w:fill="auto"/>
            <w:vAlign w:val="center"/>
          </w:tcPr>
          <w:p w14:paraId="6D08262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0"/>
              <w:jc w:val="left"/>
              <w:textAlignment w:val="auto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1021.80</w:t>
            </w:r>
          </w:p>
        </w:tc>
        <w:tc>
          <w:tcPr>
            <w:tcW w:w="2209" w:type="dxa"/>
            <w:shd w:val="clear" w:color="auto" w:fill="auto"/>
            <w:vAlign w:val="center"/>
          </w:tcPr>
          <w:p w14:paraId="31CEE1B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0"/>
              <w:jc w:val="left"/>
              <w:textAlignment w:val="auto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1783281.05</w:t>
            </w:r>
          </w:p>
        </w:tc>
        <w:tc>
          <w:tcPr>
            <w:tcW w:w="1649" w:type="dxa"/>
            <w:shd w:val="clear" w:color="auto" w:fill="auto"/>
            <w:vAlign w:val="center"/>
          </w:tcPr>
          <w:p w14:paraId="7133E0F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0"/>
              <w:jc w:val="left"/>
              <w:textAlignment w:val="auto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1335.40</w:t>
            </w:r>
          </w:p>
        </w:tc>
        <w:tc>
          <w:tcPr>
            <w:tcW w:w="1517" w:type="dxa"/>
            <w:shd w:val="clear" w:color="auto" w:fill="auto"/>
            <w:vAlign w:val="center"/>
          </w:tcPr>
          <w:p w14:paraId="0BE9516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0"/>
              <w:jc w:val="left"/>
              <w:textAlignment w:val="auto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16.25</w:t>
            </w:r>
          </w:p>
        </w:tc>
      </w:tr>
      <w:tr w14:paraId="7C5A44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0" w:type="dxa"/>
        </w:trPr>
        <w:tc>
          <w:tcPr>
            <w:tcW w:w="1595" w:type="dxa"/>
            <w:shd w:val="clear" w:color="auto" w:fill="auto"/>
            <w:vAlign w:val="center"/>
          </w:tcPr>
          <w:p w14:paraId="2DB15BE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0"/>
              <w:jc w:val="left"/>
              <w:textAlignment w:val="auto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ROSN</w:t>
            </w:r>
          </w:p>
        </w:tc>
        <w:tc>
          <w:tcPr>
            <w:tcW w:w="1787" w:type="dxa"/>
            <w:shd w:val="clear" w:color="auto" w:fill="auto"/>
            <w:vAlign w:val="center"/>
          </w:tcPr>
          <w:p w14:paraId="28CA301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0"/>
              <w:jc w:val="left"/>
              <w:textAlignment w:val="auto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  <w:tc>
          <w:tcPr>
            <w:tcW w:w="1253" w:type="dxa"/>
            <w:shd w:val="clear" w:color="auto" w:fill="auto"/>
            <w:vAlign w:val="center"/>
          </w:tcPr>
          <w:p w14:paraId="11B0678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0"/>
              <w:jc w:val="left"/>
              <w:textAlignment w:val="auto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83.43</w:t>
            </w:r>
          </w:p>
        </w:tc>
        <w:tc>
          <w:tcPr>
            <w:tcW w:w="2209" w:type="dxa"/>
            <w:shd w:val="clear" w:color="auto" w:fill="auto"/>
            <w:vAlign w:val="center"/>
          </w:tcPr>
          <w:p w14:paraId="44D66D5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0"/>
              <w:jc w:val="left"/>
              <w:textAlignment w:val="auto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10843.10</w:t>
            </w:r>
          </w:p>
        </w:tc>
        <w:tc>
          <w:tcPr>
            <w:tcW w:w="1649" w:type="dxa"/>
            <w:shd w:val="clear" w:color="auto" w:fill="auto"/>
            <w:vAlign w:val="center"/>
          </w:tcPr>
          <w:p w14:paraId="3D35C5C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0"/>
              <w:jc w:val="left"/>
              <w:textAlignment w:val="auto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104.13</w:t>
            </w:r>
          </w:p>
        </w:tc>
        <w:tc>
          <w:tcPr>
            <w:tcW w:w="1517" w:type="dxa"/>
            <w:shd w:val="clear" w:color="auto" w:fill="auto"/>
            <w:vAlign w:val="center"/>
          </w:tcPr>
          <w:p w14:paraId="2EEA793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0"/>
              <w:jc w:val="left"/>
              <w:textAlignment w:val="auto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16.14</w:t>
            </w:r>
          </w:p>
        </w:tc>
      </w:tr>
      <w:tr w14:paraId="0DE5CC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0" w:type="dxa"/>
        </w:trPr>
        <w:tc>
          <w:tcPr>
            <w:tcW w:w="1595" w:type="dxa"/>
            <w:shd w:val="clear" w:color="auto" w:fill="auto"/>
            <w:vAlign w:val="center"/>
          </w:tcPr>
          <w:p w14:paraId="1CC64CB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0"/>
              <w:jc w:val="left"/>
              <w:textAlignment w:val="auto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SBER</w:t>
            </w:r>
          </w:p>
        </w:tc>
        <w:tc>
          <w:tcPr>
            <w:tcW w:w="1787" w:type="dxa"/>
            <w:shd w:val="clear" w:color="auto" w:fill="auto"/>
            <w:vAlign w:val="center"/>
          </w:tcPr>
          <w:p w14:paraId="4435097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0"/>
              <w:jc w:val="left"/>
              <w:textAlignment w:val="auto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1253" w:type="dxa"/>
            <w:shd w:val="clear" w:color="auto" w:fill="auto"/>
            <w:vAlign w:val="center"/>
          </w:tcPr>
          <w:p w14:paraId="78BC884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0"/>
              <w:jc w:val="left"/>
              <w:textAlignment w:val="auto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77.97</w:t>
            </w:r>
          </w:p>
        </w:tc>
        <w:tc>
          <w:tcPr>
            <w:tcW w:w="2209" w:type="dxa"/>
            <w:shd w:val="clear" w:color="auto" w:fill="auto"/>
            <w:vAlign w:val="center"/>
          </w:tcPr>
          <w:p w14:paraId="422697C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0"/>
              <w:jc w:val="left"/>
              <w:textAlignment w:val="auto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9092.31</w:t>
            </w:r>
          </w:p>
        </w:tc>
        <w:tc>
          <w:tcPr>
            <w:tcW w:w="1649" w:type="dxa"/>
            <w:shd w:val="clear" w:color="auto" w:fill="auto"/>
            <w:vAlign w:val="center"/>
          </w:tcPr>
          <w:p w14:paraId="3CA1184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0"/>
              <w:jc w:val="left"/>
              <w:textAlignment w:val="auto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95.35</w:t>
            </w:r>
          </w:p>
        </w:tc>
        <w:tc>
          <w:tcPr>
            <w:tcW w:w="1517" w:type="dxa"/>
            <w:shd w:val="clear" w:color="auto" w:fill="auto"/>
            <w:vAlign w:val="center"/>
          </w:tcPr>
          <w:p w14:paraId="0C05772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0"/>
              <w:jc w:val="left"/>
              <w:textAlignment w:val="auto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26.89</w:t>
            </w:r>
          </w:p>
        </w:tc>
      </w:tr>
    </w:tbl>
    <w:p w14:paraId="63A2BCC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center"/>
        <w:textAlignment w:val="auto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cs="Times New Roman"/>
          <w:b w:val="0"/>
          <w:bCs w:val="0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Таблица 2 - сравнительная таблица 5 компаний</w:t>
      </w:r>
    </w:p>
    <w:p w14:paraId="7A91D11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</w:p>
    <w:p w14:paraId="60AEA4F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/>
        <w:jc w:val="left"/>
        <w:textAlignment w:val="auto"/>
        <w:outlineLvl w:val="0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bookmarkStart w:id="20" w:name="_Toc12029"/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5.4 Анализ полученных результатов</w:t>
      </w:r>
      <w:bookmarkEnd w:id="20"/>
    </w:p>
    <w:p w14:paraId="785FB00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Оптимальная глубина памяти различается для разных акций.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Для GAZP, LKOH и SBER оптимальным оказалось m</w:t>
      </w:r>
      <w:r>
        <w:rPr>
          <w:rFonts w:hint="default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=</w:t>
      </w:r>
      <w:r>
        <w:rPr>
          <w:rFonts w:hint="default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4, тогда как для GMKN и ROSN </w:t>
      </w:r>
      <w:r>
        <w:rPr>
          <w:rFonts w:hint="default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-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m</w:t>
      </w:r>
      <w:r>
        <w:rPr>
          <w:rFonts w:hint="default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=</w:t>
      </w:r>
      <w:r>
        <w:rPr>
          <w:rFonts w:hint="default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</w:t>
      </w:r>
      <w:r>
        <w:rPr>
          <w:rFonts w:hint="default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Это говорит о том, что разные финансовые инструменты обладают различной глубиной </w:t>
      </w:r>
      <w:r>
        <w:rPr>
          <w:rFonts w:hint="default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“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рыночной памяти</w:t>
      </w:r>
      <w:r>
        <w:rPr>
          <w:rFonts w:hint="default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”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</w:t>
      </w:r>
    </w:p>
    <w:p w14:paraId="536DD08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720" w:firstLineChars="0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Наименьшие относительные ошибки (MAPE) показали GAZP и ROSN (около 15–16%).</w:t>
      </w:r>
      <w:r>
        <w:rPr>
          <w:rFonts w:hint="default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Это свидетельствует о том, что модель лучше адаптируется к более стабильным рядам.</w:t>
      </w:r>
    </w:p>
    <w:p w14:paraId="0F61870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720" w:firstLineChars="0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Для GMKN наблюдается высокая абсолютная ошибка, что связано с высокой стоимостью акции и значительной волатильностью.</w:t>
      </w:r>
    </w:p>
    <w:p w14:paraId="4ADAC29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Наибольшая относительная ошибка наблюдается для SBER, что может быть связано с повышенной чувствительностью акции к рыночным событиям</w:t>
      </w:r>
      <w:r>
        <w:rPr>
          <w:rFonts w:hint="default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.</w:t>
      </w:r>
      <w:r>
        <w:rPr>
          <w:rFonts w:hint="default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Увеличение глубины памяти выше оптимального значения приводило к росту ошибки, что подтверждает эффект переобучения при чрезмерно большом числе шаблонов </w:t>
      </w:r>
      <w:r>
        <w:rPr>
          <w:rFonts w:hint="default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3</w:t>
      </w:r>
      <w:r>
        <w:rPr>
          <w:rFonts w:hint="default" w:cs="Times New Roman"/>
          <w:color w:val="000000" w:themeColor="text1"/>
          <w:sz w:val="28"/>
          <w:szCs w:val="28"/>
          <w:vertAlign w:val="superscript"/>
          <w:lang w:val="en-US"/>
          <w14:textFill>
            <w14:solidFill>
              <w14:schemeClr w14:val="tx1"/>
            </w14:solidFill>
          </w14:textFill>
        </w:rPr>
        <w:t>m</w:t>
      </w:r>
      <w:r>
        <w:rPr>
          <w:rFonts w:hint="default" w:cs="Times New Roman"/>
          <w:color w:val="000000" w:themeColor="text1"/>
          <w:sz w:val="28"/>
          <w:szCs w:val="28"/>
          <w:vertAlign w:val="baseline"/>
          <w:lang w:val="en-US"/>
          <w14:textFill>
            <w14:solidFill>
              <w14:schemeClr w14:val="tx1"/>
            </w14:solidFill>
          </w14:textFill>
        </w:rPr>
        <w:t>.</w:t>
      </w:r>
    </w:p>
    <w:p w14:paraId="26C2361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В целом результаты показывают, что трёх</w:t>
      </w:r>
      <w:r>
        <w:rPr>
          <w:rFonts w:hint="default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цветный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стохастический клеточный автомат способен воспроизводить основные тенденции движения цены, однако точность прогноза зависит от характера конкретного временного ряда.</w:t>
      </w:r>
    </w:p>
    <w:p w14:paraId="0332C08F">
      <w:pP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page"/>
      </w:r>
    </w:p>
    <w:p w14:paraId="4FB5E868">
      <w:pPr>
        <w:ind w:left="0" w:leftChars="0" w:firstLine="0" w:firstLineChars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751878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/>
        <w:jc w:val="center"/>
        <w:textAlignment w:val="auto"/>
        <w:outlineLvl w:val="0"/>
        <w:rPr>
          <w:rFonts w:hint="default" w:ascii="Times New Roman" w:hAnsi="Times New Roman" w:cs="Times New Roman" w:eastAsiaTheme="majorEastAsia"/>
          <w:b/>
          <w:bCs/>
          <w:color w:val="000000" w:themeColor="text1"/>
          <w:sz w:val="28"/>
          <w:szCs w:val="28"/>
          <w:lang w:val="ru-RU" w:eastAsia="en-US" w:bidi="ar-SA"/>
          <w14:textFill>
            <w14:solidFill>
              <w14:schemeClr w14:val="tx1"/>
            </w14:solidFill>
          </w14:textFill>
        </w:rPr>
      </w:pPr>
      <w:bookmarkStart w:id="21" w:name="_Toc17196"/>
      <w:r>
        <w:rPr>
          <w:rFonts w:hint="default" w:ascii="Times New Roman" w:hAnsi="Times New Roman" w:cs="Times New Roman" w:eastAsiaTheme="majorEastAsia"/>
          <w:b/>
          <w:bCs/>
          <w:color w:val="000000" w:themeColor="text1"/>
          <w:sz w:val="28"/>
          <w:szCs w:val="28"/>
          <w:lang w:val="ru-RU" w:eastAsia="en-US" w:bidi="ar-SA"/>
          <w14:textFill>
            <w14:solidFill>
              <w14:schemeClr w14:val="tx1"/>
            </w14:solidFill>
          </w14:textFill>
        </w:rPr>
        <w:t>ЗАКЛЮЧЕНИЕ</w:t>
      </w:r>
      <w:bookmarkEnd w:id="21"/>
    </w:p>
    <w:p w14:paraId="5454996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720" w:firstLineChars="0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В рамках данной курсовой работы была разработана и исследована трёхцветная стохастическая клеточно-автоматная модель прогнозирования финансовых временных рядов.</w:t>
      </w:r>
    </w:p>
    <w:p w14:paraId="492BF93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720" w:firstLineChars="0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В теоретической части были рассмотрены особенности финансовых временных рядов как нелинейных и нестационарных динамических систем, а также основные принципы построения клеточных автоматов. Показано, что использование дискретной модели с ограниченным числом состояний позволяет упростить структуру анализа и перейти от непрерывных ценовых значений к последовательности состояний, отражающих направление движения рынка.</w:t>
      </w:r>
    </w:p>
    <w:p w14:paraId="4B647D7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720" w:firstLineChars="0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В ходе работы была реализована программная система, обеспечивающая:</w:t>
      </w:r>
    </w:p>
    <w:p w14:paraId="71AE84A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720" w:firstLineChars="0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0B365F3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720" w:firstLineChars="0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-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загрузку исторических котировок через MOEX ISS API или из CSV-файлов;</w:t>
      </w:r>
    </w:p>
    <w:p w14:paraId="09117AE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720" w:firstLineChars="0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-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преобразование цен в доходности;</w:t>
      </w:r>
    </w:p>
    <w:p w14:paraId="44C7BF6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720" w:firstLineChars="0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-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дискретизацию доходностей в трёхсостояний ряд;</w:t>
      </w:r>
    </w:p>
    <w:p w14:paraId="0C76F0F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720" w:firstLineChars="0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-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построение вероятностной модели переходов с использованием Лапласовского сглаживания;</w:t>
      </w:r>
    </w:p>
    <w:p w14:paraId="0BACDB0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720" w:firstLineChars="0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-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подбор оптимальной глубины памяти;</w:t>
      </w:r>
    </w:p>
    <w:p w14:paraId="13D6E1A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720" w:firstLineChars="0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-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вычисление прогнозных значений цены;</w:t>
      </w:r>
    </w:p>
    <w:p w14:paraId="4C84005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720" w:firstLineChars="0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-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расчёт метрик точности и экспорт результатов.</w:t>
      </w:r>
    </w:p>
    <w:p w14:paraId="2350250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2285EB9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720" w:firstLineChars="0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Практическое исследование было проведено на пяти временных рядах российских компаний: ПАО </w:t>
      </w:r>
      <w:r>
        <w:rPr>
          <w:rFonts w:hint="default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“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Газпром</w:t>
      </w:r>
      <w:r>
        <w:rPr>
          <w:rFonts w:hint="default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”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, ПАО «ГМК „Норильский никель“», ПАО </w:t>
      </w:r>
      <w:r>
        <w:rPr>
          <w:rFonts w:hint="default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“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ЛУКОЙЛ</w:t>
      </w:r>
      <w:r>
        <w:rPr>
          <w:rFonts w:hint="default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”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, ПАО </w:t>
      </w:r>
      <w:r>
        <w:rPr>
          <w:rFonts w:hint="default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“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Роснефть</w:t>
      </w:r>
      <w:r>
        <w:rPr>
          <w:rFonts w:hint="default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”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и ПАО </w:t>
      </w:r>
      <w:r>
        <w:rPr>
          <w:rFonts w:hint="default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“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Сбербанк России</w:t>
      </w:r>
      <w:r>
        <w:rPr>
          <w:rFonts w:hint="default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”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 Для каждого инструмента определена оптимальная глубина памяти модели и рассчитаны показатели точности прогнозирования.</w:t>
      </w:r>
    </w:p>
    <w:p w14:paraId="4D112E6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720" w:firstLineChars="0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Результаты показали, что оптимальная глубина памяти различается для разных финансовых инструментов, что свидетельствует о различной степени временной зависимости их динамики. Это подтверждает гипотезу о наличии различной «рыночной памяти» у исследуемых активов.</w:t>
      </w:r>
    </w:p>
    <w:p w14:paraId="557887B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720" w:firstLineChars="0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Наименьшие относительные ошибки продемонстрировали ряды с более устойчивой динамикой, тогда как более волатильные инструменты показали большую погрешность прогнозирования. Также было установлено, что чрезмерное увеличение глубины памяти приводит к росту ошибки, что связано с экспоненциальным увеличением числа шаблонов 3m3^m3m и эффектом переобучения модели.</w:t>
      </w:r>
    </w:p>
    <w:p w14:paraId="2E18C9E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720" w:firstLineChars="0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В целом можно сделать вывод, что предложенная трёхцветная клеточно-автоматная модель способна воспроизводить основные тенденции движения финансовых временных рядов и может использоваться в качестве инструмента анализа динамики котировок. При этом точность прогноза зависит от характера исследуемого актива и выбранных параметров модели.</w:t>
      </w:r>
    </w:p>
    <w:p w14:paraId="1EACA81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720" w:firstLineChars="0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Дальнейшее развитие работы может быть связано с:</w:t>
      </w:r>
    </w:p>
    <w:p w14:paraId="36F2A0E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720" w:firstLineChars="0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23499AE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720" w:firstLineChars="0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-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расширением числа состояний модели;</w:t>
      </w:r>
    </w:p>
    <w:p w14:paraId="56F6208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720" w:firstLineChars="0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-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адаптивным выбором порога дискретизации;</w:t>
      </w:r>
    </w:p>
    <w:p w14:paraId="79AE0D3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720" w:firstLineChars="0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-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использованием скользящего окна обучения;</w:t>
      </w:r>
    </w:p>
    <w:p w14:paraId="5E06AAE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720" w:firstLineChars="0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-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сравнением с нейросетевыми и классическими эконометрическими методами.</w:t>
      </w:r>
    </w:p>
    <w:p w14:paraId="283BF0D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720" w:firstLineChars="0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0597C21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720" w:firstLineChars="0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Таким образом, поставленные в работе цели и задачи были достигнуты, а разработанная программная реализация продемонстрировала практическую применимость предложенного подхода.</w:t>
      </w:r>
    </w:p>
    <w:p w14:paraId="4FE09247">
      <w:pP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page"/>
      </w:r>
    </w:p>
    <w:p w14:paraId="189DB5A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outlineLvl w:val="0"/>
        <w:rPr>
          <w:rFonts w:hint="default" w:ascii="Times New Roman" w:hAnsi="Times New Roman" w:eastAsia="Times New Roman" w:cs="Times New Roman"/>
          <w:b/>
          <w:bCs/>
          <w:color w:val="000000" w:themeColor="text1"/>
          <w:sz w:val="28"/>
          <w:szCs w:val="28"/>
          <w:lang w:val="en-US" w:eastAsia="en-US" w:bidi="ar-SA"/>
          <w14:textFill>
            <w14:solidFill>
              <w14:schemeClr w14:val="tx1"/>
            </w14:solidFill>
          </w14:textFill>
        </w:rPr>
      </w:pPr>
      <w:bookmarkStart w:id="22" w:name="_Toc31221"/>
      <w:r>
        <w:rPr>
          <w:rFonts w:hint="default" w:ascii="Times New Roman" w:hAnsi="Times New Roman" w:eastAsia="Times New Roman" w:cs="Times New Roman"/>
          <w:b/>
          <w:bCs/>
          <w:color w:val="000000" w:themeColor="text1"/>
          <w:sz w:val="28"/>
          <w:szCs w:val="28"/>
          <w:lang w:val="en-US" w:eastAsia="en-US" w:bidi="ar-SA"/>
          <w14:textFill>
            <w14:solidFill>
              <w14:schemeClr w14:val="tx1"/>
            </w14:solidFill>
          </w14:textFill>
        </w:rPr>
        <w:t>СПИСОК ИСПОЛЬЗОВАННЫХ ИСТОЧНИКОВ</w:t>
      </w:r>
      <w:bookmarkEnd w:id="22"/>
    </w:p>
    <w:p w14:paraId="7DED41F4">
      <w:pPr>
        <w:pStyle w:val="32"/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lang w:val="en-US" w:eastAsia="en-US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lang w:val="en-US" w:eastAsia="en-US" w:bidi="ar-SA"/>
          <w14:textFill>
            <w14:solidFill>
              <w14:schemeClr w14:val="tx1"/>
            </w14:solidFill>
          </w14:textFill>
        </w:rPr>
        <w:t>Тюрин, Ю.Н. Анализ данных на компьютере: учеб. пособие / Ю.Н. Тюрин, А.А. Макаров – Москва: ИНФРА-М, 2002. – 528 с.</w:t>
      </w:r>
    </w:p>
    <w:p w14:paraId="14FE7742">
      <w:pPr>
        <w:pStyle w:val="32"/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709" w:firstLineChars="0"/>
        <w:jc w:val="both"/>
        <w:textAlignment w:val="auto"/>
        <w:rPr>
          <w:rFonts w:hint="default"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lang w:val="en-US" w:eastAsia="en-US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lang w:val="en-US" w:eastAsia="en-US" w:bidi="ar-SA"/>
          <w14:textFill>
            <w14:solidFill>
              <w14:schemeClr w14:val="tx1"/>
            </w14:solidFill>
          </w14:textFill>
        </w:rPr>
        <w:t>Нильсен, Э. Практический анализ временных рядов: прогнозирование со статистикой и машинным обучением / Э. Нильсен – Москва: ДМК Пресс, 2021. – 544 с.</w:t>
      </w:r>
    </w:p>
    <w:p w14:paraId="2D80205F">
      <w:pPr>
        <w:pStyle w:val="32"/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709" w:firstLineChars="0"/>
        <w:jc w:val="both"/>
        <w:textAlignment w:val="auto"/>
        <w:rPr>
          <w:rFonts w:hint="default"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lang w:val="en-US" w:eastAsia="en-US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lang w:val="en-US" w:eastAsia="en-US" w:bidi="ar-SA"/>
          <w14:textFill>
            <w14:solidFill>
              <w14:schemeClr w14:val="tx1"/>
            </w14:solidFill>
          </w14:textFill>
        </w:rPr>
        <w:t>Воривода, М.А. Клеточные автоматы / М.А. Воривода, О.А. Григорьева // 58-я Научная конференция аспирантов, магистрантов и студентов БГУИР – Минск, 2022. – С. 117–119.</w:t>
      </w:r>
    </w:p>
    <w:p w14:paraId="7BE693C8">
      <w:pPr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left="0" w:leftChars="0" w:firstLine="709" w:firstLineChars="0"/>
        <w:jc w:val="both"/>
        <w:textAlignment w:val="auto"/>
        <w:rPr>
          <w:rFonts w:hint="default"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lang w:val="en-US" w:eastAsia="en-US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lang w:val="en-US" w:eastAsia="en-US" w:bidi="ar-SA"/>
          <w14:textFill>
            <w14:solidFill>
              <w14:schemeClr w14:val="tx1"/>
            </w14:solidFill>
          </w14:textFill>
        </w:rPr>
        <w:t xml:space="preserve">Эконометрика: учебник для студентов вузов / Н.Ш. Кремер, Б.А. Путко – Москва: ЮНИТИ-ДАНА, 2010. – 328 с. </w:t>
      </w:r>
    </w:p>
    <w:p w14:paraId="5A78F5A2">
      <w:pPr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left="0" w:leftChars="0" w:firstLine="709" w:firstLineChars="0"/>
        <w:jc w:val="both"/>
        <w:textAlignment w:val="auto"/>
        <w:rPr>
          <w:rFonts w:hint="default"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lang w:val="en-US" w:eastAsia="en-US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lang w:val="en-US" w:eastAsia="en-US" w:bidi="ar-SA"/>
          <w14:textFill>
            <w14:solidFill>
              <w14:schemeClr w14:val="tx1"/>
            </w14:solidFill>
          </w14:textFill>
        </w:rPr>
        <w:t xml:space="preserve">Воскобойников, Ю. Е. Эконометрика в Excel. Часть 2. Анализ временных рядов: учеб. пособие / Ю. Е. Воскобойников – Новосибирск: НГАСУ (Сибстрин), 2008. – 155 с. 3. </w:t>
      </w:r>
    </w:p>
    <w:p w14:paraId="30824A79">
      <w:pPr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left="0" w:leftChars="0" w:firstLine="709" w:firstLineChars="0"/>
        <w:jc w:val="both"/>
        <w:textAlignment w:val="auto"/>
        <w:rPr>
          <w:rFonts w:hint="default"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lang w:val="en-US" w:eastAsia="en-US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lang w:val="en-US" w:eastAsia="en-US" w:bidi="ar-SA"/>
          <w14:textFill>
            <w14:solidFill>
              <w14:schemeClr w14:val="tx1"/>
            </w14:solidFill>
          </w14:textFill>
        </w:rPr>
        <w:t xml:space="preserve">Курс лекций по экономико-математическому моделированию / И.В. Орлова, В.А. Половников ,В.В. Федосеев – Москва: ВЗФИ, 1993-148 с. </w:t>
      </w:r>
    </w:p>
    <w:p w14:paraId="2162F935">
      <w:pPr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left="0" w:leftChars="0" w:firstLine="709" w:firstLineChars="0"/>
        <w:jc w:val="both"/>
        <w:textAlignment w:val="auto"/>
        <w:rPr>
          <w:rFonts w:hint="default"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lang w:val="en-US" w:eastAsia="en-US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lang w:val="en-US" w:eastAsia="en-US" w:bidi="ar-SA"/>
          <w14:textFill>
            <w14:solidFill>
              <w14:schemeClr w14:val="tx1"/>
            </w14:solidFill>
          </w14:textFill>
        </w:rPr>
        <w:t xml:space="preserve"> Компьютерное экономико-математическое моделирование: Учебное пособие / А.А. Горчаков, И.В. Орлова – Москва: ЮНИТИ, 1995-170 с.</w:t>
      </w:r>
    </w:p>
    <w:p w14:paraId="3688AA5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720" w:firstLineChars="0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3A16B99E">
      <w:pPr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br w:type="page"/>
      </w:r>
    </w:p>
    <w:p w14:paraId="4ECAF87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/>
        <w:jc w:val="center"/>
        <w:textAlignment w:val="auto"/>
        <w:outlineLvl w:val="0"/>
        <w:rPr>
          <w:rFonts w:hint="default" w:cs="Times New Roman"/>
          <w:b/>
          <w:bCs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bookmarkStart w:id="23" w:name="_Toc3250"/>
      <w:bookmarkStart w:id="24" w:name="_Toc4682"/>
      <w:r>
        <w:rPr>
          <w:rFonts w:hint="default" w:cs="Times New Roman"/>
          <w:b/>
          <w:bCs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Приложение А</w:t>
      </w:r>
      <w:bookmarkEnd w:id="23"/>
      <w:bookmarkEnd w:id="24"/>
    </w:p>
    <w:p w14:paraId="080A4E4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0" w:firstLineChars="0"/>
        <w:jc w:val="center"/>
        <w:textAlignment w:val="auto"/>
        <w:outlineLvl w:val="9"/>
        <w:rPr>
          <w:rFonts w:hint="default"/>
          <w:b/>
          <w:bCs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bookmarkStart w:id="25" w:name="_Toc11472"/>
      <w:r>
        <w:rPr>
          <w:rFonts w:hint="default"/>
          <w:b/>
          <w:bCs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Фрагмент кода программы</w:t>
      </w:r>
      <w:bookmarkEnd w:id="25"/>
    </w:p>
    <w:p w14:paraId="5EEB32E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/>
          <w:b w:val="0"/>
          <w:bCs w:val="0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</w:p>
    <w:p w14:paraId="63B8E4F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ru-RU"/>
          <w14:textFill>
            <w14:solidFill>
              <w14:schemeClr w14:val="tx1"/>
            </w14:solidFill>
          </w14:textFill>
        </w:rPr>
        <w:t>using System;</w:t>
      </w:r>
    </w:p>
    <w:p w14:paraId="1F3F580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ru-RU"/>
          <w14:textFill>
            <w14:solidFill>
              <w14:schemeClr w14:val="tx1"/>
            </w14:solidFill>
          </w14:textFill>
        </w:rPr>
        <w:t>using System.Collections.Generic;</w:t>
      </w:r>
    </w:p>
    <w:p w14:paraId="6168C9C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ru-RU"/>
          <w14:textFill>
            <w14:solidFill>
              <w14:schemeClr w14:val="tx1"/>
            </w14:solidFill>
          </w14:textFill>
        </w:rPr>
        <w:t>using System.Linq;</w:t>
      </w:r>
    </w:p>
    <w:p w14:paraId="0B8E7AC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ru-RU"/>
          <w14:textFill>
            <w14:solidFill>
              <w14:schemeClr w14:val="tx1"/>
            </w14:solidFill>
          </w14:textFill>
        </w:rPr>
      </w:pPr>
    </w:p>
    <w:p w14:paraId="0A4800D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ru-RU"/>
          <w14:textFill>
            <w14:solidFill>
              <w14:schemeClr w14:val="tx1"/>
            </w14:solidFill>
          </w14:textFill>
        </w:rPr>
        <w:t>namespace CaForecast.Core;</w:t>
      </w:r>
    </w:p>
    <w:p w14:paraId="6C182B5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ru-RU"/>
          <w14:textFill>
            <w14:solidFill>
              <w14:schemeClr w14:val="tx1"/>
            </w14:solidFill>
          </w14:textFill>
        </w:rPr>
      </w:pPr>
    </w:p>
    <w:p w14:paraId="4DC0851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ru-RU"/>
          <w14:textFill>
            <w14:solidFill>
              <w14:schemeClr w14:val="tx1"/>
            </w14:solidFill>
          </w14:textFill>
        </w:rPr>
        <w:t>public class CaForecaster</w:t>
      </w:r>
    </w:p>
    <w:p w14:paraId="0C6E5AD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ru-RU"/>
          <w14:textFill>
            <w14:solidFill>
              <w14:schemeClr w14:val="tx1"/>
            </w14:solidFill>
          </w14:textFill>
        </w:rPr>
        <w:t>{</w:t>
      </w:r>
    </w:p>
    <w:p w14:paraId="760AEE4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ru-RU"/>
          <w14:textFill>
            <w14:solidFill>
              <w14:schemeClr w14:val="tx1"/>
            </w14:solidFill>
          </w14:textFill>
        </w:rPr>
        <w:t xml:space="preserve">    public ForecastResult Forecast(</w:t>
      </w:r>
    </w:p>
    <w:p w14:paraId="1C8C19F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ru-RU"/>
          <w14:textFill>
            <w14:solidFill>
              <w14:schemeClr w14:val="tx1"/>
            </w14:solidFill>
          </w14:textFill>
        </w:rPr>
        <w:t xml:space="preserve">        IReadOnlyList&lt;double&gt; prices,</w:t>
      </w:r>
    </w:p>
    <w:p w14:paraId="536C968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ru-RU"/>
          <w14:textFill>
            <w14:solidFill>
              <w14:schemeClr w14:val="tx1"/>
            </w14:solidFill>
          </w14:textFill>
        </w:rPr>
        <w:t xml:space="preserve">        IReadOnlyList&lt;double&gt; returns,</w:t>
      </w:r>
    </w:p>
    <w:p w14:paraId="2E38C8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ru-RU"/>
          <w14:textFill>
            <w14:solidFill>
              <w14:schemeClr w14:val="tx1"/>
            </w14:solidFill>
          </w14:textFill>
        </w:rPr>
        <w:t xml:space="preserve">        IReadOnlyList&lt;int&gt; encodedStates,</w:t>
      </w:r>
    </w:p>
    <w:p w14:paraId="394BDE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ru-RU"/>
          <w14:textFill>
            <w14:solidFill>
              <w14:schemeClr w14:val="tx1"/>
            </w14:solidFill>
          </w14:textFill>
        </w:rPr>
        <w:t xml:space="preserve">        int trainReturnsCount,</w:t>
      </w:r>
    </w:p>
    <w:p w14:paraId="20BB0E1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ru-RU"/>
          <w14:textFill>
            <w14:solidFill>
              <w14:schemeClr w14:val="tx1"/>
            </w14:solidFill>
          </w14:textFill>
        </w:rPr>
        <w:t xml:space="preserve">        int memory,</w:t>
      </w:r>
    </w:p>
    <w:p w14:paraId="64795F9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ru-RU"/>
          <w14:textFill>
            <w14:solidFill>
              <w14:schemeClr w14:val="tx1"/>
            </w14:solidFill>
          </w14:textFill>
        </w:rPr>
        <w:t xml:space="preserve">        double alpha,</w:t>
      </w:r>
    </w:p>
    <w:p w14:paraId="4058BE6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ru-RU"/>
          <w14:textFill>
            <w14:solidFill>
              <w14:schemeClr w14:val="tx1"/>
            </w14:solidFill>
          </w14:textFill>
        </w:rPr>
        <w:t xml:space="preserve">        CaRuleTrainer trainer,</w:t>
      </w:r>
    </w:p>
    <w:p w14:paraId="04A244C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ru-RU"/>
          <w14:textFill>
            <w14:solidFill>
              <w14:schemeClr w14:val="tx1"/>
            </w14:solidFill>
          </w14:textFill>
        </w:rPr>
        <w:t xml:space="preserve">        MetricsService metricsService)</w:t>
      </w:r>
    </w:p>
    <w:p w14:paraId="3326C7F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ru-RU"/>
          <w14:textFill>
            <w14:solidFill>
              <w14:schemeClr w14:val="tx1"/>
            </w14:solidFill>
          </w14:textFill>
        </w:rPr>
        <w:t xml:space="preserve">    {</w:t>
      </w:r>
    </w:p>
    <w:p w14:paraId="3CEE560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ru-RU"/>
          <w14:textFill>
            <w14:solidFill>
              <w14:schemeClr w14:val="tx1"/>
            </w14:solidFill>
          </w14:textFill>
        </w:rPr>
        <w:t xml:space="preserve">        if (prices is null)</w:t>
      </w:r>
    </w:p>
    <w:p w14:paraId="442A47F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ru-RU"/>
          <w14:textFill>
            <w14:solidFill>
              <w14:schemeClr w14:val="tx1"/>
            </w14:solidFill>
          </w14:textFill>
        </w:rPr>
        <w:t xml:space="preserve">        {</w:t>
      </w:r>
    </w:p>
    <w:p w14:paraId="711B6EB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ru-RU"/>
          <w14:textFill>
            <w14:solidFill>
              <w14:schemeClr w14:val="tx1"/>
            </w14:solidFill>
          </w14:textFill>
        </w:rPr>
        <w:t xml:space="preserve">            throw new ArgumentNullException(nameof(prices));</w:t>
      </w:r>
    </w:p>
    <w:p w14:paraId="5ABA43D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ru-RU"/>
          <w14:textFill>
            <w14:solidFill>
              <w14:schemeClr w14:val="tx1"/>
            </w14:solidFill>
          </w14:textFill>
        </w:rPr>
        <w:t xml:space="preserve">        }</w:t>
      </w:r>
    </w:p>
    <w:p w14:paraId="605CE20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ru-RU"/>
          <w14:textFill>
            <w14:solidFill>
              <w14:schemeClr w14:val="tx1"/>
            </w14:solidFill>
          </w14:textFill>
        </w:rPr>
      </w:pPr>
    </w:p>
    <w:p w14:paraId="5EB9CB0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ru-RU"/>
          <w14:textFill>
            <w14:solidFill>
              <w14:schemeClr w14:val="tx1"/>
            </w14:solidFill>
          </w14:textFill>
        </w:rPr>
        <w:t xml:space="preserve">        if (returns is null)</w:t>
      </w:r>
    </w:p>
    <w:p w14:paraId="3A9B88B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ru-RU"/>
          <w14:textFill>
            <w14:solidFill>
              <w14:schemeClr w14:val="tx1"/>
            </w14:solidFill>
          </w14:textFill>
        </w:rPr>
        <w:t xml:space="preserve">        {</w:t>
      </w:r>
    </w:p>
    <w:p w14:paraId="01959D4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ru-RU"/>
          <w14:textFill>
            <w14:solidFill>
              <w14:schemeClr w14:val="tx1"/>
            </w14:solidFill>
          </w14:textFill>
        </w:rPr>
        <w:t xml:space="preserve">            throw new ArgumentNullException(nameof(returns));</w:t>
      </w:r>
    </w:p>
    <w:p w14:paraId="5CD5219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ru-RU"/>
          <w14:textFill>
            <w14:solidFill>
              <w14:schemeClr w14:val="tx1"/>
            </w14:solidFill>
          </w14:textFill>
        </w:rPr>
        <w:t xml:space="preserve">        }</w:t>
      </w:r>
    </w:p>
    <w:p w14:paraId="28BF527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ru-RU"/>
          <w14:textFill>
            <w14:solidFill>
              <w14:schemeClr w14:val="tx1"/>
            </w14:solidFill>
          </w14:textFill>
        </w:rPr>
      </w:pPr>
    </w:p>
    <w:p w14:paraId="1736545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ru-RU"/>
          <w14:textFill>
            <w14:solidFill>
              <w14:schemeClr w14:val="tx1"/>
            </w14:solidFill>
          </w14:textFill>
        </w:rPr>
        <w:t xml:space="preserve">        if (encodedStates is null)</w:t>
      </w:r>
    </w:p>
    <w:p w14:paraId="6C4A3AE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ru-RU"/>
          <w14:textFill>
            <w14:solidFill>
              <w14:schemeClr w14:val="tx1"/>
            </w14:solidFill>
          </w14:textFill>
        </w:rPr>
        <w:t xml:space="preserve">        {</w:t>
      </w:r>
    </w:p>
    <w:p w14:paraId="139CF6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ru-RU"/>
          <w14:textFill>
            <w14:solidFill>
              <w14:schemeClr w14:val="tx1"/>
            </w14:solidFill>
          </w14:textFill>
        </w:rPr>
        <w:t xml:space="preserve">            throw new ArgumentNullException(nameof(encodedStates));</w:t>
      </w:r>
    </w:p>
    <w:p w14:paraId="046CB95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ru-RU"/>
          <w14:textFill>
            <w14:solidFill>
              <w14:schemeClr w14:val="tx1"/>
            </w14:solidFill>
          </w14:textFill>
        </w:rPr>
        <w:t xml:space="preserve">        }</w:t>
      </w:r>
    </w:p>
    <w:p w14:paraId="2E9DA5C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ru-RU"/>
          <w14:textFill>
            <w14:solidFill>
              <w14:schemeClr w14:val="tx1"/>
            </w14:solidFill>
          </w14:textFill>
        </w:rPr>
      </w:pPr>
    </w:p>
    <w:p w14:paraId="10E144C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ru-RU"/>
          <w14:textFill>
            <w14:solidFill>
              <w14:schemeClr w14:val="tx1"/>
            </w14:solidFill>
          </w14:textFill>
        </w:rPr>
        <w:t xml:space="preserve">        if (trainer is null)</w:t>
      </w:r>
    </w:p>
    <w:p w14:paraId="755621E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ru-RU"/>
          <w14:textFill>
            <w14:solidFill>
              <w14:schemeClr w14:val="tx1"/>
            </w14:solidFill>
          </w14:textFill>
        </w:rPr>
        <w:t xml:space="preserve">        {</w:t>
      </w:r>
    </w:p>
    <w:p w14:paraId="3E41CA8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ru-RU"/>
          <w14:textFill>
            <w14:solidFill>
              <w14:schemeClr w14:val="tx1"/>
            </w14:solidFill>
          </w14:textFill>
        </w:rPr>
        <w:t xml:space="preserve">            throw new ArgumentNullException(nameof(trainer));</w:t>
      </w:r>
    </w:p>
    <w:p w14:paraId="71F62F7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ru-RU"/>
          <w14:textFill>
            <w14:solidFill>
              <w14:schemeClr w14:val="tx1"/>
            </w14:solidFill>
          </w14:textFill>
        </w:rPr>
        <w:t xml:space="preserve">        }</w:t>
      </w:r>
    </w:p>
    <w:p w14:paraId="22F553E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ru-RU"/>
          <w14:textFill>
            <w14:solidFill>
              <w14:schemeClr w14:val="tx1"/>
            </w14:solidFill>
          </w14:textFill>
        </w:rPr>
      </w:pPr>
    </w:p>
    <w:p w14:paraId="4287EE2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ru-RU"/>
          <w14:textFill>
            <w14:solidFill>
              <w14:schemeClr w14:val="tx1"/>
            </w14:solidFill>
          </w14:textFill>
        </w:rPr>
        <w:t xml:space="preserve">        if (metricsService is null)</w:t>
      </w:r>
    </w:p>
    <w:p w14:paraId="2E4D35C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ru-RU"/>
          <w14:textFill>
            <w14:solidFill>
              <w14:schemeClr w14:val="tx1"/>
            </w14:solidFill>
          </w14:textFill>
        </w:rPr>
        <w:t xml:space="preserve">        {</w:t>
      </w:r>
    </w:p>
    <w:p w14:paraId="1A1B65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ru-RU"/>
          <w14:textFill>
            <w14:solidFill>
              <w14:schemeClr w14:val="tx1"/>
            </w14:solidFill>
          </w14:textFill>
        </w:rPr>
        <w:t xml:space="preserve">            throw new ArgumentNullException(nameof(metricsService));</w:t>
      </w:r>
    </w:p>
    <w:p w14:paraId="66D3676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ru-RU"/>
          <w14:textFill>
            <w14:solidFill>
              <w14:schemeClr w14:val="tx1"/>
            </w14:solidFill>
          </w14:textFill>
        </w:rPr>
        <w:t xml:space="preserve">        }</w:t>
      </w:r>
    </w:p>
    <w:p w14:paraId="680519A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ru-RU"/>
          <w14:textFill>
            <w14:solidFill>
              <w14:schemeClr w14:val="tx1"/>
            </w14:solidFill>
          </w14:textFill>
        </w:rPr>
      </w:pPr>
    </w:p>
    <w:p w14:paraId="1384316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ru-RU"/>
          <w14:textFill>
            <w14:solidFill>
              <w14:schemeClr w14:val="tx1"/>
            </w14:solidFill>
          </w14:textFill>
        </w:rPr>
        <w:t xml:space="preserve">        if (returns.Count != encodedStates.Count)</w:t>
      </w:r>
    </w:p>
    <w:p w14:paraId="042ED80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ru-RU"/>
          <w14:textFill>
            <w14:solidFill>
              <w14:schemeClr w14:val="tx1"/>
            </w14:solidFill>
          </w14:textFill>
        </w:rPr>
        <w:t xml:space="preserve">        {</w:t>
      </w:r>
    </w:p>
    <w:p w14:paraId="7A2F5C6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ru-RU"/>
          <w14:textFill>
            <w14:solidFill>
              <w14:schemeClr w14:val="tx1"/>
            </w14:solidFill>
          </w14:textFill>
        </w:rPr>
        <w:t xml:space="preserve">            throw new ArgumentException("Длины массивов доходностей и закодированных состояний должны совпадать.");</w:t>
      </w:r>
    </w:p>
    <w:p w14:paraId="66B4106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ru-RU"/>
          <w14:textFill>
            <w14:solidFill>
              <w14:schemeClr w14:val="tx1"/>
            </w14:solidFill>
          </w14:textFill>
        </w:rPr>
        <w:t xml:space="preserve">        }</w:t>
      </w:r>
    </w:p>
    <w:p w14:paraId="4D3091B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ru-RU"/>
          <w14:textFill>
            <w14:solidFill>
              <w14:schemeClr w14:val="tx1"/>
            </w14:solidFill>
          </w14:textFill>
        </w:rPr>
      </w:pPr>
    </w:p>
    <w:p w14:paraId="2B3400B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ru-RU"/>
          <w14:textFill>
            <w14:solidFill>
              <w14:schemeClr w14:val="tx1"/>
            </w14:solidFill>
          </w14:textFill>
        </w:rPr>
        <w:t xml:space="preserve">        if (trainReturnsCount &lt;= memory || trainReturnsCount &gt;= returns.Count)</w:t>
      </w:r>
    </w:p>
    <w:p w14:paraId="69213F0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ru-RU"/>
          <w14:textFill>
            <w14:solidFill>
              <w14:schemeClr w14:val="tx1"/>
            </w14:solidFill>
          </w14:textFill>
        </w:rPr>
        <w:t xml:space="preserve">        {</w:t>
      </w:r>
    </w:p>
    <w:p w14:paraId="44C4773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ru-RU"/>
          <w14:textFill>
            <w14:solidFill>
              <w14:schemeClr w14:val="tx1"/>
            </w14:solidFill>
          </w14:textFill>
        </w:rPr>
        <w:t xml:space="preserve">            throw new ArgumentOutOfRangeException(nameof(trainReturnsCount), "Размер обучающей выборки должен быть больше памяти и меньше общего числа доходностей.");</w:t>
      </w:r>
    </w:p>
    <w:p w14:paraId="315BEBD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ru-RU"/>
          <w14:textFill>
            <w14:solidFill>
              <w14:schemeClr w14:val="tx1"/>
            </w14:solidFill>
          </w14:textFill>
        </w:rPr>
        <w:t xml:space="preserve">        }</w:t>
      </w:r>
    </w:p>
    <w:p w14:paraId="4F93CCD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ru-RU"/>
          <w14:textFill>
            <w14:solidFill>
              <w14:schemeClr w14:val="tx1"/>
            </w14:solidFill>
          </w14:textFill>
        </w:rPr>
      </w:pPr>
    </w:p>
    <w:p w14:paraId="446965A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ru-RU"/>
          <w14:textFill>
            <w14:solidFill>
              <w14:schemeClr w14:val="tx1"/>
            </w14:solidFill>
          </w14:textFill>
        </w:rPr>
        <w:t xml:space="preserve">        var trainStates = encodedStates.Take(trainReturnsCount).ToArray();</w:t>
      </w:r>
    </w:p>
    <w:p w14:paraId="79A386B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ru-RU"/>
          <w14:textFill>
            <w14:solidFill>
              <w14:schemeClr w14:val="tx1"/>
            </w14:solidFill>
          </w14:textFill>
        </w:rPr>
        <w:t xml:space="preserve">        var trainReturns = returns.Take(trainReturnsCount).ToArray();</w:t>
      </w:r>
    </w:p>
    <w:p w14:paraId="255E775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ru-RU"/>
          <w14:textFill>
            <w14:solidFill>
              <w14:schemeClr w14:val="tx1"/>
            </w14:solidFill>
          </w14:textFill>
        </w:rPr>
        <w:t xml:space="preserve">        var model = trainer.Train(trainStates, trainReturns, memory, alpha);</w:t>
      </w:r>
    </w:p>
    <w:p w14:paraId="330220A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ru-RU"/>
          <w14:textFill>
            <w14:solidFill>
              <w14:schemeClr w14:val="tx1"/>
            </w14:solidFill>
          </w14:textFill>
        </w:rPr>
      </w:pPr>
    </w:p>
    <w:p w14:paraId="4B0F18B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ru-RU"/>
          <w14:textFill>
            <w14:solidFill>
              <w14:schemeClr w14:val="tx1"/>
            </w14:solidFill>
          </w14:textFill>
        </w:rPr>
        <w:t xml:space="preserve">        var actualReturns = new List&lt;double&gt;();</w:t>
      </w:r>
    </w:p>
    <w:p w14:paraId="23F48CD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ru-RU"/>
          <w14:textFill>
            <w14:solidFill>
              <w14:schemeClr w14:val="tx1"/>
            </w14:solidFill>
          </w14:textFill>
        </w:rPr>
        <w:t xml:space="preserve">        var predictedReturns = new List&lt;double&gt;();</w:t>
      </w:r>
    </w:p>
    <w:p w14:paraId="39451DE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ru-RU"/>
          <w14:textFill>
            <w14:solidFill>
              <w14:schemeClr w14:val="tx1"/>
            </w14:solidFill>
          </w14:textFill>
        </w:rPr>
        <w:t xml:space="preserve">        var actualPrices = new List&lt;double&gt;();</w:t>
      </w:r>
    </w:p>
    <w:p w14:paraId="7E48A1E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ru-RU"/>
          <w14:textFill>
            <w14:solidFill>
              <w14:schemeClr w14:val="tx1"/>
            </w14:solidFill>
          </w14:textFill>
        </w:rPr>
        <w:t xml:space="preserve">        var predictedPrices = new List&lt;double&gt;();</w:t>
      </w:r>
    </w:p>
    <w:p w14:paraId="3A7F13E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ru-RU"/>
          <w14:textFill>
            <w14:solidFill>
              <w14:schemeClr w14:val="tx1"/>
            </w14:solidFill>
          </w14:textFill>
        </w:rPr>
      </w:pPr>
    </w:p>
    <w:p w14:paraId="1DD23F3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ru-RU"/>
          <w14:textFill>
            <w14:solidFill>
              <w14:schemeClr w14:val="tx1"/>
            </w14:solidFill>
          </w14:textFill>
        </w:rPr>
        <w:t xml:space="preserve">        var currentPredictedPrice = prices[trainReturnsCount];</w:t>
      </w:r>
    </w:p>
    <w:p w14:paraId="5D87A08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ru-RU"/>
          <w14:textFill>
            <w14:solidFill>
              <w14:schemeClr w14:val="tx1"/>
            </w14:solidFill>
          </w14:textFill>
        </w:rPr>
      </w:pPr>
    </w:p>
    <w:p w14:paraId="3EBF183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ru-RU"/>
          <w14:textFill>
            <w14:solidFill>
              <w14:schemeClr w14:val="tx1"/>
            </w14:solidFill>
          </w14:textFill>
        </w:rPr>
        <w:t xml:space="preserve">        for (var t = trainReturnsCount; t &lt; returns.Count; t++)</w:t>
      </w:r>
    </w:p>
    <w:p w14:paraId="7A553B5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ru-RU"/>
          <w14:textFill>
            <w14:solidFill>
              <w14:schemeClr w14:val="tx1"/>
            </w14:solidFill>
          </w14:textFill>
        </w:rPr>
        <w:t xml:space="preserve">        {</w:t>
      </w:r>
    </w:p>
    <w:p w14:paraId="7164E95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ru-RU"/>
          <w14:textFill>
            <w14:solidFill>
              <w14:schemeClr w14:val="tx1"/>
            </w14:solidFill>
          </w14:textFill>
        </w:rPr>
        <w:t xml:space="preserve">            var pattern = BuildPattern(encodedStates, t - memory, memory);</w:t>
      </w:r>
    </w:p>
    <w:p w14:paraId="799F1A5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ru-RU"/>
          <w14:textFill>
            <w14:solidFill>
              <w14:schemeClr w14:val="tx1"/>
            </w14:solidFill>
          </w14:textFill>
        </w:rPr>
        <w:t xml:space="preserve">            var probabilities = model.TransitionProbabilities.TryGetValue(pattern, out var p)</w:t>
      </w:r>
    </w:p>
    <w:p w14:paraId="7CC42BF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ru-RU"/>
          <w14:textFill>
            <w14:solidFill>
              <w14:schemeClr w14:val="tx1"/>
            </w14:solidFill>
          </w14:textFill>
        </w:rPr>
        <w:t xml:space="preserve">                ? p</w:t>
      </w:r>
    </w:p>
    <w:p w14:paraId="0CA697E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ru-RU"/>
          <w14:textFill>
            <w14:solidFill>
              <w14:schemeClr w14:val="tx1"/>
            </w14:solidFill>
          </w14:textFill>
        </w:rPr>
        <w:t xml:space="preserve">                : model.GlobalDistribution;</w:t>
      </w:r>
    </w:p>
    <w:p w14:paraId="2AAD995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ru-RU"/>
          <w14:textFill>
            <w14:solidFill>
              <w14:schemeClr w14:val="tx1"/>
            </w14:solidFill>
          </w14:textFill>
        </w:rPr>
      </w:pPr>
    </w:p>
    <w:p w14:paraId="77F569C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ru-RU"/>
          <w14:textFill>
            <w14:solidFill>
              <w14:schemeClr w14:val="tx1"/>
            </w14:solidFill>
          </w14:textFill>
        </w:rPr>
        <w:t xml:space="preserve">            var predictedState = ArgMaxState(probabilities);</w:t>
      </w:r>
    </w:p>
    <w:p w14:paraId="5539E42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ru-RU"/>
          <w14:textFill>
            <w14:solidFill>
              <w14:schemeClr w14:val="tx1"/>
            </w14:solidFill>
          </w14:textFill>
        </w:rPr>
        <w:t xml:space="preserve">            var predictedReturn = model.MeanReturnsByState[predictedState];</w:t>
      </w:r>
    </w:p>
    <w:p w14:paraId="562E9D8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ru-RU"/>
          <w14:textFill>
            <w14:solidFill>
              <w14:schemeClr w14:val="tx1"/>
            </w14:solidFill>
          </w14:textFill>
        </w:rPr>
      </w:pPr>
    </w:p>
    <w:p w14:paraId="696A841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ru-RU"/>
          <w14:textFill>
            <w14:solidFill>
              <w14:schemeClr w14:val="tx1"/>
            </w14:solidFill>
          </w14:textFill>
        </w:rPr>
        <w:t xml:space="preserve">            actualReturns.Add(returns[t]);</w:t>
      </w:r>
    </w:p>
    <w:p w14:paraId="76DBBBD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ru-RU"/>
          <w14:textFill>
            <w14:solidFill>
              <w14:schemeClr w14:val="tx1"/>
            </w14:solidFill>
          </w14:textFill>
        </w:rPr>
        <w:t xml:space="preserve">            predictedReturns.Add(predictedReturn);</w:t>
      </w:r>
    </w:p>
    <w:p w14:paraId="6BDC000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ru-RU"/>
          <w14:textFill>
            <w14:solidFill>
              <w14:schemeClr w14:val="tx1"/>
            </w14:solidFill>
          </w14:textFill>
        </w:rPr>
      </w:pPr>
    </w:p>
    <w:p w14:paraId="7C87FCB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ru-RU"/>
          <w14:textFill>
            <w14:solidFill>
              <w14:schemeClr w14:val="tx1"/>
            </w14:solidFill>
          </w14:textFill>
        </w:rPr>
        <w:t xml:space="preserve">            var actualPrice = prices[t + 1];</w:t>
      </w:r>
    </w:p>
    <w:p w14:paraId="549034E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ru-RU"/>
          <w14:textFill>
            <w14:solidFill>
              <w14:schemeClr w14:val="tx1"/>
            </w14:solidFill>
          </w14:textFill>
        </w:rPr>
        <w:t xml:space="preserve">            actualPrices.Add(actualPrice);</w:t>
      </w:r>
    </w:p>
    <w:p w14:paraId="2F01713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ru-RU"/>
          <w14:textFill>
            <w14:solidFill>
              <w14:schemeClr w14:val="tx1"/>
            </w14:solidFill>
          </w14:textFill>
        </w:rPr>
      </w:pPr>
    </w:p>
    <w:p w14:paraId="15491CC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ru-RU"/>
          <w14:textFill>
            <w14:solidFill>
              <w14:schemeClr w14:val="tx1"/>
            </w14:solidFill>
          </w14:textFill>
        </w:rPr>
        <w:t xml:space="preserve">            currentPredictedPrice *= Math.Exp(predictedReturn);</w:t>
      </w:r>
    </w:p>
    <w:p w14:paraId="7D0BB2D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ru-RU"/>
          <w14:textFill>
            <w14:solidFill>
              <w14:schemeClr w14:val="tx1"/>
            </w14:solidFill>
          </w14:textFill>
        </w:rPr>
        <w:t xml:space="preserve">            predictedPrices.Add(currentPredictedPrice);</w:t>
      </w:r>
    </w:p>
    <w:p w14:paraId="7711659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ru-RU"/>
          <w14:textFill>
            <w14:solidFill>
              <w14:schemeClr w14:val="tx1"/>
            </w14:solidFill>
          </w14:textFill>
        </w:rPr>
        <w:t xml:space="preserve">        }</w:t>
      </w:r>
    </w:p>
    <w:p w14:paraId="4B1A0D0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ru-RU"/>
          <w14:textFill>
            <w14:solidFill>
              <w14:schemeClr w14:val="tx1"/>
            </w14:solidFill>
          </w14:textFill>
        </w:rPr>
      </w:pPr>
    </w:p>
    <w:p w14:paraId="49A9AD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ru-RU"/>
          <w14:textFill>
            <w14:solidFill>
              <w14:schemeClr w14:val="tx1"/>
            </w14:solidFill>
          </w14:textFill>
        </w:rPr>
        <w:t xml:space="preserve">        var mae = metricsService.CalculateMae(actualPrices, predictedPrices);</w:t>
      </w:r>
    </w:p>
    <w:p w14:paraId="028F8CA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ru-RU"/>
          <w14:textFill>
            <w14:solidFill>
              <w14:schemeClr w14:val="tx1"/>
            </w14:solidFill>
          </w14:textFill>
        </w:rPr>
        <w:t xml:space="preserve">        var mse = metricsService.CalculateMse(actualPrices, predictedPrices);</w:t>
      </w:r>
    </w:p>
    <w:p w14:paraId="1AAAD8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ru-RU"/>
          <w14:textFill>
            <w14:solidFill>
              <w14:schemeClr w14:val="tx1"/>
            </w14:solidFill>
          </w14:textFill>
        </w:rPr>
        <w:t xml:space="preserve">        var rmse = metricsService.CalculateRmse(actualPrices, predictedPrices);</w:t>
      </w:r>
    </w:p>
    <w:p w14:paraId="34389EB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ru-RU"/>
          <w14:textFill>
            <w14:solidFill>
              <w14:schemeClr w14:val="tx1"/>
            </w14:solidFill>
          </w14:textFill>
        </w:rPr>
        <w:t xml:space="preserve">        var mapePercent = metricsService.CalculateMapePercent(actualPrices, predictedPrices);</w:t>
      </w:r>
    </w:p>
    <w:p w14:paraId="00FA99C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ru-RU"/>
          <w14:textFill>
            <w14:solidFill>
              <w14:schemeClr w14:val="tx1"/>
            </w14:solidFill>
          </w14:textFill>
        </w:rPr>
      </w:pPr>
    </w:p>
    <w:p w14:paraId="7ACB11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ru-RU"/>
          <w14:textFill>
            <w14:solidFill>
              <w14:schemeClr w14:val="tx1"/>
            </w14:solidFill>
          </w14:textFill>
        </w:rPr>
        <w:t xml:space="preserve">        return new ForecastResult</w:t>
      </w:r>
    </w:p>
    <w:p w14:paraId="421734E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ru-RU"/>
          <w14:textFill>
            <w14:solidFill>
              <w14:schemeClr w14:val="tx1"/>
            </w14:solidFill>
          </w14:textFill>
        </w:rPr>
        <w:t xml:space="preserve">        {</w:t>
      </w:r>
    </w:p>
    <w:p w14:paraId="7F27000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ru-RU"/>
          <w14:textFill>
            <w14:solidFill>
              <w14:schemeClr w14:val="tx1"/>
            </w14:solidFill>
          </w14:textFill>
        </w:rPr>
        <w:t xml:space="preserve">            Memory = memory,</w:t>
      </w:r>
    </w:p>
    <w:p w14:paraId="231E22D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ru-RU"/>
          <w14:textFill>
            <w14:solidFill>
              <w14:schemeClr w14:val="tx1"/>
            </w14:solidFill>
          </w14:textFill>
        </w:rPr>
        <w:t xml:space="preserve">            TrainReturnsCount = trainReturnsCount,</w:t>
      </w:r>
    </w:p>
    <w:p w14:paraId="4CB2CDA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ru-RU"/>
          <w14:textFill>
            <w14:solidFill>
              <w14:schemeClr w14:val="tx1"/>
            </w14:solidFill>
          </w14:textFill>
        </w:rPr>
        <w:t xml:space="preserve">            ActualReturns = actualReturns,</w:t>
      </w:r>
    </w:p>
    <w:p w14:paraId="639995D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ru-RU"/>
          <w14:textFill>
            <w14:solidFill>
              <w14:schemeClr w14:val="tx1"/>
            </w14:solidFill>
          </w14:textFill>
        </w:rPr>
        <w:t xml:space="preserve">            PredictedReturns = predictedReturns,</w:t>
      </w:r>
    </w:p>
    <w:p w14:paraId="06C3038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ru-RU"/>
          <w14:textFill>
            <w14:solidFill>
              <w14:schemeClr w14:val="tx1"/>
            </w14:solidFill>
          </w14:textFill>
        </w:rPr>
        <w:t xml:space="preserve">            ActualPrices = actualPrices,</w:t>
      </w:r>
    </w:p>
    <w:p w14:paraId="6BAA809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ru-RU"/>
          <w14:textFill>
            <w14:solidFill>
              <w14:schemeClr w14:val="tx1"/>
            </w14:solidFill>
          </w14:textFill>
        </w:rPr>
        <w:t xml:space="preserve">            PredictedPrices = predictedPrices,</w:t>
      </w:r>
    </w:p>
    <w:p w14:paraId="30674D2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ru-RU"/>
          <w14:textFill>
            <w14:solidFill>
              <w14:schemeClr w14:val="tx1"/>
            </w14:solidFill>
          </w14:textFill>
        </w:rPr>
        <w:t xml:space="preserve">            Mae = mae,</w:t>
      </w:r>
    </w:p>
    <w:p w14:paraId="14939AC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ru-RU"/>
          <w14:textFill>
            <w14:solidFill>
              <w14:schemeClr w14:val="tx1"/>
            </w14:solidFill>
          </w14:textFill>
        </w:rPr>
        <w:t xml:space="preserve">            Mse = mse,</w:t>
      </w:r>
    </w:p>
    <w:p w14:paraId="5A12579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ru-RU"/>
          <w14:textFill>
            <w14:solidFill>
              <w14:schemeClr w14:val="tx1"/>
            </w14:solidFill>
          </w14:textFill>
        </w:rPr>
        <w:t xml:space="preserve">            Rmse = rmse,</w:t>
      </w:r>
    </w:p>
    <w:p w14:paraId="2BCE5C4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ru-RU"/>
          <w14:textFill>
            <w14:solidFill>
              <w14:schemeClr w14:val="tx1"/>
            </w14:solidFill>
          </w14:textFill>
        </w:rPr>
        <w:t xml:space="preserve">            MapePercent = mapePercent</w:t>
      </w:r>
    </w:p>
    <w:p w14:paraId="41D0784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ru-RU"/>
          <w14:textFill>
            <w14:solidFill>
              <w14:schemeClr w14:val="tx1"/>
            </w14:solidFill>
          </w14:textFill>
        </w:rPr>
        <w:t xml:space="preserve">        };</w:t>
      </w:r>
    </w:p>
    <w:p w14:paraId="42BEAC8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ru-RU"/>
          <w14:textFill>
            <w14:solidFill>
              <w14:schemeClr w14:val="tx1"/>
            </w14:solidFill>
          </w14:textFill>
        </w:rPr>
        <w:t xml:space="preserve">    }</w:t>
      </w:r>
    </w:p>
    <w:p w14:paraId="6415C45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ru-RU"/>
          <w14:textFill>
            <w14:solidFill>
              <w14:schemeClr w14:val="tx1"/>
            </w14:solidFill>
          </w14:textFill>
        </w:rPr>
      </w:pPr>
    </w:p>
    <w:p w14:paraId="2A59C7E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ru-RU"/>
          <w14:textFill>
            <w14:solidFill>
              <w14:schemeClr w14:val="tx1"/>
            </w14:solidFill>
          </w14:textFill>
        </w:rPr>
        <w:t xml:space="preserve">    private static string BuildPattern(IReadOnlyList&lt;int&gt; states, int start, int memory)</w:t>
      </w:r>
    </w:p>
    <w:p w14:paraId="334E2AB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ru-RU"/>
          <w14:textFill>
            <w14:solidFill>
              <w14:schemeClr w14:val="tx1"/>
            </w14:solidFill>
          </w14:textFill>
        </w:rPr>
        <w:t xml:space="preserve">    {</w:t>
      </w:r>
    </w:p>
    <w:p w14:paraId="61AE491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ru-RU"/>
          <w14:textFill>
            <w14:solidFill>
              <w14:schemeClr w14:val="tx1"/>
            </w14:solidFill>
          </w14:textFill>
        </w:rPr>
        <w:t xml:space="preserve">        return string.Join('|', states.Skip(start).Take(memory));</w:t>
      </w:r>
    </w:p>
    <w:p w14:paraId="275C29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ru-RU"/>
          <w14:textFill>
            <w14:solidFill>
              <w14:schemeClr w14:val="tx1"/>
            </w14:solidFill>
          </w14:textFill>
        </w:rPr>
        <w:t xml:space="preserve">    }</w:t>
      </w:r>
    </w:p>
    <w:p w14:paraId="7ADDEC1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ru-RU"/>
          <w14:textFill>
            <w14:solidFill>
              <w14:schemeClr w14:val="tx1"/>
            </w14:solidFill>
          </w14:textFill>
        </w:rPr>
      </w:pPr>
    </w:p>
    <w:p w14:paraId="2B1F4FB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ru-RU"/>
          <w14:textFill>
            <w14:solidFill>
              <w14:schemeClr w14:val="tx1"/>
            </w14:solidFill>
          </w14:textFill>
        </w:rPr>
        <w:t xml:space="preserve">    private static int ArgMaxState(IReadOnlyList&lt;double&gt; probs)</w:t>
      </w:r>
    </w:p>
    <w:p w14:paraId="2D6EECF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ru-RU"/>
          <w14:textFill>
            <w14:solidFill>
              <w14:schemeClr w14:val="tx1"/>
            </w14:solidFill>
          </w14:textFill>
        </w:rPr>
        <w:t xml:space="preserve">    {</w:t>
      </w:r>
    </w:p>
    <w:p w14:paraId="1D51B14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ru-RU"/>
          <w14:textFill>
            <w14:solidFill>
              <w14:schemeClr w14:val="tx1"/>
            </w14:solidFill>
          </w14:textFill>
        </w:rPr>
        <w:t xml:space="preserve">        var index = 0;</w:t>
      </w:r>
    </w:p>
    <w:p w14:paraId="13BCE77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ru-RU"/>
          <w14:textFill>
            <w14:solidFill>
              <w14:schemeClr w14:val="tx1"/>
            </w14:solidFill>
          </w14:textFill>
        </w:rPr>
        <w:t xml:space="preserve">        var max = probs[0];</w:t>
      </w:r>
    </w:p>
    <w:p w14:paraId="2F37A51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ru-RU"/>
          <w14:textFill>
            <w14:solidFill>
              <w14:schemeClr w14:val="tx1"/>
            </w14:solidFill>
          </w14:textFill>
        </w:rPr>
        <w:t xml:space="preserve">        for (var i = 1; i &lt; probs.Count; i++)</w:t>
      </w:r>
    </w:p>
    <w:p w14:paraId="18A2013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ru-RU"/>
          <w14:textFill>
            <w14:solidFill>
              <w14:schemeClr w14:val="tx1"/>
            </w14:solidFill>
          </w14:textFill>
        </w:rPr>
        <w:t xml:space="preserve">        {</w:t>
      </w:r>
    </w:p>
    <w:p w14:paraId="12F7527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ru-RU"/>
          <w14:textFill>
            <w14:solidFill>
              <w14:schemeClr w14:val="tx1"/>
            </w14:solidFill>
          </w14:textFill>
        </w:rPr>
        <w:t xml:space="preserve">            if (probs[i] &gt; max)</w:t>
      </w:r>
    </w:p>
    <w:p w14:paraId="78A154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ru-RU"/>
          <w14:textFill>
            <w14:solidFill>
              <w14:schemeClr w14:val="tx1"/>
            </w14:solidFill>
          </w14:textFill>
        </w:rPr>
        <w:t xml:space="preserve">            {</w:t>
      </w:r>
    </w:p>
    <w:p w14:paraId="50FCC43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ru-RU"/>
          <w14:textFill>
            <w14:solidFill>
              <w14:schemeClr w14:val="tx1"/>
            </w14:solidFill>
          </w14:textFill>
        </w:rPr>
        <w:t xml:space="preserve">                max = probs[i];</w:t>
      </w:r>
    </w:p>
    <w:p w14:paraId="1288B2F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ru-RU"/>
          <w14:textFill>
            <w14:solidFill>
              <w14:schemeClr w14:val="tx1"/>
            </w14:solidFill>
          </w14:textFill>
        </w:rPr>
        <w:t xml:space="preserve">                index = i;</w:t>
      </w:r>
    </w:p>
    <w:p w14:paraId="2985B76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ru-RU"/>
          <w14:textFill>
            <w14:solidFill>
              <w14:schemeClr w14:val="tx1"/>
            </w14:solidFill>
          </w14:textFill>
        </w:rPr>
        <w:t xml:space="preserve">            }</w:t>
      </w:r>
    </w:p>
    <w:p w14:paraId="7FD94EF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ru-RU"/>
          <w14:textFill>
            <w14:solidFill>
              <w14:schemeClr w14:val="tx1"/>
            </w14:solidFill>
          </w14:textFill>
        </w:rPr>
        <w:t xml:space="preserve">        }</w:t>
      </w:r>
    </w:p>
    <w:p w14:paraId="20A4BBE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ru-RU"/>
          <w14:textFill>
            <w14:solidFill>
              <w14:schemeClr w14:val="tx1"/>
            </w14:solidFill>
          </w14:textFill>
        </w:rPr>
      </w:pPr>
    </w:p>
    <w:p w14:paraId="18F36DD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ru-RU"/>
          <w14:textFill>
            <w14:solidFill>
              <w14:schemeClr w14:val="tx1"/>
            </w14:solidFill>
          </w14:textFill>
        </w:rPr>
        <w:t xml:space="preserve">        return index switch</w:t>
      </w:r>
    </w:p>
    <w:p w14:paraId="051F8E4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ru-RU"/>
          <w14:textFill>
            <w14:solidFill>
              <w14:schemeClr w14:val="tx1"/>
            </w14:solidFill>
          </w14:textFill>
        </w:rPr>
        <w:t xml:space="preserve">        {</w:t>
      </w:r>
    </w:p>
    <w:p w14:paraId="0A8E924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ru-RU"/>
          <w14:textFill>
            <w14:solidFill>
              <w14:schemeClr w14:val="tx1"/>
            </w14:solidFill>
          </w14:textFill>
        </w:rPr>
        <w:t xml:space="preserve">            0 =&gt; -1,</w:t>
      </w:r>
    </w:p>
    <w:p w14:paraId="439DB28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ru-RU"/>
          <w14:textFill>
            <w14:solidFill>
              <w14:schemeClr w14:val="tx1"/>
            </w14:solidFill>
          </w14:textFill>
        </w:rPr>
        <w:t xml:space="preserve">            </w:t>
      </w:r>
      <w:bookmarkStart w:id="26" w:name="_Toc18873"/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ru-RU"/>
          <w14:textFill>
            <w14:solidFill>
              <w14:schemeClr w14:val="tx1"/>
            </w14:solidFill>
          </w14:textFill>
        </w:rPr>
        <w:t>1 =&gt; 0,</w:t>
      </w:r>
      <w:bookmarkEnd w:id="26"/>
    </w:p>
    <w:p w14:paraId="270EB77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ru-RU"/>
          <w14:textFill>
            <w14:solidFill>
              <w14:schemeClr w14:val="tx1"/>
            </w14:solidFill>
          </w14:textFill>
        </w:rPr>
        <w:t xml:space="preserve">            </w:t>
      </w:r>
      <w:bookmarkStart w:id="27" w:name="_Toc32289"/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ru-RU"/>
          <w14:textFill>
            <w14:solidFill>
              <w14:schemeClr w14:val="tx1"/>
            </w14:solidFill>
          </w14:textFill>
        </w:rPr>
        <w:t>2 =&gt; 1,</w:t>
      </w:r>
      <w:bookmarkEnd w:id="27"/>
    </w:p>
    <w:p w14:paraId="3C5EA6D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ru-RU"/>
          <w14:textFill>
            <w14:solidFill>
              <w14:schemeClr w14:val="tx1"/>
            </w14:solidFill>
          </w14:textFill>
        </w:rPr>
        <w:t xml:space="preserve">            _ =&gt; 0</w:t>
      </w:r>
    </w:p>
    <w:p w14:paraId="6050288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ru-RU"/>
          <w14:textFill>
            <w14:solidFill>
              <w14:schemeClr w14:val="tx1"/>
            </w14:solidFill>
          </w14:textFill>
        </w:rPr>
        <w:t xml:space="preserve">        };</w:t>
      </w:r>
    </w:p>
    <w:p w14:paraId="17EE248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ru-RU"/>
          <w14:textFill>
            <w14:solidFill>
              <w14:schemeClr w14:val="tx1"/>
            </w14:solidFill>
          </w14:textFill>
        </w:rPr>
        <w:t xml:space="preserve">    }</w:t>
      </w:r>
    </w:p>
    <w:p w14:paraId="1052269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ru-RU"/>
          <w14:textFill>
            <w14:solidFill>
              <w14:schemeClr w14:val="tx1"/>
            </w14:solidFill>
          </w14:textFill>
        </w:rPr>
        <w:t>}</w:t>
      </w:r>
    </w:p>
    <w:p w14:paraId="4914413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ru-RU"/>
          <w14:textFill>
            <w14:solidFill>
              <w14:schemeClr w14:val="tx1"/>
            </w14:solidFill>
          </w14:textFill>
        </w:rPr>
      </w:pPr>
    </w:p>
    <w:p w14:paraId="74705BE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ru-RU"/>
          <w14:textFill>
            <w14:solidFill>
              <w14:schemeClr w14:val="tx1"/>
            </w14:solidFill>
          </w14:textFill>
        </w:rPr>
      </w:pPr>
    </w:p>
    <w:sectPr>
      <w:footerReference r:id="rId8" w:type="first"/>
      <w:headerReference r:id="rId6" w:type="default"/>
      <w:footerReference r:id="rId7" w:type="default"/>
      <w:pgSz w:w="12240" w:h="15840"/>
      <w:pgMar w:top="1134" w:right="567" w:bottom="1134" w:left="1417" w:header="72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start="2"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696F8D">
    <w:pPr>
      <w:pStyle w:val="28"/>
    </w:pPr>
    <w:r>
      <w:rPr>
        <w:sz w:val="2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6" name="Текстовое поле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8DBFA64">
                          <w:pPr>
                            <w:pStyle w:val="28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MBE0pNAAgAAdQQAAA4AAABkcnMvZTJvRG9jLnhtbK1Uy47TMBTdI/EP&#10;lvc0aRFVVTUdlamKkCpmpIJYu47TRPJLttuk7OBT+ASk2YAEv9D5I46TpoMGFrNgUefY933uvZ1d&#10;NUqSg3C+Mjqjw0FKidDc5JXeZfTD+9WLCSU+MJ0zabTI6FF4ejV//mxW26kYmdLIXDgCJ9pPa5vR&#10;MgQ7TRLPS6GYHxgrNISFcYoFXN0uyR2r4V3JZJSm46Q2LrfOcOE9XpedkJ49uqc4NEVRcbE0fK+E&#10;Dp1XJyQLKMmXlfV03mZbFIKHm6LwIhCZUVQa2hNBgLfxTOYzNt05ZsuKn1NgT0nhUU2KVRpBL66W&#10;LDCyd9VfrlTFnfGmCANuVNIV0jKCKobpI242JbOirQVUe3sh3f8/t/zd4daRKsckjCnRTKHjp6+n&#10;u9P3+8/3X04/T9/wuyOnX/j8AIAWKKutn8JyY2EbmtemgXn/7vEYmWgKp+IXNRLIQfjxQrhoAuHR&#10;aDKaTFKIOGT9Bf6TB3PrfHgjjCIRZNShoy3R7LD2oVPtVWI0bVaVlG1XpSZ1RscvX6WtwUUC51Ij&#10;RiyiSzai0Gybc2Vbkx9RmDPdtHjLVxWCr5kPt8xhPJAwFijc4CikQRBzRpSUxn3613vUR9cgpaTG&#10;uGVUY7sokW81ugmHoQeuB9se6L26NpjfIRbT8hbCwAXZw8IZ9RFbtYgxIGKaI1JGQw+vQzfy2Eou&#10;FotWaW9dtSs7A8yiZWGtN5bHMJFIbxf7ADJbjiNBHStn3jCNbZfOmxPH/c97q/XwbzH/D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AAAAABk&#10;cnMvUEsBAhQAFAAAAAgAh07iQLNJWO7QAAAABQEAAA8AAAAAAAAAAQAgAAAAIgAAAGRycy9kb3du&#10;cmV2LnhtbFBLAQIUABQAAAAIAIdO4kDARNKTQAIAAHUEAAAOAAAAAAAAAAEAIAAAAB8BAABkcnMv&#10;ZTJvRG9jLnhtbFBLBQYAAAAABgAGAFkBAADR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8DBFA64">
                    <w:pPr>
                      <w:pStyle w:val="28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04EADD">
    <w:pPr>
      <w:pStyle w:val="28"/>
    </w:pPr>
    <w:r>
      <w:rPr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7" name="Текстовое поле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77913D9">
                          <w:pPr>
                            <w:pStyle w:val="28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JLV2BlAAgAAdQQAAA4AAABkcnMvZTJvRG9jLnhtbK1Uy24TMRTdI/EP&#10;lvdkkiBKFGVShUZBSBGtFBBrx+PJjOSXbCczYQefwicgdVMk+IX0jzieR4oKiy5YxHPs+z733swu&#10;ayXJQThfGp3S0WBIidDcZKXepfTjh9WLCSU+MJ0xabRI6VF4ejl//mxW2akYm8LITDgCJ9pPK5vS&#10;IgQ7TRLPC6GYHxgrNIS5cYoFXN0uyRyr4F3JZDwcXiSVcZl1hgvv8bpshbTz6J7i0OR5ycXS8L0S&#10;OrRenZAsoCRflNbTeZNtngservPci0BkSlFpaE4EAd7GM5nP2HTnmC1K3qXAnpLCo5oUKzWCnl0t&#10;WWBk78q/XKmSO+NNHgbcqKQtpGEEVYyGj7jZFMyKphZQ7e2ZdP//3PL3hxtHygyT8JoSzRQ6fvp2&#10;uj3d3X+5/3r6efqO3y05/cLnBwC0QFll/RSWGwvbUL8xNcz7d4/HyESdOxW/qJFADsKPZ8JFHQiP&#10;RpPxZDKEiEPWX+A/eTC3zoe3wigSQUodOtoQzQ5rH1rVXiVG02ZVStl0VWpSpfTi5athY3CWwLnU&#10;iBGLaJONKNTbuqtsa7IjCnOmnRZv+apE8DXz4YY5jAcSxgKFaxy5NAhiOkRJYdznf71HfXQNUkoq&#10;jFtKNbaLEvlOo5twGHrgerDtgd6rK4P5HWExLW8gDFyQPcydUZ+wVYsYAyKmOSKlNPTwKrQjj63k&#10;YrFolPbWlbuiNcAsWhbWemN5DBOJ9HaxDyCz4TgS1LLS8YZpbLrUbU4c9z/vjdbDv8X8N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AAAAABk&#10;cnMvUEsBAhQAFAAAAAgAh07iQLNJWO7QAAAABQEAAA8AAAAAAAAAAQAgAAAAIgAAAGRycy9kb3du&#10;cmV2LnhtbFBLAQIUABQAAAAIAIdO4kCS1dgZQAIAAHUEAAAOAAAAAAAAAAEAIAAAAB8BAABkcnMv&#10;ZTJvRG9jLnhtbFBLBQYAAAAABgAGAFkBAADR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77913D9">
                    <w:pPr>
                      <w:pStyle w:val="28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648673">
    <w:pPr>
      <w:pStyle w:val="20"/>
      <w:jc w:val="center"/>
    </w:pPr>
    <w:r>
      <w:fldChar w:fldCharType="begin"/>
    </w:r>
    <w:r>
      <w:instrText xml:space="preserve"> PAGE </w:instrText>
    </w:r>
    <w:r>
      <w:fldChar w:fldCharType="separate"/>
    </w:r>
    <w:r>
      <w:fldChar w:fldCharType="end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8D489E">
    <w:pPr>
      <w:pStyle w:val="20"/>
      <w:ind w:left="0" w:leftChars="0" w:firstLine="0" w:firstLineChars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C0A0EA"/>
    <w:multiLevelType w:val="singleLevel"/>
    <w:tmpl w:val="83C0A0EA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DCE38121"/>
    <w:multiLevelType w:val="singleLevel"/>
    <w:tmpl w:val="DCE38121"/>
    <w:lvl w:ilvl="0" w:tentative="0">
      <w:start w:val="1"/>
      <w:numFmt w:val="decimal"/>
      <w:suff w:val="space"/>
      <w:lvlText w:val="%1)"/>
      <w:lvlJc w:val="left"/>
    </w:lvl>
  </w:abstractNum>
  <w:abstractNum w:abstractNumId="2">
    <w:nsid w:val="ED756768"/>
    <w:multiLevelType w:val="singleLevel"/>
    <w:tmpl w:val="ED756768"/>
    <w:lvl w:ilvl="0" w:tentative="0">
      <w:start w:val="1"/>
      <w:numFmt w:val="decimal"/>
      <w:suff w:val="space"/>
      <w:lvlText w:val="%1)"/>
      <w:lvlJc w:val="left"/>
    </w:lvl>
  </w:abstractNum>
  <w:abstractNum w:abstractNumId="3">
    <w:nsid w:val="FFFFFF7E"/>
    <w:multiLevelType w:val="singleLevel"/>
    <w:tmpl w:val="FFFFFF7E"/>
    <w:lvl w:ilvl="0" w:tentative="0">
      <w:start w:val="1"/>
      <w:numFmt w:val="decimal"/>
      <w:pStyle w:val="19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4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5">
    <w:nsid w:val="FFFFFF82"/>
    <w:multiLevelType w:val="singleLevel"/>
    <w:tmpl w:val="FFFFFF82"/>
    <w:lvl w:ilvl="0" w:tentative="0">
      <w:start w:val="1"/>
      <w:numFmt w:val="bullet"/>
      <w:pStyle w:val="26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FFFFFF83"/>
    <w:lvl w:ilvl="0" w:tentative="0">
      <w:start w:val="1"/>
      <w:numFmt w:val="bullet"/>
      <w:pStyle w:val="25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8">
    <w:nsid w:val="FFFFFF89"/>
    <w:multiLevelType w:val="singleLevel"/>
    <w:tmpl w:val="FFFFFF89"/>
    <w:lvl w:ilvl="0" w:tentative="0">
      <w:start w:val="1"/>
      <w:numFmt w:val="bullet"/>
      <w:pStyle w:val="24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9">
    <w:nsid w:val="34B11FDE"/>
    <w:multiLevelType w:val="singleLevel"/>
    <w:tmpl w:val="34B11FDE"/>
    <w:lvl w:ilvl="0" w:tentative="0">
      <w:start w:val="1"/>
      <w:numFmt w:val="decimal"/>
      <w:suff w:val="space"/>
      <w:lvlText w:val="%1)"/>
      <w:lvlJc w:val="left"/>
    </w:lvl>
  </w:abstractNum>
  <w:num w:numId="1">
    <w:abstractNumId w:val="3"/>
  </w:num>
  <w:num w:numId="2">
    <w:abstractNumId w:val="8"/>
  </w:num>
  <w:num w:numId="3">
    <w:abstractNumId w:val="6"/>
  </w:num>
  <w:num w:numId="4">
    <w:abstractNumId w:val="5"/>
  </w:num>
  <w:num w:numId="5">
    <w:abstractNumId w:val="7"/>
  </w:num>
  <w:num w:numId="6">
    <w:abstractNumId w:val="4"/>
  </w:num>
  <w:num w:numId="7">
    <w:abstractNumId w:val="9"/>
  </w:num>
  <w:num w:numId="8">
    <w:abstractNumId w:val="1"/>
  </w:num>
  <w:num w:numId="9">
    <w:abstractNumId w:val="2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5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A2A393B"/>
    <w:rsid w:val="0AA471F7"/>
    <w:rsid w:val="11570BAC"/>
    <w:rsid w:val="144B7858"/>
    <w:rsid w:val="1A901FD5"/>
    <w:rsid w:val="20347AED"/>
    <w:rsid w:val="2BD06FF0"/>
    <w:rsid w:val="2D700C66"/>
    <w:rsid w:val="31604BD1"/>
    <w:rsid w:val="32C42CD2"/>
    <w:rsid w:val="3B1142D0"/>
    <w:rsid w:val="3DD0580B"/>
    <w:rsid w:val="4CF33B7D"/>
    <w:rsid w:val="4EFF0678"/>
    <w:rsid w:val="68B26FF7"/>
    <w:rsid w:val="74777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360" w:lineRule="auto"/>
      <w:ind w:firstLine="709"/>
      <w:jc w:val="both"/>
    </w:pPr>
    <w:rPr>
      <w:rFonts w:ascii="Times New Roman" w:hAnsi="Times New Roman" w:eastAsia="Times New Roman" w:cstheme="minorBidi"/>
      <w:sz w:val="28"/>
      <w:szCs w:val="22"/>
      <w:lang w:val="en-US" w:eastAsia="en-US" w:bidi="ar-SA"/>
    </w:rPr>
  </w:style>
  <w:style w:type="paragraph" w:styleId="2">
    <w:name w:val="heading 1"/>
    <w:basedOn w:val="1"/>
    <w:next w:val="1"/>
    <w:link w:val="43"/>
    <w:qFormat/>
    <w:uiPriority w:val="9"/>
    <w:pPr>
      <w:keepNext/>
      <w:keepLines/>
      <w:spacing w:before="360" w:after="360" w:line="240" w:lineRule="auto"/>
      <w:ind w:firstLine="0"/>
      <w:jc w:val="center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36"/>
      <w:szCs w:val="28"/>
    </w:rPr>
  </w:style>
  <w:style w:type="paragraph" w:styleId="3">
    <w:name w:val="heading 2"/>
    <w:basedOn w:val="1"/>
    <w:next w:val="1"/>
    <w:link w:val="44"/>
    <w:unhideWhenUsed/>
    <w:qFormat/>
    <w:uiPriority w:val="9"/>
    <w:pPr>
      <w:keepNext/>
      <w:keepLines/>
      <w:spacing w:before="360" w:after="360" w:line="240" w:lineRule="auto"/>
      <w:ind w:firstLine="0"/>
      <w:jc w:val="left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5"/>
    <w:unhideWhenUsed/>
    <w:qFormat/>
    <w:uiPriority w:val="9"/>
    <w:pPr>
      <w:keepNext/>
      <w:keepLines/>
      <w:spacing w:before="360" w:after="360" w:line="240" w:lineRule="auto"/>
      <w:ind w:firstLine="0"/>
      <w:jc w:val="left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8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8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9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60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Hyperlink"/>
    <w:basedOn w:val="11"/>
    <w:semiHidden/>
    <w:unhideWhenUsed/>
    <w:qFormat/>
    <w:uiPriority w:val="99"/>
    <w:rPr>
      <w:color w:val="0000FF"/>
      <w:u w:val="single"/>
    </w:rPr>
  </w:style>
  <w:style w:type="character" w:styleId="15">
    <w:name w:val="Strong"/>
    <w:basedOn w:val="11"/>
    <w:qFormat/>
    <w:uiPriority w:val="22"/>
    <w:rPr>
      <w:b/>
      <w:bCs/>
    </w:rPr>
  </w:style>
  <w:style w:type="paragraph" w:styleId="1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17">
    <w:name w:val="Body Text 2"/>
    <w:basedOn w:val="1"/>
    <w:link w:val="50"/>
    <w:unhideWhenUsed/>
    <w:qFormat/>
    <w:uiPriority w:val="99"/>
    <w:pPr>
      <w:spacing w:after="120" w:line="480" w:lineRule="auto"/>
    </w:pPr>
  </w:style>
  <w:style w:type="paragraph" w:styleId="18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9">
    <w:name w:val="List Number 3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0">
    <w:name w:val="header"/>
    <w:basedOn w:val="1"/>
    <w:link w:val="40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1">
    <w:name w:val="Body Text"/>
    <w:basedOn w:val="1"/>
    <w:link w:val="49"/>
    <w:unhideWhenUsed/>
    <w:qFormat/>
    <w:uiPriority w:val="99"/>
    <w:pPr>
      <w:spacing w:after="120"/>
    </w:pPr>
  </w:style>
  <w:style w:type="paragraph" w:styleId="22">
    <w:name w:val="toc 1"/>
    <w:basedOn w:val="1"/>
    <w:next w:val="1"/>
    <w:semiHidden/>
    <w:unhideWhenUsed/>
    <w:qFormat/>
    <w:uiPriority w:val="39"/>
  </w:style>
  <w:style w:type="paragraph" w:styleId="23">
    <w:name w:val="macro"/>
    <w:link w:val="52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4">
    <w:name w:val="List Bullet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2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27">
    <w:name w:val="Title"/>
    <w:basedOn w:val="1"/>
    <w:next w:val="1"/>
    <w:link w:val="46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28">
    <w:name w:val="footer"/>
    <w:basedOn w:val="1"/>
    <w:link w:val="4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1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32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33">
    <w:name w:val="Body Text 3"/>
    <w:basedOn w:val="1"/>
    <w:link w:val="51"/>
    <w:unhideWhenUsed/>
    <w:qFormat/>
    <w:uiPriority w:val="99"/>
    <w:pPr>
      <w:spacing w:after="120"/>
    </w:pPr>
    <w:rPr>
      <w:sz w:val="16"/>
      <w:szCs w:val="16"/>
    </w:rPr>
  </w:style>
  <w:style w:type="paragraph" w:styleId="34">
    <w:name w:val="Subtitle"/>
    <w:basedOn w:val="1"/>
    <w:next w:val="1"/>
    <w:link w:val="47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5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6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7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38">
    <w:name w:val="List 3"/>
    <w:basedOn w:val="1"/>
    <w:unhideWhenUsed/>
    <w:qFormat/>
    <w:uiPriority w:val="99"/>
    <w:pPr>
      <w:ind w:left="1080" w:hanging="360"/>
      <w:contextualSpacing/>
    </w:pPr>
  </w:style>
  <w:style w:type="table" w:styleId="39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40">
    <w:name w:val="Header Char"/>
    <w:basedOn w:val="11"/>
    <w:link w:val="20"/>
    <w:qFormat/>
    <w:uiPriority w:val="99"/>
  </w:style>
  <w:style w:type="character" w:customStyle="1" w:styleId="41">
    <w:name w:val="Footer Char"/>
    <w:basedOn w:val="11"/>
    <w:link w:val="28"/>
    <w:qFormat/>
    <w:uiPriority w:val="99"/>
  </w:style>
  <w:style w:type="paragraph" w:styleId="42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3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4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5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6">
    <w:name w:val="Title Char"/>
    <w:basedOn w:val="11"/>
    <w:link w:val="27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7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8">
    <w:name w:val="List Paragraph"/>
    <w:basedOn w:val="1"/>
    <w:qFormat/>
    <w:uiPriority w:val="34"/>
    <w:pPr>
      <w:ind w:left="720"/>
      <w:contextualSpacing/>
    </w:pPr>
  </w:style>
  <w:style w:type="character" w:customStyle="1" w:styleId="49">
    <w:name w:val="Body Text Char"/>
    <w:basedOn w:val="11"/>
    <w:link w:val="21"/>
    <w:qFormat/>
    <w:uiPriority w:val="99"/>
  </w:style>
  <w:style w:type="character" w:customStyle="1" w:styleId="50">
    <w:name w:val="Body Text 2 Char"/>
    <w:basedOn w:val="11"/>
    <w:link w:val="17"/>
    <w:qFormat/>
    <w:uiPriority w:val="99"/>
  </w:style>
  <w:style w:type="character" w:customStyle="1" w:styleId="51">
    <w:name w:val="Body Text 3 Char"/>
    <w:basedOn w:val="11"/>
    <w:link w:val="33"/>
    <w:qFormat/>
    <w:uiPriority w:val="99"/>
    <w:rPr>
      <w:sz w:val="16"/>
      <w:szCs w:val="16"/>
    </w:rPr>
  </w:style>
  <w:style w:type="character" w:customStyle="1" w:styleId="52">
    <w:name w:val="Macro Text Char"/>
    <w:basedOn w:val="11"/>
    <w:link w:val="23"/>
    <w:qFormat/>
    <w:uiPriority w:val="99"/>
    <w:rPr>
      <w:rFonts w:ascii="Courier" w:hAnsi="Courier"/>
      <w:sz w:val="20"/>
      <w:szCs w:val="20"/>
    </w:rPr>
  </w:style>
  <w:style w:type="paragraph" w:styleId="53">
    <w:name w:val="Quote"/>
    <w:basedOn w:val="1"/>
    <w:next w:val="1"/>
    <w:link w:val="54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4">
    <w:name w:val="Quote Char"/>
    <w:basedOn w:val="11"/>
    <w:link w:val="53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5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6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7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8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9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60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61">
    <w:name w:val="Intense Quote"/>
    <w:basedOn w:val="1"/>
    <w:next w:val="1"/>
    <w:link w:val="62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Intense Quote Char"/>
    <w:basedOn w:val="11"/>
    <w:link w:val="61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3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4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5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6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7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8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9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70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71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72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3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4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5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6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7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8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9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80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81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82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3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4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5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6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7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8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9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90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5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6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7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2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3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4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5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6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7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8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9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10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11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6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7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8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9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20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21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22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3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4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5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30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31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32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3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4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5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6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7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8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9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40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41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42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3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4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5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6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7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50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1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2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3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4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5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6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7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8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9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60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61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62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3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4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5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6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paragraph" w:customStyle="1" w:styleId="167">
    <w:name w:val="WPSOffice手动目录 1"/>
    <w:qFormat/>
    <w:uiPriority w:val="0"/>
    <w:pPr>
      <w:ind w:leftChars="0"/>
    </w:pPr>
    <w:rPr>
      <w:rFonts w:ascii="Times New Roman" w:hAnsi="Times New Roman" w:eastAsia="SimSun" w:cs="Times New Roman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4" Type="http://schemas.openxmlformats.org/officeDocument/2006/relationships/fontTable" Target="fontTable.xml"/><Relationship Id="rId23" Type="http://schemas.openxmlformats.org/officeDocument/2006/relationships/customXml" Target="../customXml/item2.xml"/><Relationship Id="rId22" Type="http://schemas.openxmlformats.org/officeDocument/2006/relationships/numbering" Target="numbering.xml"/><Relationship Id="rId21" Type="http://schemas.openxmlformats.org/officeDocument/2006/relationships/customXml" Target="../customXml/item1.xml"/><Relationship Id="rId20" Type="http://schemas.openxmlformats.org/officeDocument/2006/relationships/image" Target="media/image11.png"/><Relationship Id="rId2" Type="http://schemas.openxmlformats.org/officeDocument/2006/relationships/settings" Target="settings.xml"/><Relationship Id="rId19" Type="http://schemas.openxmlformats.org/officeDocument/2006/relationships/image" Target="media/image10.png"/><Relationship Id="rId18" Type="http://schemas.openxmlformats.org/officeDocument/2006/relationships/image" Target="media/image9.png"/><Relationship Id="rId17" Type="http://schemas.openxmlformats.org/officeDocument/2006/relationships/image" Target="media/image8.png"/><Relationship Id="rId16" Type="http://schemas.openxmlformats.org/officeDocument/2006/relationships/image" Target="media/image7.png"/><Relationship Id="rId15" Type="http://schemas.openxmlformats.org/officeDocument/2006/relationships/image" Target="media/image6.png"/><Relationship Id="rId14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27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Юрий Макаров</cp:lastModifiedBy>
  <dcterms:modified xsi:type="dcterms:W3CDTF">2026-02-26T22:54:00Z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8E4FDFA0C6A544E9921E0D26D8508321_13</vt:lpwstr>
  </property>
</Properties>
</file>