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 xmlns:v="urn:schemas-microsoft-com:vml">
  <w:body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8365"/>
            <wp:effectExtent l="0" t="0" r="0" b="0"/>
            <wp:wrapNone/>
            <wp:docPr id="1" name="Drawing 0" descr="image17424076034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1742407603491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2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8365"/>
            <wp:effectExtent l="0" t="0" r="0" b="0"/>
            <wp:wrapNone/>
            <wp:docPr id="1" name="Drawing 0" descr="image17424076035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1742407603567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2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8365"/>
            <wp:effectExtent l="0" t="0" r="0" b="0"/>
            <wp:wrapNone/>
            <wp:docPr id="1" name="Drawing 0" descr="image17424076035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1742407603573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2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8365"/>
            <wp:effectExtent l="0" t="0" r="0" b="0"/>
            <wp:wrapNone/>
            <wp:docPr id="1" name="Drawing 0" descr="image17424076035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1742407603579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2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8365"/>
            <wp:effectExtent l="0" t="0" r="0" b="0"/>
            <wp:wrapNone/>
            <wp:docPr id="1" name="Drawing 0" descr="image17424076035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age1742407603585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2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8365"/>
            <wp:effectExtent l="0" t="0" r="0" b="0"/>
            <wp:wrapNone/>
            <wp:docPr id="1" name="Drawing 0" descr="image17424076035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age1742407603590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2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8365"/>
            <wp:effectExtent l="0" t="0" r="0" b="0"/>
            <wp:wrapNone/>
            <wp:docPr id="1" name="Drawing 0" descr="image17424076035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age1742407603595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2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8365"/>
            <wp:effectExtent l="0" t="0" r="0" b="0"/>
            <wp:wrapNone/>
            <wp:docPr id="1" name="Drawing 0" descr="image17424076036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age1742407603601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2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8365"/>
            <wp:effectExtent l="0" t="0" r="0" b="0"/>
            <wp:wrapNone/>
            <wp:docPr id="1" name="Drawing 0" descr="image17424076036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age1742407603606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2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9778365"/>
            <wp:effectExtent l="0" t="0" r="0" b="0"/>
            <wp:wrapNone/>
            <wp:docPr id="1" name="Drawing 0" descr="image17424076036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age1742407603612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172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>Contextualização Clínica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18"/>
        </w:rPr>
        <w:t>- PDA (Persistência do Canal Arterial):</w:t>
      </w:r>
      <w:r>
        <w:rPr>
          <w:rFonts w:ascii="Arial" w:hAnsi="Arial" w:cs="Arial" w:eastAsia="Arial"/>
          <w:color w:val="252525"/>
          <w:sz w:val="18"/>
        </w:rPr>
        <w:t xml:space="preserve"> O canal arterial é um vaso sanguíneo que permite que o sangue contorne os pulmões no útero. Normalmente, fecha alguns dias após o nascimento. Quando não fecha, é chamado de PDA, uma condição que pode levar a complicações graves em recém-nascidos prematuros.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18"/>
        </w:rPr>
        <w:t>- Riscos do PDA:</w:t>
      </w:r>
      <w:r>
        <w:rPr>
          <w:rFonts w:ascii="Arial" w:hAnsi="Arial" w:cs="Arial" w:eastAsia="Arial"/>
          <w:color w:val="252525"/>
          <w:sz w:val="18"/>
        </w:rPr>
        <w:t xml:space="preserve"> Incluem dificuldade respiratória, dificuldade de alimentação e ganho de peso, hipertensão pulmonar, e alterações no coração.</w:t>
      </w:r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>Tratamento com Ibuprofeno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- Escolha do Fármaco: O ibuprofeno é a primeira escolha para o tratamento farmacológico do PDA devido ao menor risco de efeitos secundários e possível redução do risco de enterocolite necrosante em comparação com a indometacina.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- Dosagem: O regime de dosagem típico é de 10 mg/kg no primeiro dia, seguido por 5 mg/kg/dia nos próximos dois dias.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- Enantiómeros: O ibuprofeno é uma mistura racêmica de R- e S-ibuprofeno, sendo o S-ibuprofeno o enantiómero ativo.</w:t>
      </w:r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18"/>
        </w:rPr>
        <w:t>Objetivos da Aula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- Simulações Farmacológicas: Aplicar ferramentas digitais para avaliar diferentes regimes terapêuticos.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- Maturação Farmacológica: Compreender as diferenças entre os enantiómeros do ibuprofeno e como isso afeta a dosagem.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- Impacto de Covariáveis: Analisar como a idade pós-natal e gestacional influenciam a depuração e eficácia do ibuprofeno.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- Ajuste de Dosagem: Simular e ajustar regimes de dosagem em cenários clínicos específicos.</w:t>
      </w:r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18"/>
        </w:rPr>
        <w:t>Exercícios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1. Exercício 1: Encontrar uma publicação científica que demonstre diferenças entre os enantiómeros R e S do ibuprofeno.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2. Exercício 2: Simulação farmacológica de diferentes regimes de dosagem de ibuprofeno.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3. Exercício 3: Avaliação de casos clínicos específicos, incluindo ajuste de dosagem e simulação farmacológica.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b w:val="true"/>
          <w:color w:val="252525"/>
          <w:sz w:val="18"/>
        </w:rPr>
        <w:t>Casos Clínicos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>- Caso Clínico 1: Recém-nascido prematuro com PDA e dificuldade respiratória.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>- Caso Clínico 2: Recém-nascido com PDA e risco de hipertensão pulmonar.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>- Caso Clínico 3: Recém-nascido com PDA e risco de enterocolite necrosante.</w:t>
      </w:r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18"/>
        </w:rPr>
        <w:t>Perguntas para Discussão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- Vantagens das simulações farmacológicas.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- Vantagens de partilhar dados de simulação com outros profissionais de saúde.</w:t>
      </w:r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18"/>
        </w:rPr>
        <w:t>Estudo Complementar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- Impacto da função renal na depuração do ibuprofeno.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- Coadministração de antibióticos e seu impacto no regime de dosagem de ibuprofeno.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- Contribuição do S-ibuprofeno para o fecho do PDA.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- Risco de enterocolite necrosante associado ao tratamento com ibuprofeno.</w:t>
      </w:r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18"/>
        </w:rPr>
        <w:t>OBJETIVO:</w:t>
      </w:r>
      <w:r>
        <w:rPr>
          <w:rFonts w:ascii="Arial" w:hAnsi="Arial" w:cs="Arial" w:eastAsia="Arial"/>
          <w:color w:val="252525"/>
          <w:sz w:val="18"/>
        </w:rPr>
        <w:t xml:space="preserve"> entender a complexidade do tratamento de PDA com ibuprofeno, utilizando simulações farmacológicas e análise de casos clínicos para promover a medicina personalizada.</w:t>
      </w:r>
    </w:p>
    <w:p>
      <w:pPr>
        <w:spacing w:line="270" w:lineRule="auto" w:after="0" w:before="0"/>
        <w:ind w:right="0" w:left="0"/>
        <w:rPr>
          <w:rFonts w:ascii="Arial" w:hAnsi="Arial" w:cs="Arial"/>
          <w:sz w:val="10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0"/>
        </w:rPr>
        <w:t xml:space="preserve">- </w:t>
      </w:r>
      <w:r>
        <w:rPr>
          <w:rFonts w:ascii="Arial" w:hAnsi="Arial" w:cs="Arial" w:eastAsia="Arial"/>
          <w:b w:val="true"/>
          <w:color w:val="252525"/>
          <w:sz w:val="10"/>
        </w:rPr>
        <w:t>Título</w:t>
      </w:r>
      <w:r>
        <w:rPr>
          <w:rFonts w:ascii="Arial" w:hAnsi="Arial" w:cs="Arial" w:eastAsia="Arial"/>
          <w:color w:val="252525"/>
          <w:sz w:val="10"/>
        </w:rPr>
        <w:t>: Population pharmacokinetics of ibuprofen enantiomers in very premature neonates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0"/>
        </w:rPr>
        <w:t xml:space="preserve">- </w:t>
      </w:r>
      <w:r>
        <w:rPr>
          <w:rFonts w:ascii="Arial" w:hAnsi="Arial" w:cs="Arial" w:eastAsia="Arial"/>
          <w:b w:val="true"/>
          <w:color w:val="252525"/>
          <w:sz w:val="10"/>
        </w:rPr>
        <w:t>Autores</w:t>
      </w:r>
      <w:r>
        <w:rPr>
          <w:rFonts w:ascii="Arial" w:hAnsi="Arial" w:cs="Arial" w:eastAsia="Arial"/>
          <w:color w:val="252525"/>
          <w:sz w:val="10"/>
        </w:rPr>
        <w:t>: Nicolas Gregoire, Virginie Gualano, Anne Geneteau, Laurette Millerioux, Murielle Brault, Alain Mignot, Jean-Christophe Roze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0"/>
        </w:rPr>
        <w:t xml:space="preserve">- </w:t>
      </w:r>
      <w:r>
        <w:rPr>
          <w:rFonts w:ascii="Arial" w:hAnsi="Arial" w:cs="Arial" w:eastAsia="Arial"/>
          <w:b w:val="true"/>
          <w:color w:val="252525"/>
          <w:sz w:val="10"/>
        </w:rPr>
        <w:t>Jornal</w:t>
      </w:r>
      <w:r>
        <w:rPr>
          <w:rFonts w:ascii="Arial" w:hAnsi="Arial" w:cs="Arial" w:eastAsia="Arial"/>
          <w:color w:val="252525"/>
          <w:sz w:val="10"/>
        </w:rPr>
        <w:t>: Journal of Clinical Pharmacology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0"/>
        </w:rPr>
        <w:t xml:space="preserve">- </w:t>
      </w:r>
      <w:r>
        <w:rPr>
          <w:rFonts w:ascii="Arial" w:hAnsi="Arial" w:cs="Arial" w:eastAsia="Arial"/>
          <w:b w:val="true"/>
          <w:color w:val="252525"/>
          <w:sz w:val="10"/>
        </w:rPr>
        <w:t>Ano de Publicação</w:t>
      </w:r>
      <w:r>
        <w:rPr>
          <w:rFonts w:ascii="Arial" w:hAnsi="Arial" w:cs="Arial" w:eastAsia="Arial"/>
          <w:color w:val="252525"/>
          <w:sz w:val="10"/>
        </w:rPr>
        <w:t>: 2004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0"/>
        </w:rPr>
        <w:t xml:space="preserve">- </w:t>
      </w:r>
      <w:r>
        <w:rPr>
          <w:rFonts w:ascii="Arial" w:hAnsi="Arial" w:cs="Arial" w:eastAsia="Arial"/>
          <w:b w:val="true"/>
          <w:color w:val="252525"/>
          <w:sz w:val="10"/>
        </w:rPr>
        <w:t>Volume</w:t>
      </w:r>
      <w:r>
        <w:rPr>
          <w:rFonts w:ascii="Arial" w:hAnsi="Arial" w:cs="Arial" w:eastAsia="Arial"/>
          <w:color w:val="252525"/>
          <w:sz w:val="10"/>
        </w:rPr>
        <w:t>: 44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0"/>
        </w:rPr>
        <w:t xml:space="preserve">- </w:t>
      </w:r>
      <w:r>
        <w:rPr>
          <w:rFonts w:ascii="Arial" w:hAnsi="Arial" w:cs="Arial" w:eastAsia="Arial"/>
          <w:b w:val="true"/>
          <w:color w:val="252525"/>
          <w:sz w:val="10"/>
        </w:rPr>
        <w:t>Número</w:t>
      </w:r>
      <w:r>
        <w:rPr>
          <w:rFonts w:ascii="Arial" w:hAnsi="Arial" w:cs="Arial" w:eastAsia="Arial"/>
          <w:color w:val="252525"/>
          <w:sz w:val="10"/>
        </w:rPr>
        <w:t>: 10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0"/>
        </w:rPr>
        <w:t xml:space="preserve">- </w:t>
      </w:r>
      <w:r>
        <w:rPr>
          <w:rFonts w:ascii="Arial" w:hAnsi="Arial" w:cs="Arial" w:eastAsia="Arial"/>
          <w:b w:val="true"/>
          <w:color w:val="252525"/>
          <w:sz w:val="10"/>
        </w:rPr>
        <w:t>Páginas</w:t>
      </w:r>
      <w:r>
        <w:rPr>
          <w:rFonts w:ascii="Arial" w:hAnsi="Arial" w:cs="Arial" w:eastAsia="Arial"/>
          <w:color w:val="252525"/>
          <w:sz w:val="10"/>
        </w:rPr>
        <w:t>: 1114-1124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0"/>
        </w:rPr>
        <w:t xml:space="preserve">- </w:t>
      </w:r>
      <w:r>
        <w:rPr>
          <w:rFonts w:ascii="Arial" w:hAnsi="Arial" w:cs="Arial" w:eastAsia="Arial"/>
          <w:b w:val="true"/>
          <w:color w:val="252525"/>
          <w:sz w:val="10"/>
        </w:rPr>
        <w:t>DOI</w:t>
      </w:r>
      <w:r>
        <w:rPr>
          <w:rFonts w:ascii="Arial" w:hAnsi="Arial" w:cs="Arial" w:eastAsia="Arial"/>
          <w:color w:val="252525"/>
          <w:sz w:val="10"/>
        </w:rPr>
        <w:t>: 10.1177/0091270004268320</w:t>
      </w:r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18"/>
        </w:rPr>
        <w:t>Resumo do Artigo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O estudo avaliou os parâmetros farmacocinéticos dos enantiómeros S- e R-ibuprofeno em neonatos muito prematuros (idade gestacional inferior a 28 semanas). A análise farmacocinética populacional foi realizada para desenvolver um modelo que descreve a farmacocinética dos enantiómeros após a administração de ibuprofeno. O estudo destacou diferenças significativas na depuração dos enantiómeros e suas relações com diversas covariáveis, como a idade pós-natal.</w:t>
      </w:r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b w:val="true"/>
          <w:color w:val="252525"/>
          <w:sz w:val="18"/>
        </w:rPr>
        <w:t>Objetivo do Estudo:</w:t>
      </w:r>
    </w:p>
    <w:p>
      <w:pPr>
        <w:spacing w:line="240" w:lineRule="auto" w:after="0" w:before="0"/>
        <w:ind w:right="0" w:left="1134"/>
      </w:pPr>
      <w:r>
        <w:rPr>
          <w:rFonts w:ascii="Arial" w:hAnsi="Arial" w:cs="Arial" w:eastAsia="Arial"/>
          <w:color w:val="252525"/>
          <w:sz w:val="18"/>
        </w:rPr>
        <w:t>- O estudo teve como objetivo avaliar os parâmetros farmacocinéticos dos enantiómeros S- e R-ibuprofeno em neonatos muito prematuros, especificamente aqueles com idade gestacional inferior a 28 semanas.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b w:val="true"/>
          <w:color w:val="252525"/>
          <w:sz w:val="18"/>
        </w:rPr>
        <w:t>Metodologia</w:t>
      </w:r>
      <w:r>
        <w:rPr>
          <w:rFonts w:ascii="Arial" w:hAnsi="Arial" w:cs="Arial" w:eastAsia="Arial"/>
          <w:color w:val="252525"/>
          <w:sz w:val="18"/>
        </w:rPr>
        <w:t>:</w:t>
      </w:r>
    </w:p>
    <w:p>
      <w:pPr>
        <w:spacing w:line="240" w:lineRule="auto" w:after="0" w:before="0"/>
        <w:ind w:right="0" w:left="1134"/>
      </w:pPr>
      <w:r>
        <w:rPr>
          <w:rFonts w:ascii="Arial" w:hAnsi="Arial" w:cs="Arial" w:eastAsia="Arial"/>
          <w:color w:val="252525"/>
          <w:sz w:val="18"/>
        </w:rPr>
        <w:t>- Foi realizada uma análise farmacocinética populacional para desenvolver um modelo que descreve a farmacocinética dos enantiómeros de ibuprofeno após a administração de três doses sucessivas (10-5-5 mg/kg) a intervalos de 24 horas.</w:t>
      </w:r>
    </w:p>
    <w:p>
      <w:pPr>
        <w:spacing w:line="240" w:lineRule="auto" w:after="0" w:before="0"/>
        <w:ind w:right="0" w:left="1134"/>
      </w:pPr>
      <w:r>
        <w:rPr>
          <w:rFonts w:ascii="Arial" w:hAnsi="Arial" w:cs="Arial" w:eastAsia="Arial"/>
          <w:color w:val="252525"/>
          <w:sz w:val="18"/>
        </w:rPr>
        <w:t>- O estudo incluiu a coleta de amostras de sangue para medir as concentrações plasmáticas dos enantiómeros de ibuprofeno.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b w:val="true"/>
          <w:color w:val="252525"/>
          <w:sz w:val="18"/>
        </w:rPr>
        <w:t>Principais Achados:</w:t>
      </w:r>
    </w:p>
    <w:p>
      <w:pPr>
        <w:spacing w:line="240" w:lineRule="auto" w:after="0" w:before="0"/>
        <w:ind w:right="0" w:left="1134"/>
      </w:pPr>
      <w:r>
        <w:rPr>
          <w:rFonts w:ascii="Arial" w:hAnsi="Arial" w:cs="Arial" w:eastAsia="Arial"/>
          <w:color w:val="252525"/>
          <w:sz w:val="18"/>
        </w:rPr>
        <w:t>- Diferenças Farmacocinéticas: O estudo identificou diferenças significativas na depuração dos enantiómeros S- e R-ibuprofeno. O S-ibuprofeno, que é o enantiómero farmacologicamente ativo, mostrou uma depuração menor em comparação com o R-ibuprofeno.</w:t>
      </w:r>
    </w:p>
    <w:p>
      <w:pPr>
        <w:spacing w:line="240" w:lineRule="auto" w:after="0" w:before="0"/>
        <w:ind w:right="0" w:left="1134"/>
      </w:pPr>
      <w:r>
        <w:rPr>
          <w:rFonts w:ascii="Arial" w:hAnsi="Arial" w:cs="Arial" w:eastAsia="Arial"/>
          <w:color w:val="252525"/>
          <w:sz w:val="18"/>
        </w:rPr>
        <w:t>- Influência de Covariáveis: A análise considerou a influência de várias covariáveis, como a idade pós-natal e gestacional, na farmacocinética dos enantiómeros. Essas covariáveis são cruciais para ajustar as dosagens de ibuprofeno em neonatos prematuros.</w:t>
      </w:r>
    </w:p>
    <w:p>
      <w:pPr>
        <w:spacing w:line="240" w:lineRule="auto" w:after="0" w:before="0"/>
        <w:ind w:right="0" w:left="1134"/>
      </w:pPr>
      <w:r>
        <w:rPr>
          <w:rFonts w:ascii="Arial" w:hAnsi="Arial" w:cs="Arial" w:eastAsia="Arial"/>
          <w:color w:val="252525"/>
          <w:sz w:val="18"/>
        </w:rPr>
        <w:t>- Maturação Farmacocinética: O estudo observou que a depuração do S-ibuprofeno aumenta com a idade pós-natal, indicando uma maturação do metabolismo do fármaco à medida que o neonato envelhece.</w:t>
      </w:r>
    </w:p>
    <w:p>
      <w:pPr>
        <w:spacing w:line="270" w:lineRule="auto" w:after="0" w:before="0"/>
        <w:ind w:right="0" w:left="567"/>
        <w:rPr>
          <w:rFonts w:ascii="Arial" w:hAnsi="Arial" w:cs="Arial"/>
          <w:sz w:val="18"/>
        </w:rPr>
      </w:pPr>
      <w:r/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b w:val="true"/>
          <w:color w:val="252525"/>
          <w:sz w:val="18"/>
        </w:rPr>
        <w:t>Implicações Clínicas:</w:t>
      </w:r>
    </w:p>
    <w:p>
      <w:pPr>
        <w:spacing w:line="240" w:lineRule="auto" w:after="0" w:before="0"/>
        <w:ind w:right="0" w:left="1134"/>
      </w:pPr>
      <w:r>
        <w:rPr>
          <w:rFonts w:ascii="Arial" w:hAnsi="Arial" w:cs="Arial" w:eastAsia="Arial"/>
          <w:color w:val="252525"/>
          <w:sz w:val="18"/>
        </w:rPr>
        <w:t>- Os resultados sugerem que a dosagem de ibuprofeno deve ser ajustada com base na idade pós-natal e gestacional para otimizar a eficácia e minimizar os efeitos adversos.</w:t>
      </w:r>
    </w:p>
    <w:p>
      <w:pPr>
        <w:spacing w:line="240" w:lineRule="auto" w:after="0" w:before="0"/>
        <w:ind w:right="0" w:left="1134"/>
      </w:pPr>
      <w:r>
        <w:rPr>
          <w:rFonts w:ascii="Arial" w:hAnsi="Arial" w:cs="Arial" w:eastAsia="Arial"/>
          <w:color w:val="252525"/>
          <w:sz w:val="18"/>
        </w:rPr>
        <w:t>- A compreensão das diferenças farmacocinéticas entre os enantiómeros pode ajudar a refinar o uso de ibuprofeno no tratamento de PDA em neonatos prematuros.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b w:val="true"/>
          <w:color w:val="252525"/>
          <w:sz w:val="18"/>
        </w:rPr>
        <w:t>Conclusão:</w:t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7424076038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age1742407603862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>Contextualização Clínica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18"/>
        </w:rPr>
        <w:t>- PDA (Persistência do Canal Arterial):</w:t>
      </w:r>
      <w:r>
        <w:rPr>
          <w:rFonts w:ascii="Arial" w:hAnsi="Arial" w:cs="Arial" w:eastAsia="Arial"/>
          <w:color w:val="252525"/>
          <w:sz w:val="18"/>
        </w:rPr>
        <w:t xml:space="preserve"> O canal arterial é um vaso sanguíneo que permite que o sangue contorne os pulmões no útero. Normalmente, fecha alguns dias após o nascimento. Quando não fecha, é chamado de PDA, uma condição que pode levar a complicações graves em recém-nascidos prematuros.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18"/>
        </w:rPr>
        <w:t>- Riscos do PDA:</w:t>
      </w:r>
      <w:r>
        <w:rPr>
          <w:rFonts w:ascii="Arial" w:hAnsi="Arial" w:cs="Arial" w:eastAsia="Arial"/>
          <w:color w:val="252525"/>
          <w:sz w:val="18"/>
        </w:rPr>
        <w:t xml:space="preserve"> Incluem dificuldade respiratória, dificuldade de alimentação e ganho de peso, hipertensão pulmonar, e alterações no coração.</w:t>
      </w:r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>Tratamento com Ibuprofeno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- Escolha do Fármaco: O ibuprofeno é a primeira escolha para o tratamento farmacológico do PDA devido ao menor risco de efeitos secundários e possível redução do risco de enterocolite necrosante em comparação com a indometacina.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- Dosagem: O regime de dosagem típico é de 10 mg/kg no primeiro dia, seguido por 5 mg/kg/dia nos próximos dois dias.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- Enantiómeros: O ibuprofeno é uma mistura racêmica de R- e S-ibuprofeno, sendo o S-ibuprofeno o enantiómero ativo.</w:t>
      </w:r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18"/>
        </w:rPr>
        <w:t>Objetivos da Aula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- Simulações Farmacológicas: Aplicar ferramentas digitais para avaliar diferentes regimes terapêuticos.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- Maturação Farmacológica: Compreender as diferenças entre os enantiómeros do ibuprofeno e como isso afeta a dosagem.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- Impacto de Covariáveis: Analisar como a idade pós-natal e gestacional influenciam a depuração e eficácia do ibuprofeno.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- Ajuste de Dosagem: Simular e ajustar regimes de dosagem em cenários clínicos específicos.</w:t>
      </w:r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18"/>
        </w:rPr>
        <w:t>Exercícios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1. Exercício 1: Encontrar uma publicação científica que demonstre diferenças entre os enantiómeros R e S do ibuprofeno.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2. Exercício 2: Simulação farmacológica de diferentes regimes de dosagem de ibuprofeno.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3. Exercício 3: Avaliação de casos clínicos específicos, incluindo ajuste de dosagem e simulação farmacológica.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b w:val="true"/>
          <w:color w:val="252525"/>
          <w:sz w:val="18"/>
        </w:rPr>
        <w:t>Casos Clínicos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>- Caso Clínico 1: Recém-nascido prematuro com PDA e dificuldade respiratória.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>- Caso Clínico 2: Recém-nascido com PDA e risco de hipertensão pulmonar.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>- Caso Clínico 3: Recém-nascido com PDA e risco de enterocolite necrosante.</w:t>
      </w:r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18"/>
        </w:rPr>
        <w:t>Perguntas para Discussão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- Vantagens das simulações farmacológicas.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- Vantagens de partilhar dados de simulação com outros profissionais de saúde.</w:t>
      </w:r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18"/>
        </w:rPr>
        <w:t>Estudo Complementar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- Impacto da função renal na depuração do ibuprofeno.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- Coadministração de antibióticos e seu impacto no regime de dosagem de ibuprofeno.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- Contribuição do S-ibuprofeno para o fecho do PDA.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- Risco de enterocolite necrosante associado ao tratamento com ibuprofeno.</w:t>
      </w:r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18"/>
        </w:rPr>
        <w:t>OBJETIVO:</w:t>
      </w:r>
      <w:r>
        <w:rPr>
          <w:rFonts w:ascii="Arial" w:hAnsi="Arial" w:cs="Arial" w:eastAsia="Arial"/>
          <w:color w:val="252525"/>
          <w:sz w:val="18"/>
        </w:rPr>
        <w:t xml:space="preserve"> entender a complexidade do tratamento de PDA com ibuprofeno, utilizando simulações farmacológicas e análise de casos clínicos para promover a medicina personalizada.</w:t>
      </w:r>
    </w:p>
    <w:p>
      <w:pPr>
        <w:spacing w:line="270" w:lineRule="auto" w:after="0" w:before="0"/>
        <w:ind w:right="0" w:left="0"/>
        <w:rPr>
          <w:rFonts w:ascii="Arial" w:hAnsi="Arial" w:cs="Arial"/>
          <w:sz w:val="10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0"/>
        </w:rPr>
        <w:t xml:space="preserve">- </w:t>
      </w:r>
      <w:r>
        <w:rPr>
          <w:rFonts w:ascii="Arial" w:hAnsi="Arial" w:cs="Arial" w:eastAsia="Arial"/>
          <w:b w:val="true"/>
          <w:color w:val="252525"/>
          <w:sz w:val="10"/>
        </w:rPr>
        <w:t>Título</w:t>
      </w:r>
      <w:r>
        <w:rPr>
          <w:rFonts w:ascii="Arial" w:hAnsi="Arial" w:cs="Arial" w:eastAsia="Arial"/>
          <w:color w:val="252525"/>
          <w:sz w:val="10"/>
        </w:rPr>
        <w:t>: Population pharmacokinetics of ibuprofen enantiomers in very premature neonates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0"/>
        </w:rPr>
        <w:t xml:space="preserve">- </w:t>
      </w:r>
      <w:r>
        <w:rPr>
          <w:rFonts w:ascii="Arial" w:hAnsi="Arial" w:cs="Arial" w:eastAsia="Arial"/>
          <w:b w:val="true"/>
          <w:color w:val="252525"/>
          <w:sz w:val="10"/>
        </w:rPr>
        <w:t>Autores</w:t>
      </w:r>
      <w:r>
        <w:rPr>
          <w:rFonts w:ascii="Arial" w:hAnsi="Arial" w:cs="Arial" w:eastAsia="Arial"/>
          <w:color w:val="252525"/>
          <w:sz w:val="10"/>
        </w:rPr>
        <w:t>: Nicolas Gregoire, Virginie Gualano, Anne Geneteau, Laurette Millerioux, Murielle Brault, Alain Mignot, Jean-Christophe Roze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0"/>
        </w:rPr>
        <w:t xml:space="preserve">- </w:t>
      </w:r>
      <w:r>
        <w:rPr>
          <w:rFonts w:ascii="Arial" w:hAnsi="Arial" w:cs="Arial" w:eastAsia="Arial"/>
          <w:b w:val="true"/>
          <w:color w:val="252525"/>
          <w:sz w:val="10"/>
        </w:rPr>
        <w:t>Jornal</w:t>
      </w:r>
      <w:r>
        <w:rPr>
          <w:rFonts w:ascii="Arial" w:hAnsi="Arial" w:cs="Arial" w:eastAsia="Arial"/>
          <w:color w:val="252525"/>
          <w:sz w:val="10"/>
        </w:rPr>
        <w:t>: Journal of Clinical Pharmacology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0"/>
        </w:rPr>
        <w:t xml:space="preserve">- </w:t>
      </w:r>
      <w:r>
        <w:rPr>
          <w:rFonts w:ascii="Arial" w:hAnsi="Arial" w:cs="Arial" w:eastAsia="Arial"/>
          <w:b w:val="true"/>
          <w:color w:val="252525"/>
          <w:sz w:val="10"/>
        </w:rPr>
        <w:t>Ano de Publicação</w:t>
      </w:r>
      <w:r>
        <w:rPr>
          <w:rFonts w:ascii="Arial" w:hAnsi="Arial" w:cs="Arial" w:eastAsia="Arial"/>
          <w:color w:val="252525"/>
          <w:sz w:val="10"/>
        </w:rPr>
        <w:t>: 2004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0"/>
        </w:rPr>
        <w:t xml:space="preserve">- </w:t>
      </w:r>
      <w:r>
        <w:rPr>
          <w:rFonts w:ascii="Arial" w:hAnsi="Arial" w:cs="Arial" w:eastAsia="Arial"/>
          <w:b w:val="true"/>
          <w:color w:val="252525"/>
          <w:sz w:val="10"/>
        </w:rPr>
        <w:t>Volume</w:t>
      </w:r>
      <w:r>
        <w:rPr>
          <w:rFonts w:ascii="Arial" w:hAnsi="Arial" w:cs="Arial" w:eastAsia="Arial"/>
          <w:color w:val="252525"/>
          <w:sz w:val="10"/>
        </w:rPr>
        <w:t>: 44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0"/>
        </w:rPr>
        <w:t xml:space="preserve">- </w:t>
      </w:r>
      <w:r>
        <w:rPr>
          <w:rFonts w:ascii="Arial" w:hAnsi="Arial" w:cs="Arial" w:eastAsia="Arial"/>
          <w:b w:val="true"/>
          <w:color w:val="252525"/>
          <w:sz w:val="10"/>
        </w:rPr>
        <w:t>Número</w:t>
      </w:r>
      <w:r>
        <w:rPr>
          <w:rFonts w:ascii="Arial" w:hAnsi="Arial" w:cs="Arial" w:eastAsia="Arial"/>
          <w:color w:val="252525"/>
          <w:sz w:val="10"/>
        </w:rPr>
        <w:t>: 10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0"/>
        </w:rPr>
        <w:t xml:space="preserve">- </w:t>
      </w:r>
      <w:r>
        <w:rPr>
          <w:rFonts w:ascii="Arial" w:hAnsi="Arial" w:cs="Arial" w:eastAsia="Arial"/>
          <w:b w:val="true"/>
          <w:color w:val="252525"/>
          <w:sz w:val="10"/>
        </w:rPr>
        <w:t>Páginas</w:t>
      </w:r>
      <w:r>
        <w:rPr>
          <w:rFonts w:ascii="Arial" w:hAnsi="Arial" w:cs="Arial" w:eastAsia="Arial"/>
          <w:color w:val="252525"/>
          <w:sz w:val="10"/>
        </w:rPr>
        <w:t>: 1114-1124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0"/>
        </w:rPr>
        <w:t xml:space="preserve">- </w:t>
      </w:r>
      <w:r>
        <w:rPr>
          <w:rFonts w:ascii="Arial" w:hAnsi="Arial" w:cs="Arial" w:eastAsia="Arial"/>
          <w:b w:val="true"/>
          <w:color w:val="252525"/>
          <w:sz w:val="10"/>
        </w:rPr>
        <w:t>DOI</w:t>
      </w:r>
      <w:r>
        <w:rPr>
          <w:rFonts w:ascii="Arial" w:hAnsi="Arial" w:cs="Arial" w:eastAsia="Arial"/>
          <w:color w:val="252525"/>
          <w:sz w:val="10"/>
        </w:rPr>
        <w:t>: 10.1177/0091270004268320</w:t>
      </w:r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18"/>
        </w:rPr>
        <w:t>Resumo do Artigo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O estudo avaliou os parâmetros farmacocinéticos dos enantiómeros S- e R-ibuprofeno em neonatos muito prematuros (idade gestacional inferior a 28 semanas). A análise farmacocinética populacional foi realizada para desenvolver um modelo que descreve a farmacocinética dos enantiómeros após a administração de ibuprofeno. O estudo destacou diferenças significativas na depuração dos enantiómeros e suas relações com diversas covariáveis, como a idade pós-natal.</w:t>
      </w:r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b w:val="true"/>
          <w:color w:val="252525"/>
          <w:sz w:val="18"/>
        </w:rPr>
        <w:t>Objetivo do Estudo:</w:t>
      </w:r>
    </w:p>
    <w:p>
      <w:pPr>
        <w:spacing w:line="240" w:lineRule="auto" w:after="0" w:before="0"/>
        <w:ind w:right="0" w:left="1134"/>
      </w:pPr>
      <w:r>
        <w:rPr>
          <w:rFonts w:ascii="Arial" w:hAnsi="Arial" w:cs="Arial" w:eastAsia="Arial"/>
          <w:color w:val="252525"/>
          <w:sz w:val="18"/>
        </w:rPr>
        <w:t>- O estudo teve como objetivo avaliar os parâmetros farmacocinéticos dos enantiómeros S- e R-ibuprofeno em neonatos muito prematuros, especificamente aqueles com idade gestacional inferior a 28 semanas.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b w:val="true"/>
          <w:color w:val="252525"/>
          <w:sz w:val="18"/>
        </w:rPr>
        <w:t>Metodologia</w:t>
      </w:r>
      <w:r>
        <w:rPr>
          <w:rFonts w:ascii="Arial" w:hAnsi="Arial" w:cs="Arial" w:eastAsia="Arial"/>
          <w:color w:val="252525"/>
          <w:sz w:val="18"/>
        </w:rPr>
        <w:t>:</w:t>
      </w:r>
    </w:p>
    <w:p>
      <w:pPr>
        <w:spacing w:line="240" w:lineRule="auto" w:after="0" w:before="0"/>
        <w:ind w:right="0" w:left="1134"/>
      </w:pPr>
      <w:r>
        <w:rPr>
          <w:rFonts w:ascii="Arial" w:hAnsi="Arial" w:cs="Arial" w:eastAsia="Arial"/>
          <w:color w:val="252525"/>
          <w:sz w:val="18"/>
        </w:rPr>
        <w:t>- Foi realizada uma análise farmacocinética populacional para desenvolver um modelo que descreve a farmacocinética dos enantiómeros de ibuprofeno após a administração de três doses sucessivas (10-5-5 mg/kg) a intervalos de 24 horas.</w:t>
      </w:r>
    </w:p>
    <w:p>
      <w:pPr>
        <w:spacing w:line="240" w:lineRule="auto" w:after="0" w:before="0"/>
        <w:ind w:right="0" w:left="1134"/>
      </w:pPr>
      <w:r>
        <w:rPr>
          <w:rFonts w:ascii="Arial" w:hAnsi="Arial" w:cs="Arial" w:eastAsia="Arial"/>
          <w:color w:val="252525"/>
          <w:sz w:val="18"/>
        </w:rPr>
        <w:t>- O estudo incluiu a coleta de amostras de sangue para medir as concentrações plasmáticas dos enantiómeros de ibuprofeno.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b w:val="true"/>
          <w:color w:val="252525"/>
          <w:sz w:val="18"/>
        </w:rPr>
        <w:t>Principais Achados:</w:t>
      </w:r>
    </w:p>
    <w:p>
      <w:pPr>
        <w:spacing w:line="240" w:lineRule="auto" w:after="0" w:before="0"/>
        <w:ind w:right="0" w:left="1134"/>
      </w:pPr>
      <w:r>
        <w:rPr>
          <w:rFonts w:ascii="Arial" w:hAnsi="Arial" w:cs="Arial" w:eastAsia="Arial"/>
          <w:color w:val="252525"/>
          <w:sz w:val="18"/>
        </w:rPr>
        <w:t>- Diferenças Farmacocinéticas: O estudo identificou diferenças significativas na depuração dos enantiómeros S- e R-ibuprofeno. O S-ibuprofeno, que é o enantiómero farmacologicamente ativo, mostrou uma depuração menor em comparação com o R-ibuprofeno.</w:t>
      </w:r>
    </w:p>
    <w:p>
      <w:pPr>
        <w:spacing w:line="240" w:lineRule="auto" w:after="0" w:before="0"/>
        <w:ind w:right="0" w:left="1134"/>
      </w:pPr>
      <w:r>
        <w:rPr>
          <w:rFonts w:ascii="Arial" w:hAnsi="Arial" w:cs="Arial" w:eastAsia="Arial"/>
          <w:color w:val="252525"/>
          <w:sz w:val="18"/>
        </w:rPr>
        <w:t>- Influência de Covariáveis: A análise considerou a influência de várias covariáveis, como a idade pós-natal e gestacional, na farmacocinética dos enantiómeros. Essas covariáveis são cruciais para ajustar as dosagens de ibuprofeno em neonatos prematuros.</w:t>
      </w:r>
    </w:p>
    <w:p>
      <w:pPr>
        <w:spacing w:line="240" w:lineRule="auto" w:after="0" w:before="0"/>
        <w:ind w:right="0" w:left="1134"/>
      </w:pPr>
      <w:r>
        <w:rPr>
          <w:rFonts w:ascii="Arial" w:hAnsi="Arial" w:cs="Arial" w:eastAsia="Arial"/>
          <w:color w:val="252525"/>
          <w:sz w:val="18"/>
        </w:rPr>
        <w:t>- Maturação Farmacocinética: O estudo observou que a depuração do S-ibuprofeno aumenta com a idade pós-natal, indicando uma maturação do metabolismo do fármaco à medida que o neonato envelhece.</w:t>
      </w:r>
    </w:p>
    <w:p>
      <w:pPr>
        <w:spacing w:line="270" w:lineRule="auto" w:after="0" w:before="0"/>
        <w:ind w:right="0" w:left="567"/>
        <w:rPr>
          <w:rFonts w:ascii="Arial" w:hAnsi="Arial" w:cs="Arial"/>
          <w:sz w:val="18"/>
        </w:rPr>
      </w:pPr>
      <w:r/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b w:val="true"/>
          <w:color w:val="252525"/>
          <w:sz w:val="18"/>
        </w:rPr>
        <w:t>Implicações Clínicas:</w:t>
      </w:r>
    </w:p>
    <w:p>
      <w:pPr>
        <w:spacing w:line="240" w:lineRule="auto" w:after="0" w:before="0"/>
        <w:ind w:right="0" w:left="1134"/>
      </w:pPr>
      <w:r>
        <w:rPr>
          <w:rFonts w:ascii="Arial" w:hAnsi="Arial" w:cs="Arial" w:eastAsia="Arial"/>
          <w:color w:val="252525"/>
          <w:sz w:val="18"/>
        </w:rPr>
        <w:t>- Os resultados sugerem que a dosagem de ibuprofeno deve ser ajustada com base na idade pós-natal e gestacional para otimizar a eficácia e minimizar os efeitos adversos.</w:t>
      </w:r>
    </w:p>
    <w:p>
      <w:pPr>
        <w:spacing w:line="240" w:lineRule="auto" w:after="0" w:before="0"/>
        <w:ind w:right="0" w:left="1134"/>
      </w:pPr>
      <w:r>
        <w:rPr>
          <w:rFonts w:ascii="Arial" w:hAnsi="Arial" w:cs="Arial" w:eastAsia="Arial"/>
          <w:color w:val="252525"/>
          <w:sz w:val="18"/>
        </w:rPr>
        <w:t>- A compreensão das diferenças farmacocinéticas entre os enantiómeros pode ajudar a refinar o uso de ibuprofeno no tratamento de PDA em neonatos prematuros.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b w:val="true"/>
          <w:color w:val="252525"/>
          <w:sz w:val="18"/>
        </w:rPr>
        <w:t>Conclusão:</w:t>
      </w:r>
    </w:p>
    <w:p>
      <w:pPr>
        <w:pageBreakBefore w:val="true"/>
        <w:spacing w:line="240" w:lineRule="auto" w:after="0" w:before="0"/>
        <w:ind w:right="0" w:left="0"/>
      </w:pPr>
      <w:r/>
    </w:p>
    <w:p>
      <w:pPr>
        <w:spacing w:line="240" w:lineRule="auto" w:after="0" w:before="0"/>
        <w:ind w:right="0" w:left="1134"/>
      </w:pPr>
      <w:r>
        <w:rPr>
          <w:rFonts w:ascii="Arial" w:hAnsi="Arial" w:cs="Arial" w:eastAsia="Arial"/>
          <w:color w:val="252525"/>
          <w:sz w:val="18"/>
        </w:rPr>
        <w:t>- O estudo fornece insights valiosos sobre a farmacocinética dos enantiómeros de ibuprofeno em neonatos prematuros, destacando a importância de considerar as características individuais dos pacientes ao determinar os regimes de dosagem.</w:t>
      </w:r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/>
      </w:r>
      <w:r>
        <w:rPr>
          <w:rFonts w:ascii="Arial" w:hAnsi="Arial" w:cs="Arial" w:eastAsia="Arial"/>
          <w:color w:val="252525"/>
          <w:sz w:val="18"/>
        </w:rPr>
        <w:t/>
      </w:r>
      <w:r>
        <w:drawing>
          <wp:inline xmlns:wp="http://schemas.openxmlformats.org/drawingml/2006/wordprocessingDrawing" distT="0" distB="0" distL="0" distR="0">
            <wp:extent cx="3060627" cy="1752188"/>
            <wp:effectExtent l="0" t="0" r="0" b="0"/>
            <wp:docPr id="1" name="Drawing 0" descr="image17424076038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mage1742407603887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01393" cy="389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0" w:lineRule="auto" w:after="0" w:before="0"/>
        <w:ind w:right="0" w:left="0"/>
        <w:rPr>
          <w:rFonts w:ascii="Arial" w:hAnsi="Arial" w:cs="Arial"/>
          <w:sz w:val="10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10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0"/>
        </w:rPr>
        <w:t/>
      </w:r>
      <w:r>
        <w:rPr>
          <w:rFonts w:ascii="Arial" w:hAnsi="Arial" w:cs="Arial" w:eastAsia="Arial"/>
          <w:color w:val="252525"/>
          <w:sz w:val="10"/>
        </w:rPr>
        <w:t/>
      </w:r>
      <w:r>
        <w:drawing>
          <wp:inline xmlns:wp="http://schemas.openxmlformats.org/drawingml/2006/wordprocessingDrawing" distT="0" distB="0" distL="0" distR="0">
            <wp:extent cx="3042555" cy="1787317"/>
            <wp:effectExtent l="0" t="0" r="0" b="0"/>
            <wp:docPr id="1" name="Drawing 0" descr="image17424076038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mage1742407603888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61234" cy="397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0" w:lineRule="auto" w:after="0" w:before="0"/>
        <w:ind w:right="0" w:left="0"/>
        <w:rPr>
          <w:rFonts w:ascii="Arial" w:hAnsi="Arial" w:cs="Arial"/>
          <w:sz w:val="10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10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Gráfico 1: Regime "Loading-Bolus-Bolus" com Dose de Ataque de 20 mg/kg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- **</w:t>
      </w:r>
      <w:r>
        <w:rPr>
          <w:rFonts w:ascii="Arial" w:hAnsi="Arial" w:cs="Arial" w:eastAsia="Arial"/>
          <w:b w:val="true"/>
          <w:color w:val="252525"/>
          <w:sz w:val="18"/>
        </w:rPr>
        <w:t>Configuração</w:t>
      </w:r>
      <w:r>
        <w:rPr>
          <w:rFonts w:ascii="Arial" w:hAnsi="Arial" w:cs="Arial" w:eastAsia="Arial"/>
          <w:color w:val="252525"/>
          <w:sz w:val="18"/>
        </w:rPr>
        <w:t>**: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 xml:space="preserve">  - **Dose de Ataque**: 20 mg/kg.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 xml:space="preserve">  - **Doses de Manutenção**: 10 mg/kg a cada 24 horas.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 xml:space="preserve">  - **Número de Indivíduos**: 100.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 xml:space="preserve">  - **Idade Pós-Natal**: 12 horas.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- **</w:t>
      </w:r>
      <w:r>
        <w:rPr>
          <w:rFonts w:ascii="Arial" w:hAnsi="Arial" w:cs="Arial" w:eastAsia="Arial"/>
          <w:b w:val="true"/>
          <w:color w:val="252525"/>
          <w:sz w:val="18"/>
        </w:rPr>
        <w:t>Resultados</w:t>
      </w:r>
      <w:r>
        <w:rPr>
          <w:rFonts w:ascii="Arial" w:hAnsi="Arial" w:cs="Arial" w:eastAsia="Arial"/>
          <w:color w:val="252525"/>
          <w:sz w:val="18"/>
        </w:rPr>
        <w:t>**: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 xml:space="preserve">  - **Concentração de S-ibuprofeno (Vermelho)**: A concentração aumenta significativamente após a dose de ataque e as doses de manutenção. A área sombreada representa o intervalo de predição (80% - 10º e 90º percentis).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 xml:space="preserve">  - **Concentração de R-ibuprofeno (Azul)**: A concentração também aumenta, mas é menor em comparação com o S-ibuprofeno.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 xml:space="preserve">  - **IC50 COX-1 e COX-2**: Linhas tracejadas indicam os níveis de concentração necessários para inibir 50% da atividade das enzimas COX-1 e COX-2. O S-ibuprofeno atinge níveis acima dessas linhas, indicando eficácia na inibição dessas enzimas.</w:t>
      </w:r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Gráfico 2: Regime "Loading-Bolus-Bolus" com Dose de Ataque de 10 mg/kg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- **</w:t>
      </w:r>
      <w:r>
        <w:rPr>
          <w:rFonts w:ascii="Arial" w:hAnsi="Arial" w:cs="Arial" w:eastAsia="Arial"/>
          <w:b w:val="true"/>
          <w:color w:val="252525"/>
          <w:sz w:val="18"/>
        </w:rPr>
        <w:t>Configuração</w:t>
      </w:r>
      <w:r>
        <w:rPr>
          <w:rFonts w:ascii="Arial" w:hAnsi="Arial" w:cs="Arial" w:eastAsia="Arial"/>
          <w:color w:val="252525"/>
          <w:sz w:val="18"/>
        </w:rPr>
        <w:t>**: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- **Dose de Ataque**: 10 mg/kg.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- **Doses de Manutenção**: 5 mg/kg a cada 24 horas.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- **Número de Indivíduos**: 100.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- **Idade Pós-Natal**: 12 horas.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 xml:space="preserve">- </w:t>
      </w:r>
      <w:r>
        <w:rPr>
          <w:rFonts w:ascii="Arial" w:hAnsi="Arial" w:cs="Arial" w:eastAsia="Arial"/>
          <w:b w:val="true"/>
          <w:color w:val="252525"/>
          <w:sz w:val="18"/>
        </w:rPr>
        <w:t>Resultados</w:t>
      </w:r>
      <w:r>
        <w:rPr>
          <w:rFonts w:ascii="Arial" w:hAnsi="Arial" w:cs="Arial" w:eastAsia="Arial"/>
          <w:color w:val="252525"/>
          <w:sz w:val="18"/>
        </w:rPr>
        <w:t>: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 xml:space="preserve">  - Concentração de S-ibuprofeno (Vermelho): A concentração é menor em comparação com o regime de dose de ataque de 20 mg/kg, mas ainda atinge níveis significativos após as doses.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 xml:space="preserve">  - Concentração de R-ibuprofeno (Azul): A concentração é novamente menor em comparação com o S-ibuprofeno.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 xml:space="preserve">  - IC50 COX-1 e COX-2: O S-ibuprofeno ainda atinge níveis acima das linhas de IC50, mas com uma margem menor em comparação com o regime de dose maior.</w:t>
      </w:r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18"/>
        </w:rPr>
        <w:t>Interpretação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>- Eficácia: Ambos os regimes mostram que o S-ibuprofeno atinge concentrações suficientes para inibir as enzimas COX-1 e COX-2, que são alvos terapêuticos para o fechamento do PDA.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>- Diferenças entre Regimes: O regime com dose de ataque de 20 mg/kg resulta em concentrações mais altas de S-ibuprofeno, o que pode ser mais eficaz, mas também pode aumentar o risco de efeitos adversos.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>- Depuração: A depuração dos enantiómeros pode ser inferida pela queda nas concentrações ao longo do tempo. O S-ibuprofeno parece ter uma depuração mais lenta em comparação com o R-ibuprofeno.</w:t>
      </w:r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18"/>
        </w:rPr>
        <w:t xml:space="preserve">Interpretação dos Resultados 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1. Concentração de S-ibuprofeno: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 xml:space="preserve">   - Eficácia: Ambos os regimes de dosagem mostram que o S-ibuprofeno atinge concentrações plasmáticas suficientes para inibir as enzimas COX-1 e COX-2, que são alvos terapêuticos importantes para o fechamento do canal arterial patente (PDA).</w:t>
      </w:r>
    </w:p>
    <w:p>
      <w:pPr>
        <w:pageBreakBefore w:val="true"/>
        <w:spacing w:line="240" w:lineRule="auto" w:after="0" w:before="0"/>
        <w:ind w:right="0" w:left="0"/>
      </w:pP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 xml:space="preserve">   - Diferenças entre Regimes: O regime com dose de ataque de 20 mg/kg resulta em concentrações mais altas de S-ibuprofeno, sugerindo uma potencial maior eficácia, mas também um risco aumentado de efeitos adversos.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2. Concentração de R-ibuprofeno: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 xml:space="preserve">   - Menor Atividade: O R-ibuprofeno atinge concentrações menores em comparação com o S-ibuprofeno, refletindo sua menor atividade farmacológica.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3. Depuração: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 xml:space="preserve">   - Maturação Farmacocinética: A depuração do S-ibuprofeno parece ser mais lenta, o que é consistente com a maturação do metabolismo hepático em recém-nascidos prematuros. Isso sugere que a dosagem pode precisar ser ajustada com base na idade pós-natal para manter níveis terapêuticos adequados.</w:t>
      </w:r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 xml:space="preserve"> </w:t>
      </w:r>
      <w:r>
        <w:rPr>
          <w:rFonts w:ascii="Arial" w:hAnsi="Arial" w:cs="Arial" w:eastAsia="Arial"/>
          <w:b w:val="true"/>
          <w:color w:val="252525"/>
          <w:sz w:val="18"/>
        </w:rPr>
        <w:t>Implicações</w:t>
      </w:r>
      <w:r>
        <w:rPr>
          <w:rFonts w:ascii="Arial" w:hAnsi="Arial" w:cs="Arial" w:eastAsia="Arial"/>
          <w:color w:val="252525"/>
          <w:sz w:val="18"/>
        </w:rPr>
        <w:t xml:space="preserve"> </w:t>
      </w:r>
      <w:r>
        <w:rPr>
          <w:rFonts w:ascii="Arial" w:hAnsi="Arial" w:cs="Arial" w:eastAsia="Arial"/>
          <w:b w:val="true"/>
          <w:color w:val="252525"/>
          <w:sz w:val="18"/>
        </w:rPr>
        <w:t>Clínicas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1. Escolha do Regime de Dosagem: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 xml:space="preserve">   - Equilíbrio entre Eficácia e Segurança: A escolha entre os dois regimes deve considerar o equilíbrio entre a eficácia do tratamento e o risco de efeitos adversos. Recém-nascidos com maior risco de complicações podem se beneficiar de doses menores.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 xml:space="preserve">   - Monitoramento: É essencial monitorar os níveis plasmáticos de ibuprofeno e os efeitos clínicos para ajustar a dosagem conforme necessário, garantindo que os níveis estejam dentro da faixa terapêutica.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2. Personalização do Tratamento: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 xml:space="preserve">   - Covariáveis Clínicas: A idade pós-natal e gestacional são covariáveis importantes que influenciam a farmacocinética do ibuprofeno. Ajustar a dosagem com base nessas variáveis pode melhorar a eficácia e a segurança do tratamento.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 xml:space="preserve">   - Simulações Farmacológicas: As simulações permitem prever como diferentes regimes de dosagem afetam a exposição ao fármaco, ajudando a personalizar o tratamento para cada paciente.</w:t>
      </w:r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18"/>
        </w:rPr>
        <w:t>Como</w:t>
      </w:r>
      <w:r>
        <w:rPr>
          <w:rFonts w:ascii="Arial" w:hAnsi="Arial" w:cs="Arial" w:eastAsia="Arial"/>
          <w:color w:val="252525"/>
          <w:sz w:val="18"/>
        </w:rPr>
        <w:t xml:space="preserve"> </w:t>
      </w:r>
      <w:r>
        <w:rPr>
          <w:rFonts w:ascii="Arial" w:hAnsi="Arial" w:cs="Arial" w:eastAsia="Arial"/>
          <w:b w:val="true"/>
          <w:color w:val="252525"/>
          <w:sz w:val="18"/>
        </w:rPr>
        <w:t>as</w:t>
      </w:r>
      <w:r>
        <w:rPr>
          <w:rFonts w:ascii="Arial" w:hAnsi="Arial" w:cs="Arial" w:eastAsia="Arial"/>
          <w:color w:val="252525"/>
          <w:sz w:val="18"/>
        </w:rPr>
        <w:t xml:space="preserve"> </w:t>
      </w:r>
      <w:r>
        <w:rPr>
          <w:rFonts w:ascii="Arial" w:hAnsi="Arial" w:cs="Arial" w:eastAsia="Arial"/>
          <w:b w:val="true"/>
          <w:color w:val="252525"/>
          <w:sz w:val="18"/>
        </w:rPr>
        <w:t>Simulações</w:t>
      </w:r>
      <w:r>
        <w:rPr>
          <w:rFonts w:ascii="Arial" w:hAnsi="Arial" w:cs="Arial" w:eastAsia="Arial"/>
          <w:color w:val="252525"/>
          <w:sz w:val="18"/>
        </w:rPr>
        <w:t xml:space="preserve"> </w:t>
      </w:r>
      <w:r>
        <w:rPr>
          <w:rFonts w:ascii="Arial" w:hAnsi="Arial" w:cs="Arial" w:eastAsia="Arial"/>
          <w:b w:val="true"/>
          <w:color w:val="252525"/>
          <w:sz w:val="18"/>
        </w:rPr>
        <w:t>Informam</w:t>
      </w:r>
      <w:r>
        <w:rPr>
          <w:rFonts w:ascii="Arial" w:hAnsi="Arial" w:cs="Arial" w:eastAsia="Arial"/>
          <w:color w:val="252525"/>
          <w:sz w:val="18"/>
        </w:rPr>
        <w:t xml:space="preserve"> </w:t>
      </w:r>
      <w:r>
        <w:rPr>
          <w:rFonts w:ascii="Arial" w:hAnsi="Arial" w:cs="Arial" w:eastAsia="Arial"/>
          <w:b w:val="true"/>
          <w:color w:val="252525"/>
          <w:sz w:val="18"/>
        </w:rPr>
        <w:t>a</w:t>
      </w:r>
      <w:r>
        <w:rPr>
          <w:rFonts w:ascii="Arial" w:hAnsi="Arial" w:cs="Arial" w:eastAsia="Arial"/>
          <w:color w:val="252525"/>
          <w:sz w:val="18"/>
        </w:rPr>
        <w:t xml:space="preserve"> </w:t>
      </w:r>
      <w:r>
        <w:rPr>
          <w:rFonts w:ascii="Arial" w:hAnsi="Arial" w:cs="Arial" w:eastAsia="Arial"/>
          <w:b w:val="true"/>
          <w:color w:val="252525"/>
          <w:sz w:val="18"/>
        </w:rPr>
        <w:t>Prática</w:t>
      </w:r>
      <w:r>
        <w:rPr>
          <w:rFonts w:ascii="Arial" w:hAnsi="Arial" w:cs="Arial" w:eastAsia="Arial"/>
          <w:color w:val="252525"/>
          <w:sz w:val="18"/>
        </w:rPr>
        <w:t xml:space="preserve"> </w:t>
      </w:r>
      <w:r>
        <w:rPr>
          <w:rFonts w:ascii="Arial" w:hAnsi="Arial" w:cs="Arial" w:eastAsia="Arial"/>
          <w:b w:val="true"/>
          <w:color w:val="252525"/>
          <w:sz w:val="18"/>
        </w:rPr>
        <w:t>Clínica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>1. Ajuste Individualizado: As simulações fornecem uma base para ajustar as dosagens de ibuprofeno de forma individualizada, considerando as características específicas de cada pacien</w:t>
      </w:r>
      <w:r>
        <w:rPr>
          <w:rFonts w:ascii="Arial" w:hAnsi="Arial" w:cs="Arial" w:eastAsia="Arial"/>
          <w:color w:val="252525"/>
          <w:sz w:val="18"/>
        </w:rPr>
        <w:t>te, como idade pós-natal e gestacional.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>2. Previsão de Resultados: Ao simular diferentes regimes de dosagem, os clínicos podem prever a exposição ao fármaco e a depuração, ajudando a tomar decisões informadas sobre o tratamento.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>3. Melhoria da Segurança: Ao entender como diferentes doses afetam os níveis plasmáticos de ibuprofeno, os clínicos podem minimizar o risco de efeitos adversos, como nefrotoxicidade e enterocolite necrosante.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>4. Educação e Treinamento: As simulações podem ser usadas como ferramentas educacionais para ensinar profissionais de saúde sobre a farmacocinética do ibuprofeno e a importância da personalização do tratamento.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Essas simulações são uma ferramenta poderosa para informar a prática clínica, permitindo uma abordagem mais precisa e personalizada no tratamento de recém-nascidos com PDA.</w:t>
      </w:r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Simulação dos Regimes de Dosagem: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 xml:space="preserve">   - Simule os dois regimes de dosagem possíveis: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 xml:space="preserve">     - Regime 1: Dose de ataque de </w:t>
      </w:r>
      <w:r>
        <w:rPr>
          <w:rFonts w:ascii="Arial" w:hAnsi="Arial" w:cs="Arial" w:eastAsia="Arial"/>
          <w:b w:val="true"/>
          <w:color w:val="252525"/>
          <w:sz w:val="18"/>
        </w:rPr>
        <w:t>10</w:t>
      </w:r>
      <w:r>
        <w:rPr>
          <w:rFonts w:ascii="Arial" w:hAnsi="Arial" w:cs="Arial" w:eastAsia="Arial"/>
          <w:color w:val="252525"/>
          <w:sz w:val="18"/>
        </w:rPr>
        <w:t xml:space="preserve"> mg/kg seguida por </w:t>
      </w:r>
      <w:r>
        <w:rPr>
          <w:rFonts w:ascii="Arial" w:hAnsi="Arial" w:cs="Arial" w:eastAsia="Arial"/>
          <w:b w:val="true"/>
          <w:color w:val="252525"/>
          <w:sz w:val="18"/>
        </w:rPr>
        <w:t>5</w:t>
      </w:r>
      <w:r>
        <w:rPr>
          <w:rFonts w:ascii="Arial" w:hAnsi="Arial" w:cs="Arial" w:eastAsia="Arial"/>
          <w:color w:val="252525"/>
          <w:sz w:val="18"/>
        </w:rPr>
        <w:t xml:space="preserve"> mg/kg/dia.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 xml:space="preserve">     - Regime 2: Dose de ataque de </w:t>
      </w:r>
      <w:r>
        <w:rPr>
          <w:rFonts w:ascii="Arial" w:hAnsi="Arial" w:cs="Arial" w:eastAsia="Arial"/>
          <w:b w:val="true"/>
          <w:color w:val="252525"/>
          <w:sz w:val="18"/>
        </w:rPr>
        <w:t>20</w:t>
      </w:r>
      <w:r>
        <w:rPr>
          <w:rFonts w:ascii="Arial" w:hAnsi="Arial" w:cs="Arial" w:eastAsia="Arial"/>
          <w:color w:val="252525"/>
          <w:sz w:val="18"/>
        </w:rPr>
        <w:t xml:space="preserve"> mg/kg seguida por </w:t>
      </w:r>
      <w:r>
        <w:rPr>
          <w:rFonts w:ascii="Arial" w:hAnsi="Arial" w:cs="Arial" w:eastAsia="Arial"/>
          <w:b w:val="true"/>
          <w:color w:val="252525"/>
          <w:sz w:val="18"/>
        </w:rPr>
        <w:t>10</w:t>
      </w:r>
      <w:r>
        <w:rPr>
          <w:rFonts w:ascii="Arial" w:hAnsi="Arial" w:cs="Arial" w:eastAsia="Arial"/>
          <w:color w:val="252525"/>
          <w:sz w:val="18"/>
        </w:rPr>
        <w:t xml:space="preserve"> mg/kg/dia.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 xml:space="preserve">   - Realize pelo menos 10 simulações para cada regime para obter uma média representativa.</w:t>
      </w:r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Análise dos Resultados: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 xml:space="preserve">   - Exposição ao Ibuprofeno: Avalie a exposição total ao ibuprofeno após a dose de ataque e as doses de manutenção.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 xml:space="preserve">   - Depuração dos Enantiómeros: Compare a depuração do S-ibuprofeno (CLS) e do R-ibuprofeno (CLR) ao longo dos três dias de tratamento.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 xml:space="preserve">   - Influência de Covariáveis: Analise como a idade pós-natal e gestacional influenciam a farmacocinética do ibuprofeno.</w:t>
      </w:r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Decisão Clínica: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 xml:space="preserve">   - Com base nos resultados da simulação, decida qual regime de dosagem é mais adequado para o caso clínico específico.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 xml:space="preserve">   - Considere fatores como o risco de efeitos adversos e a necessidade de monitoramento contínuo.</w:t>
      </w:r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18"/>
        </w:rPr>
        <w:t>Caso</w:t>
      </w:r>
      <w:r>
        <w:rPr>
          <w:rFonts w:ascii="Arial" w:hAnsi="Arial" w:cs="Arial" w:eastAsia="Arial"/>
          <w:color w:val="252525"/>
          <w:sz w:val="18"/>
        </w:rPr>
        <w:t xml:space="preserve"> </w:t>
      </w:r>
      <w:r>
        <w:rPr>
          <w:rFonts w:ascii="Arial" w:hAnsi="Arial" w:cs="Arial" w:eastAsia="Arial"/>
          <w:b w:val="true"/>
          <w:color w:val="252525"/>
          <w:sz w:val="18"/>
        </w:rPr>
        <w:t>Clínico</w:t>
      </w:r>
      <w:r>
        <w:rPr>
          <w:rFonts w:ascii="Arial" w:hAnsi="Arial" w:cs="Arial" w:eastAsia="Arial"/>
          <w:color w:val="252525"/>
          <w:sz w:val="18"/>
        </w:rPr>
        <w:t xml:space="preserve"> </w:t>
      </w:r>
      <w:r>
        <w:rPr>
          <w:rFonts w:ascii="Arial" w:hAnsi="Arial" w:cs="Arial" w:eastAsia="Arial"/>
          <w:b w:val="true"/>
          <w:color w:val="252525"/>
          <w:sz w:val="18"/>
        </w:rPr>
        <w:t>1</w:t>
      </w:r>
      <w:r>
        <w:rPr>
          <w:rFonts w:ascii="Arial" w:hAnsi="Arial" w:cs="Arial" w:eastAsia="Arial"/>
          <w:color w:val="252525"/>
          <w:sz w:val="18"/>
        </w:rPr>
        <w:t>: Recém-nascido prematuro com canal arterial patente (PDA) e dificuldade respiratória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Contexto: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- Idade Gestacional: 28 semanas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- Idade Pós-Natal: 2 dias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- Diagnóstico: PDA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- Sinais Clínicos: Dificuldade respiratória, baixo ganho de peso, dificuldade em alimentar-se</w:t>
      </w:r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Passos para Resolver: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1. Simulação Farmacológica: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 xml:space="preserve">   - Configuração: Utilize o modelo de simulação para um recém-nascido com 28 semanas de idade gestacional e 2 dias de idade pós-natal.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 xml:space="preserve">   - Regime de Dosagem: Comece com uma dose de ataque de 10 mg/kg, seguida por 5 mg/kg/dia durante 2 dias.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 xml:space="preserve">   - Objetivo: Avaliar a exposição total ao ibuprofeno e a depuração dos enantiómeros S- e R-ibuprofeno.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2. Análise: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 xml:space="preserve">   - Exposição ao Ibuprofeno: Determine a concentração plasmática de ibuprofeno ao longo do tempo e compare com os níveis necessários para a inibição das enzimas COX-1 e COX-2.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 xml:space="preserve">   - Depuração: Analise como a depuração do S-ibuprofeno e do R-ibuprofeno muda ao longo dos três dias de tratamento.</w:t>
      </w:r>
    </w:p>
    <w:p>
      <w:pPr>
        <w:pageBreakBefore w:val="true"/>
        <w:spacing w:line="240" w:lineRule="auto" w:after="0" w:before="0"/>
        <w:ind w:right="0" w:left="0"/>
      </w:pP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3. Implicações Clínicas: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 xml:space="preserve">   - Monitoramento: Devido à dificuldade respiratória, é crucial monitorar a função renal e pulmonar durante o tratamento.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 xml:space="preserve">   - Ajuste de Dosagem: Considere ajustar a dosagem com base na resposta clínica e nos níveis plasmáticos de ibuprofeno.</w:t>
      </w:r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18"/>
        </w:rPr>
        <w:t>Caso</w:t>
      </w:r>
      <w:r>
        <w:rPr>
          <w:rFonts w:ascii="Arial" w:hAnsi="Arial" w:cs="Arial" w:eastAsia="Arial"/>
          <w:color w:val="252525"/>
          <w:sz w:val="18"/>
        </w:rPr>
        <w:t xml:space="preserve"> </w:t>
      </w:r>
      <w:r>
        <w:rPr>
          <w:rFonts w:ascii="Arial" w:hAnsi="Arial" w:cs="Arial" w:eastAsia="Arial"/>
          <w:b w:val="true"/>
          <w:color w:val="252525"/>
          <w:sz w:val="18"/>
        </w:rPr>
        <w:t>Clínico</w:t>
      </w:r>
      <w:r>
        <w:rPr>
          <w:rFonts w:ascii="Arial" w:hAnsi="Arial" w:cs="Arial" w:eastAsia="Arial"/>
          <w:color w:val="252525"/>
          <w:sz w:val="18"/>
        </w:rPr>
        <w:t xml:space="preserve"> </w:t>
      </w:r>
      <w:r>
        <w:rPr>
          <w:rFonts w:ascii="Arial" w:hAnsi="Arial" w:cs="Arial" w:eastAsia="Arial"/>
          <w:b w:val="true"/>
          <w:color w:val="252525"/>
          <w:sz w:val="18"/>
        </w:rPr>
        <w:t>2</w:t>
      </w:r>
      <w:r>
        <w:rPr>
          <w:rFonts w:ascii="Arial" w:hAnsi="Arial" w:cs="Arial" w:eastAsia="Arial"/>
          <w:color w:val="252525"/>
          <w:sz w:val="18"/>
        </w:rPr>
        <w:t>: Recém-nascido com PDA e risco de hipertensão pulmonar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>Contexto: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- Idade Gestacional: 30 semanas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- Idade Pós-Natal: 3 dias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- Diagnóstico: PDA e hipertensão pulmonar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- Sinais Clínicos: Alterações cardíacas, hipertensão pulmonar</w:t>
      </w:r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>Passos para Resolver: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>1. **Simulação Farmacológica**: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 xml:space="preserve">   - **Configuração**: Utilize o modelo para um recém-nascido com 30 semanas de idade gestacional e 3 dias de idade pós-natal.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 xml:space="preserve">   - **Regime de Dosagem**: Ajuste a dosagem com base na idade pós-natal, considerando o risco de hipertensão pulmonar.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>2. **Análise**: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 xml:space="preserve">   - **Ajuste de Dosagem**: Determine a dosagem ideal considerando a idade pós-natal e o risco de hipertensão pulmonar.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 xml:space="preserve">   - **Depuração Renal**: Compare a depuração renal e a exposição total ao ibuprofeno entre diferentes idades pós-natais.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>3. **Implicações Clínicas**: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 xml:space="preserve">   - **Monitoramento Cardíaco e Pulmonar**: Monitorar de perto a função cardíaca e pulmonar devido ao risco de hipertensão pulmonar.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 xml:space="preserve">   - **Ajuste de Dosagem**: Ajustar a dosagem para minimizar o risco de nefrotoxicidade e outros efeitos adversos.</w:t>
      </w:r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18"/>
        </w:rPr>
        <w:t>Caso</w:t>
      </w:r>
      <w:r>
        <w:rPr>
          <w:rFonts w:ascii="Arial" w:hAnsi="Arial" w:cs="Arial" w:eastAsia="Arial"/>
          <w:color w:val="252525"/>
          <w:sz w:val="18"/>
        </w:rPr>
        <w:t xml:space="preserve"> </w:t>
      </w:r>
      <w:r>
        <w:rPr>
          <w:rFonts w:ascii="Arial" w:hAnsi="Arial" w:cs="Arial" w:eastAsia="Arial"/>
          <w:b w:val="true"/>
          <w:color w:val="252525"/>
          <w:sz w:val="18"/>
        </w:rPr>
        <w:t>Clínico</w:t>
      </w:r>
      <w:r>
        <w:rPr>
          <w:rFonts w:ascii="Arial" w:hAnsi="Arial" w:cs="Arial" w:eastAsia="Arial"/>
          <w:color w:val="252525"/>
          <w:sz w:val="18"/>
        </w:rPr>
        <w:t xml:space="preserve"> </w:t>
      </w:r>
      <w:r>
        <w:rPr>
          <w:rFonts w:ascii="Arial" w:hAnsi="Arial" w:cs="Arial" w:eastAsia="Arial"/>
          <w:b w:val="true"/>
          <w:color w:val="252525"/>
          <w:sz w:val="18"/>
        </w:rPr>
        <w:t>3</w:t>
      </w:r>
      <w:r>
        <w:rPr>
          <w:rFonts w:ascii="Arial" w:hAnsi="Arial" w:cs="Arial" w:eastAsia="Arial"/>
          <w:color w:val="252525"/>
          <w:sz w:val="18"/>
        </w:rPr>
        <w:t>: Recém-nascido com PDA e enterocolite necrosante em risco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b w:val="true"/>
          <w:color w:val="252525"/>
          <w:sz w:val="18"/>
        </w:rPr>
        <w:t>Contexto</w:t>
      </w:r>
      <w:r>
        <w:rPr>
          <w:rFonts w:ascii="Arial" w:hAnsi="Arial" w:cs="Arial" w:eastAsia="Arial"/>
          <w:color w:val="252525"/>
          <w:sz w:val="18"/>
        </w:rPr>
        <w:t>: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>- Idade Gestacional: 27 semanas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>- Idade Pós-Natal: 1 dia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>- Diagnóstico: PDA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>- Fatores de Risco: Alto risco de enterocolite necrosante</w:t>
      </w:r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b w:val="true"/>
          <w:color w:val="252525"/>
          <w:sz w:val="18"/>
        </w:rPr>
        <w:t>Passos</w:t>
      </w:r>
      <w:r>
        <w:rPr>
          <w:rFonts w:ascii="Arial" w:hAnsi="Arial" w:cs="Arial" w:eastAsia="Arial"/>
          <w:color w:val="252525"/>
          <w:sz w:val="18"/>
        </w:rPr>
        <w:t xml:space="preserve"> </w:t>
      </w:r>
      <w:r>
        <w:rPr>
          <w:rFonts w:ascii="Arial" w:hAnsi="Arial" w:cs="Arial" w:eastAsia="Arial"/>
          <w:b w:val="true"/>
          <w:color w:val="252525"/>
          <w:sz w:val="18"/>
        </w:rPr>
        <w:t>para</w:t>
      </w:r>
      <w:r>
        <w:rPr>
          <w:rFonts w:ascii="Arial" w:hAnsi="Arial" w:cs="Arial" w:eastAsia="Arial"/>
          <w:color w:val="252525"/>
          <w:sz w:val="18"/>
        </w:rPr>
        <w:t xml:space="preserve"> </w:t>
      </w:r>
      <w:r>
        <w:rPr>
          <w:rFonts w:ascii="Arial" w:hAnsi="Arial" w:cs="Arial" w:eastAsia="Arial"/>
          <w:b w:val="true"/>
          <w:color w:val="252525"/>
          <w:sz w:val="18"/>
        </w:rPr>
        <w:t>Resolver</w:t>
      </w:r>
      <w:r>
        <w:rPr>
          <w:rFonts w:ascii="Arial" w:hAnsi="Arial" w:cs="Arial" w:eastAsia="Arial"/>
          <w:color w:val="252525"/>
          <w:sz w:val="18"/>
        </w:rPr>
        <w:t>: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>1. Simulação Farmacológica: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 xml:space="preserve">   - Configuração: Utilize o modelo para um recém-nascido com 27 semanas de idade gestacional e 1 dia de idade pós-natal.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 xml:space="preserve">   - Regime de Dosagem: Inicie com 10 mg/kg e ajuste a dosagem de manutenção com base na idade pós-natal.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>2. Análise: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 xml:space="preserve">   - Depuração do Ibuprofeno: Avalie a depuração do ibuprofeno ao longo do tratamento e como isso influencia a necessidade de ajustes de dosagem.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 xml:space="preserve">   - Risco de Enterocolite: Considere como a maturação do fármaco afeta a concentração plasmática de ibuprofeno e o risco de enterocolite.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>3. Implicações Clínicas: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 xml:space="preserve">   - Monitoramento Gastrointestinal: Monitorar o estado gastrointestinal devido ao risco de enterocolite necrosante.</w:t>
      </w:r>
    </w:p>
    <w:p>
      <w:pPr>
        <w:spacing w:line="240" w:lineRule="auto" w:after="0" w:before="0"/>
        <w:ind w:right="0" w:left="567"/>
      </w:pPr>
      <w:r>
        <w:rPr>
          <w:rFonts w:ascii="Arial" w:hAnsi="Arial" w:cs="Arial" w:eastAsia="Arial"/>
          <w:color w:val="252525"/>
          <w:sz w:val="18"/>
        </w:rPr>
        <w:t xml:space="preserve">   - Ajuste de Dosagem: Ajustar a dosagem para minimizar o risco de enterocolite, considerando a maturação do fármaco e a idade pós-natal.</w:t>
      </w:r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Vantagens das Simulações Farmacológicas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1. **Personalização do Tratamento**: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 xml:space="preserve">   - As simulações permitem ajustar as dosagens de medicamentos com base nas características individuais do paciente, como idade, peso e função renal, proporcionando um tratamento mais personalizado e eficaz.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2. **Previsão de Resultados**: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 xml:space="preserve">   - Através das simulações, é possível prever a concentração plasmática de um fármaco ao longo do tempo, ajudando a otimizar a dosagem para maximizar a eficácia e minimizar os efeitos adversos.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3. **Redução de Riscos**: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 xml:space="preserve">   - Ao simular diferentes regimes de dosagem, os clínicos podem identificar potenciais riscos antes de aplicar o tratamento, reduzindo a probabilidade de efeitos adversos graves.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4. **Educação e Treinamento**: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 xml:space="preserve">   - As simulações servem como ferramentas educacionais valiosas para ensinar profissionais de saúde sobre farmacocinética e farmacodinâmica, melhorando a compreensão de como os medicamentos agem no corpo.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5. **Otimização de Recursos**: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 xml:space="preserve">   - Ao usar simulações, pode-se otimizar o uso de recursos clínicos, como tempo e medicamentos, ao determinar a dosagem mais eficiente e eficaz para cada paciente.</w:t>
      </w:r>
    </w:p>
    <w:p>
      <w:pPr>
        <w:spacing w:line="270" w:lineRule="auto" w:after="0" w:before="0"/>
        <w:ind w:right="0" w:left="0"/>
        <w:rPr>
          <w:rFonts w:ascii="Arial" w:hAnsi="Arial" w:cs="Arial"/>
          <w:sz w:val="18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Vantagens de Partilhar Dados de Simulação com Outros Profissionais de Saúde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1. Colaboração Interdisciplinar: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 xml:space="preserve">   - A partilha de dados de simulação facilita a colaboração entre diferentes profissionais de saúde, como médicos, farmacêuticos e enfermeiros, promovendo uma abordagem mais integrada ao cuidado do paciente.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2. Consistência no Tratamento: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 xml:space="preserve">   - Garantir que todos os membros da equipe de saúde tenham acesso aos mesmos dados de simulação ajuda a manter a consistência no tratamento, melhorando a qualidade do cuidado prestado.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3. Tomada de Decisão Informada: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 xml:space="preserve">   - Com acesso a dados de simulação, os profissionais de saúde podem tomar decisões mais informadas sobre o tratamento, levando em consideração as previsões e os possíveis resultados.</w:t>
      </w:r>
    </w:p>
    <w:p>
      <w:pPr>
        <w:pageBreakBefore w:val="true"/>
        <w:spacing w:line="240" w:lineRule="auto" w:after="0" w:before="0"/>
        <w:ind w:right="0" w:left="0"/>
      </w:pPr>
      <w:r>
        <w:pict>
          <v:shape path="m 1,1 l 1,1000, 1000,1000, 1000,1 x e" style="position:absolute;margin-left:-18.9pt;margin-top:242.7943908691406pt;width:595.35pt;height:280.7284240722656pt;z-index:-1;visibility:visible;rotation:0.0;" stroked="false" filled="false">
            <v:textbox style="mso-fit-shape-to-text:true">
              <w:txbxContent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7D193E"/>
                      <w:sz w:val="40"/>
                    </w:rPr>
                    <w:t>- Facilidade</w:t>
                  </w:r>
                </w:p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7D193E"/>
                      <w:sz w:val="40"/>
                    </w:rPr>
                    <w:t>- Precisão da prestação de cuidados</w:t>
                  </w:r>
                </w:p>
                <w:p>
                  <w:pPr>
                    <w:spacing w:line="192" w:lineRule="auto"/>
                  </w:pPr>
                  <w:r>
                    <w:rPr>
                      <w:rFonts w:ascii="Calibri" w:hAnsi="Calibri" w:cs="Calibri" w:eastAsia="Calibri"/>
                      <w:color w:val="7D193E"/>
                      <w:sz w:val="40"/>
                    </w:rPr>
                    <w:t>- Standardizasão - lodos na mesma página</w:t>
                  </w:r>
                </w:p>
              </w:txbxContent>
            </v:textbox>
          </v:shape>
        </w:pic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4. Melhoria Contínua: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 xml:space="preserve">   - A partilha de dados permite a revisão e a melhoria contínua dos protocolos de tratamento, incorporando feedback e novas descobertas para beneficiar futuros pacientes.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5. Redução de Erros: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 xml:space="preserve">   - A comunicação clara e a partilha de dados de simulação podem reduzir erros médicos, garantindo que todos os profissionais envolvidos estejam alinhados com o plano de tratamento.</w:t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7424076040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mage1742407604020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4. Melhoria Contínua: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 xml:space="preserve">   - A partilha de dados permite a revisão e a melhoria contínua dos protocolos de tratamento, incorporando feedback e novas descobertas para beneficiar futuros pacientes.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>5. Redução de Erros: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18"/>
        </w:rPr>
        <w:t xml:space="preserve">   - A comunicação clara e a partilha de dados de simulação podem reduzir erros médicos, garantindo que todos os profissionais envolvidos estejam alinhados com o plano de tratamento.</w:t>
      </w:r>
    </w:p>
    <w:sectPr>
      <w:pgSz w:h="16840" w:w="11900"/>
      <w:pgMar>
        <w:pgMar w:top="0" w:right="375" w:bottom="270" w:left="375" w:header="720" w:footer="720" w:gutter="0"/>
      </w:pgMar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10" Type="http://schemas.openxmlformats.org/officeDocument/2006/relationships/image" Target="media/image10.png"/><Relationship Id="rId11" Type="http://schemas.openxmlformats.org/officeDocument/2006/relationships/image" Target="media/image11.png"/><Relationship Id="rId12" Type="http://schemas.openxmlformats.org/officeDocument/2006/relationships/image" Target="media/image12.png"/><Relationship Id="rId13" Type="http://schemas.openxmlformats.org/officeDocument/2006/relationships/image" Target="media/image13.png"/><Relationship Id="rId14" Type="http://schemas.openxmlformats.org/officeDocument/2006/relationships/image" Target="media/image14.png"/><Relationship Id="rId15" Type="http://schemas.openxmlformats.org/officeDocument/2006/relationships/image" Target="media/image15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8.png"/><Relationship Id="rId9" Type="http://schemas.openxmlformats.org/officeDocument/2006/relationships/image" Target="media/image9.png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2025-03-19T18:06:42Z</dcterms:created>
  <dc:creator>Apache POI</dc:creator>
</cp:coreProperties>
</file>