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УТВЕРЖДАЮ</w:t>
      </w:r>
    </w:p>
    <w:p>
      <w:pPr>
        <w:spacing w:after="40" w:before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ФБЛПУ «Санаторий «Радуга» ФНС России»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________________ / _______________ /  «___» ________ 2026 г.</w:t>
      </w:r>
    </w:p>
    <w:p>
      <w:pPr>
        <w:spacing w:after="4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Описание объекта закупки</w:t>
      </w:r>
    </w:p>
    <w:p>
      <w:pPr>
        <w:spacing w:after="8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(Техническое задание)</w:t>
      </w:r>
    </w:p>
    <w:p>
      <w:pPr>
        <w:spacing w:after="200" w:before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на поставку оборудования и выполнение работ по монтажу системы охранного видеонаблюдения для нужд ФБЛПУ «Санаторий «Радуга» ФНС России»</w:t>
      </w:r>
    </w:p>
    <w:p>
      <w:pPr>
        <w:spacing w:after="200" w:before="0" w:line="240" w:lineRule="auto"/>
      </w:pPr>
      <w:r>
        <w:rPr>
          <w:rFonts w:ascii="Times New Roman" w:hAnsi="Times New Roman" w:eastAsia="Times New Roman"/>
          <w:b w:val="0"/>
          <w:i/>
          <w:sz w:val="20"/>
        </w:rPr>
        <w:t>Документ подготовлен по структуре черновика ТЗ заказчика. Состав и объёмы — по акту обследования ППИ (ООО «Сфера-95» / ПАО «МТС», 10.2025). Характеристики камеры — по КТРУ 26.70.13.000-00000008 и КП ООО «ТД «ВИПАКС» от 18.08.2026. Товарные знаки не являются предметом закупки; допускается эквивалент.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1F4E79"/>
          <w:sz w:val="26"/>
        </w:rPr>
        <w:t>1. Место и время поставки товара и выполнения работ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Адрес верхней зоны (ядро системы, серверная ФОК): 354008, Краснодарский край, г. Сочи, ул. Виноградная, д. 53.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Адрес нижней (пляжной) зоны: Краснодарский край, г. Сочи, ул. Пирогова, д. 46/6.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Режим рабочего времени Заказчика: пятидневная рабочая неделя (суббота и воскресенье — выходные); понедельник–четверг с 08:00 до 17:00, пятница с 08:00 до 16:00; обед с 12:00 до 12:48.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Поставка товара и допуск на территорию — только после согласования с Заказчиком. Точки питания 220 В для шкафов узлов доступа обозначает собственник объекта.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1F4E79"/>
          <w:sz w:val="26"/>
        </w:rPr>
        <w:t>2. Срок поставки и монтажа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2.1. Поставка оборудования — в течение 15 (пятнадцати) рабочих дней с даты заявки Заказчика в пределах срока действия контракта.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2.2. Выполнение работ по монтажу, пусконаладке и сдаче системы — в течение 60 (шестидесяти) рабочих дней с даты поставки оборудования, по графику, согласованному с Заказчиком.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2.3. Работы на автомобильных въездах (штроба и восстановление покрытия) выполняются в согласованные с Заказчиком «окна», без несогласованного перекрытия КПП.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1F4E79"/>
          <w:sz w:val="26"/>
        </w:rPr>
        <w:t>3. Нормативно-правовая база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Товар и система должны соответствовать: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— ГОСТ IEC 60950-1-2014. Оборудование информационных технологий. Требования безопасности;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— ГОСТ Р 51558-2014. Средства и системы охранные телевизионные. Классификация. Общие технические требования. Методы испытаний;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— требованиям Федерального закона от 05.04.2013 № 44-ФЗ к описанию объекта закупки (характеристики — минимально необходимые, без указания товарного знака, кроме слов «или эквивалент» в справочных примечаниях).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1F4E79"/>
          <w:sz w:val="26"/>
        </w:rPr>
        <w:t>4. Перечень поставляемого товара. Общие характеристики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4.1. Назначение системы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Организовать систему охранного видеонаблюдения периметра, КПП и внутренней территории верхней и нижней зон объекта. Ядро (видеосервер, магистральный коммутатор, ИБП, стойка 42U) — в проектируемой стойке серверной здания ФОК верхней зоны. Связь нижней зоны с ядром — по существующему оптическому волокну Заказчика (1 ОВ): вариант 1 — ФОК ↔ лодочная станция; вариант 2 — ФОК ↔ здание 2К. Существующие линии также: ФОК ↔ котельная (1 ОВ).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Кронирование деревьев и кустарников в объём не входит (п. 3.3 акта обследования).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Объектив всех уличных камер — 3,6 мм (периметр, внутренняя территория и КПП).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4.2. Позиция 1. Камера видеонаблюдения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Реквизит</w:t>
            </w:r>
          </w:p>
        </w:tc>
        <w:tc>
          <w:tcPr>
            <w:tcW w:type="dxa" w:w="4961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Наименование</w:t>
            </w:r>
          </w:p>
        </w:tc>
        <w:tc>
          <w:tcPr>
            <w:tcW w:type="dxa" w:w="49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Камера видеонаблюдения</w:t>
            </w:r>
          </w:p>
        </w:tc>
      </w:tr>
      <w:tr>
        <w:tc>
          <w:tcPr>
            <w:tcW w:type="dxa" w:w="4961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ОКПД2 / КТРУ</w:t>
            </w:r>
          </w:p>
        </w:tc>
        <w:tc>
          <w:tcPr>
            <w:tcW w:type="dxa" w:w="4961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26.70.13.000-00000008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Единица измерения</w:t>
            </w:r>
          </w:p>
        </w:tc>
        <w:tc>
          <w:tcPr>
            <w:tcW w:type="dxa" w:w="49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штука</w:t>
            </w:r>
          </w:p>
        </w:tc>
      </w:tr>
      <w:tr>
        <w:tc>
          <w:tcPr>
            <w:tcW w:type="dxa" w:w="4961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Количество</w:t>
            </w:r>
          </w:p>
        </w:tc>
        <w:tc>
          <w:tcPr>
            <w:tcW w:type="dxa" w:w="4961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105, в том числе 79 — периметр, 26 — территория и КПП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Ориентир (эквивалент)</w:t>
            </w:r>
          </w:p>
        </w:tc>
        <w:tc>
          <w:tcPr>
            <w:tcW w:type="dxa" w:w="496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уличная цилиндрическая IP-камера 5 Мп, фиксированный объектив 3,6 мм, полноцвет/ИК (типа Сокол-OF 5Mp Color ON)</w:t>
            </w:r>
          </w:p>
        </w:tc>
      </w:tr>
    </w:tbl>
    <w:p/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Характеристики позиции 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Наименование характеристики</w:t>
            </w:r>
          </w:p>
        </w:tc>
        <w:tc>
          <w:tcPr>
            <w:tcW w:type="dxa" w:w="248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Значение</w:t>
            </w:r>
          </w:p>
        </w:tc>
        <w:tc>
          <w:tcPr>
            <w:tcW w:type="dxa" w:w="248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Ед.</w:t>
            </w:r>
          </w:p>
        </w:tc>
        <w:tc>
          <w:tcPr>
            <w:tcW w:type="dxa" w:w="248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Инструкция участнику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Тип камеры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Цифровая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Тип конструкции камеры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Цилиндрическая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Исполнение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Уличная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Материал корпуса (кожуха)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Металлический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Тип крепления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Универсальная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Тип объектива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Фиксированный (монофокальный)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Фокусное расстояние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3,6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мм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Разрешение основного видеопотока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≥ 2560×1440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Разрешение дополнительного видеопотока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≥ 1920×1080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Количество независимых видеопотоков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&gt; 2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Число мегапикселей матрицы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≥ 4 и &lt; 8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указать конкретное значение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Размер матрицы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≥ 1/2.9 и ≤ 1/2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дюйм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указать конкретное значение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Частота кадров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≥ 25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кадр/с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Светочувствительность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≥ 0 и &lt; 1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лк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указать конкретное значение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Дальность подсветки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≥ 30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Минимальная рабочая температура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≤ −40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°C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Максимальная рабочая температура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≥ +60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°C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Ночная съёмка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Да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Тип передачи сигнала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Проводной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Разъёмы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Ethernet; порт RJ-45; разъём питания DC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Поддержка PoE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Да, IEEE 802.3af (PoE)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Тип напряжения питания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Постоянное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Рабочее напряжение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Потребляемая мощность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≥ 7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Вт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Тип носителя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Карта памяти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Поддержка карт памяти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microSD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Поддержка видеокодеков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H.264 Baseline Profile; H.264 High Profile; H.264 Main Profile; H.265; MJPEG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Поддержка аудиокодеков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AAC; G.711a; G.711u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Поддержка сетевого протокола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IPv4; TCP/IP; DNS; DHCP; RTP/RTCP; NTP; Multicast; ICMP; ARP; RTSP; ONVIF; HTTP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Минимальный угол обзора по вертикали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≤ 48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град.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Максимальный угол обзора по вертикали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≥ 48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град.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Минимальный угол обзора по горизонтали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≤ 94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град.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Максимальный угол обзора по горизонтали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≥ 79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град.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Съёмка и возможности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Встроенная видеоаналитика; запись на карту памяти; съёмка ночная; фокусировка автоматическая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Функции и возможности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True-color матрица; автоматическая настройка дальности ИК-подсветки; антивандальная; антитуман; влаго- и ударостойкая; возможность отправки уведомлений; встраиваемый детектор движения; встроенная грозозащита; встроенный микрофон; LED-подсветка; ИК-подсветка; механический ИК-фильтр; настройка кодека; настройка частоты смены кадров; прогрессивное сканирование; режим BLC; режим HLC; режим WDR; слот для карты памяти; холодный запуск; шумоподавление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может изменяться</w:t>
            </w:r>
          </w:p>
        </w:tc>
      </w:tr>
    </w:tbl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Степень защиты оболочки — не ниже IP66 (ориентир IP67). Ударопрочность — не ниже IK08.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4.3. Прочее активное оборудование и ПО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198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Наименование</w:t>
            </w:r>
          </w:p>
        </w:tc>
        <w:tc>
          <w:tcPr>
            <w:tcW w:type="dxa" w:w="198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Минимальные требования / ориентир эквивалента</w:t>
            </w:r>
          </w:p>
        </w:tc>
        <w:tc>
          <w:tcPr>
            <w:tcW w:type="dxa" w:w="198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Ед.</w:t>
            </w:r>
          </w:p>
        </w:tc>
        <w:tc>
          <w:tcPr>
            <w:tcW w:type="dxa" w:w="198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Кол-во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Коробка монтажная под видеокамеру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совместима с цилиндрическим корпусом уличной камеры (ориентир D134,3)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105</w:t>
            </w:r>
          </w:p>
        </w:tc>
      </w:tr>
      <w:tr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Модуль видеоаналитики (нейросетевой детектор движения)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на канал IP-камеры, совместим с камерами и видеосервером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Видеосервер / регистратор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≥105 IP одновременно, ≥128 каналов, архив ≥30 сут. при 15 кадр/с, ONVIF, 19" (ориентир Высота 128ST-16-HS)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Накопитель HDD 16 ТБ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для архива 1 месяц 15 кадр/с либо эквивалент в составе сервера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Коммутатор магистральный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менее 24 портов SFP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Коммутатор агрегации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менее 8 портов SFP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Коммутатор доступа PoE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менее 16 портов Extended PoE + 2 SFP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SFP-модуль медный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10/100/1000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SFP-модуль оптический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пара, 1×LC single, 1 Гбит/с, ≥3 км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пар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ИБП узла доступа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0,6 кВА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ИБП серверной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 кВА, rack 19"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АРМ вывода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устройство вывода + монитор 24"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компл.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Монитор серверной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диагональ 32"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Видеостена диспетчерской ФОК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состав согласовать с Заказчиком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компл.</w:t>
            </w:r>
          </w:p>
        </w:tc>
        <w:tc>
          <w:tcPr>
            <w:tcW w:type="dxa" w:w="1984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</w:tbl>
    <w:p/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4.4. Шкафы, металлоконструкции, кабель и расходные материалы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Количества — сумма спецификаций верхней и нижней зон ППИ (принятые значения; сверка шкафов и опор — с ГИП).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248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Наименование</w:t>
            </w:r>
          </w:p>
        </w:tc>
        <w:tc>
          <w:tcPr>
            <w:tcW w:type="dxa" w:w="248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Ед.</w:t>
            </w:r>
          </w:p>
        </w:tc>
        <w:tc>
          <w:tcPr>
            <w:tcW w:type="dxa" w:w="248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Кол-во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Шкаф настенный 6U, дверь металл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Стойка 42U (тип согласовать с Заказчиком)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Шкаф климатический 6U, уличный IP66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19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Блок розеток 19"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Кабельный органайзер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21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Розетка на DIN-рейку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Автоматический выключатель С6 2P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23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Трубостойка металлическая 80×80, h=2,5…3 м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42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Опора металлическая 100×100, h=4…4,5 м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Кабель UTP cat.5e outdoor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12900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Труба ПНД гладкая d40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4000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27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Муфта разветвительная на ПНД-трубу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55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28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Труба ПВХ гофрированная d32 чёрная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2000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29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Кабель ВВГнг 3×2,5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370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30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Кабель ВОЛС КОС-ОКД-16-4кН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2000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31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Кабель ВОЛС КОС-ОКД-8-4кН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2000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32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Кросс оптический КРС-4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Кросс оптический КРС-16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34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Кросс оптический КРС-24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248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35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Патч-корд оптический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2480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44</w:t>
            </w:r>
          </w:p>
        </w:tc>
      </w:tr>
    </w:tbl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Питание шкафов — от ближайших точек 220 В, указанных собственником. Основной способ прокладки ВОЛС — в ПНД по ограждению и в грунте. Переходы автомобильных въездов — подземно, со штроблением бетонного основания и восстановлением покрытия. Камеры — на трубостойках 2,5–3 м (крепление к ограждению) и на отдельностоящих опорах; бетонирование основания 0,5–1,0 м в зависимости от грунта.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1F4E79"/>
          <w:sz w:val="26"/>
        </w:rPr>
        <w:t>5. Требования к поставке товара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Поставщик обязан осуществить доставку товара по адресам пункта 1 настоящего Технического задания за свой счёт, своими силами и средствами.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Поставляемый товар должен быть новым (не бывшим в употреблении), в невскрытой упаковке. На упаковках должны присутствовать этикетки. Упаковка обязана обеспечивать сохранность товара от деформации, повреждения и загрязнения в ходе хранения, транспортировки и ПРР.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Товар должен соответствовать функциональным характеристикам, установленным для него, и быть пригодным для целей, в которых Заказчик его приобретает.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Поставщик обязан одновременно с товаром передать относящиеся к нему документы (паспорт, инструкция, сертификаты / декларации, для ПО — лицензии), если их предоставление предусмотрено законодательством Российской Федерации или условиями контракта.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1F4E79"/>
          <w:sz w:val="26"/>
        </w:rPr>
        <w:t>6. Требования к составу работ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Места выполнения: верхняя зона — ул. Виноградная, д. 53 (серверная ФОК, узлы доступа УД-1…УД-5); нижняя зона — ул. Пирогова, д. 46/6 (узлы доступа, КПП, привязка к существующей ВОЛС — лодочная станция либо здание 2К).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6.2. Состав работ (сводно)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Наименование работы</w:t>
            </w:r>
          </w:p>
        </w:tc>
        <w:tc>
          <w:tcPr>
            <w:tcW w:type="dxa" w:w="3307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Ед.</w:t>
            </w:r>
          </w:p>
        </w:tc>
        <w:tc>
          <w:tcPr>
            <w:tcW w:type="dxa" w:w="3307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Кол-во</w:t>
            </w:r>
          </w:p>
        </w:tc>
      </w:tr>
      <w:tr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Монтаж видеокамеры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105</w:t>
            </w:r>
          </w:p>
        </w:tc>
      </w:tr>
      <w:tr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Монтаж оборудования в шкафах / стойке</w:t>
            </w:r>
          </w:p>
        </w:tc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ед.</w:t>
            </w:r>
          </w:p>
        </w:tc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28</w:t>
            </w:r>
          </w:p>
        </w:tc>
      </w:tr>
      <w:tr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Монтаж шкафа 6–9U внутреннего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Монтаж шкафа уличного IP66</w:t>
            </w:r>
          </w:p>
        </w:tc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Монтаж стойки 42U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Монтаж органайзера 1U</w:t>
            </w:r>
          </w:p>
        </w:tc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Монтаж трубостойки 2,5–3 м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42</w:t>
            </w:r>
          </w:p>
        </w:tc>
      </w:tr>
      <w:tr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Монтаж опоры 4–4,5 м с бетонированием</w:t>
            </w:r>
          </w:p>
        </w:tc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Монтаж ВОК в ПНД (грунт + забор)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4000</w:t>
            </w:r>
          </w:p>
        </w:tc>
      </w:tr>
      <w:tr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Монтаж UTP 5e на улице</w:t>
            </w:r>
          </w:p>
        </w:tc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</w:t>
            </w:r>
          </w:p>
        </w:tc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12900</w:t>
            </w:r>
          </w:p>
        </w:tc>
      </w:tr>
      <w:tr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Монтаж ВВГнг 3×2,5 в ПНД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370</w:t>
            </w:r>
          </w:p>
        </w:tc>
      </w:tr>
      <w:tr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Штроба в бетоне + восстановление</w:t>
            </w:r>
          </w:p>
        </w:tc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м.п.</w:t>
            </w:r>
          </w:p>
        </w:tc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90</w:t>
            </w:r>
          </w:p>
        </w:tc>
      </w:tr>
      <w:tr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Монтаж гофротрубы d32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2000</w:t>
            </w:r>
          </w:p>
        </w:tc>
      </w:tr>
      <w:tr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Монтаж автомата</w:t>
            </w:r>
          </w:p>
        </w:tc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Монтаж розетки на DIN-рейку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Монтаж кросса 4 ОВ</w:t>
            </w:r>
          </w:p>
        </w:tc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Монтаж кросса 16 ОВ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Монтаж кросса 24 ОВ</w:t>
            </w:r>
          </w:p>
        </w:tc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Сварка ОВ в кроссе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136</w:t>
            </w:r>
          </w:p>
        </w:tc>
      </w:tr>
      <w:tr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Монтаж оптических патч-кордов</w:t>
            </w:r>
          </w:p>
        </w:tc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44</w:t>
            </w:r>
          </w:p>
        </w:tc>
      </w:tr>
      <w:tr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Монтаж блока розеток 19"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Монтаж видеостены</w:t>
            </w:r>
          </w:p>
        </w:tc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шт.</w:t>
            </w:r>
          </w:p>
        </w:tc>
        <w:tc>
          <w:tcPr>
            <w:tcW w:type="dxa" w:w="3307"/>
            <w:shd w:fill="D6E3F0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Пусконаладка системы (камеры, сервер, аналитика, NTP, роли)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компл.</w:t>
            </w:r>
          </w:p>
        </w:tc>
        <w:tc>
          <w:tcPr>
            <w:tcW w:type="dxa" w:w="33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</w:tbl>
    <w:p/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6.3. Пусконаладка включает: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— начальную конфигурацию камер и сервера;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— IP-адресацию IPv4 (IPv6 — при требовании Заказчика);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— NTP, учётные записи, ролевую модель;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— добавление всех камер на видеосервер, проверку архива;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— настройку аналитики (нейросетевой детектор движения) на 105 каналах;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— тестирование обзора периметра и КПП, акт сдачи с таблицей камер (номер, узел доступа, зона, ориентир, IP).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Распределение камер: верх — УД-1 (11), УД-2 (7), УД-3 (8), УД-4 (14), УД-5 (13), итого 53; низ — УД-1 (9), УД-2 (14), УД-3 (14), УД-4 (15), итого 52.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1F4E79"/>
          <w:sz w:val="26"/>
        </w:rPr>
        <w:t>7. Гарантийный срок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Гарантия качества товара распространяется на весь поставляемый товар не менее 12 (двенадцати) месяцев, но не менее гарантийного срока завода-изготовителя, с даты подписания Сторонами документа о приёмке.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Поставщик выполняет гарантийное обслуживание без дополнительных расходов со стороны Заказчика: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а) замена поставленного товара при обнаружении брака, неподлинности, использования товара до поставки, нарушения других требований к качеству;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б) восстановление работоспособности техники Заказчика при выходе её из строя по причине использования бракованного товара.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Гарантия на монтажные работы — не менее 12 месяцев с даты акта сдачи.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Начальник отдела информационных технологий                                    Диденко Р. В.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/>
        <w:b w:val="0"/>
        <w:i w:val="0"/>
        <w:color w:val="595959"/>
        <w:sz w:val="18"/>
      </w:rPr>
      <w:t xml:space="preserve">Стр. </w:t>
    </w:r>
    <w:r>
      <w:rPr>
        <w:rFonts w:ascii="Times New Roman" w:hAnsi="Times New Roman" w:eastAsia="Times New Roman"/>
        <w:b w:val="0"/>
        <w:i w:val="0"/>
        <w:color w:val="595959"/>
        <w:sz w:val="18"/>
      </w:rPr>
      <w:fldChar w:fldCharType="begin"/>
    </w:r>
    <w:r>
      <w:rPr>
        <w:rFonts w:ascii="Times New Roman" w:hAnsi="Times New Roman" w:eastAsia="Times New Roman"/>
        <w:b w:val="0"/>
        <w:i w:val="0"/>
        <w:color w:val="595959"/>
        <w:sz w:val="18"/>
      </w:rPr>
      <w:instrText xml:space="preserve"> PAGE </w:instrText>
    </w:r>
    <w:r>
      <w:rPr>
        <w:rFonts w:ascii="Times New Roman" w:hAnsi="Times New Roman" w:eastAsia="Times New Roman"/>
        <w:b w:val="0"/>
        <w:i w:val="0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595959"/>
        <w:sz w:val="18"/>
      </w:rPr>
      <w:t>ФБЛПУ «Санаторий «Радуга» ФНС России»  ·  ТЗ на СВН  ·  19.08.2026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