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600"/>
              <w:left w:type="dxa" w:w="400"/>
              <w:bottom w:type="dxa" w:w="600"/>
              <w:right w:type="dxa" w:w="400"/>
            </w:tcMar>
          </w:tcPr>
          <w:p>
            <w:pPr>
              <w:spacing w:before="0" w:after="80"/>
              <w:jc w:val="left"/>
            </w:pPr>
            <w:r>
              <w:rPr>
                <w:rFonts w:ascii="Arial" w:cs="Arial" w:eastAsia="Arial" w:hAnsi="Arial"/>
                <w:b/>
                <w:bCs/>
                <w:color w:val="A8C4E0"/>
                <w:sz w:val="28"/>
                <w:szCs w:val="28"/>
              </w:rPr>
              <w:t xml:space="preserve">🦉  NOCTUA</w:t>
            </w:r>
          </w:p>
          <w:p>
            <w:pPr>
              <w:spacing w:before="0" w:after="160"/>
              <w:jc w:val="left"/>
            </w:pPr>
            <w:r>
              <w:rPr>
                <w:rFonts w:ascii="Arial" w:cs="Arial" w:eastAsia="Arial" w:hAnsi="Arial"/>
                <w:i/>
                <w:iCs/>
                <w:color w:val="7A96B4"/>
                <w:sz w:val="22"/>
                <w:szCs w:val="22"/>
              </w:rPr>
              <w:t xml:space="preserve">Product Strategy Document</w:t>
            </w:r>
          </w:p>
          <w:p>
            <w:pPr>
              <w:spacing w:before="0" w:after="80"/>
              <w:jc w:val="left"/>
            </w:pPr>
            <w:r>
              <w:rPr>
                <w:rFonts w:ascii="Arial" w:cs="Arial" w:eastAsia="Arial" w:hAnsi="Arial"/>
                <w:b/>
                <w:bCs/>
                <w:color w:val="FFFFFF"/>
                <w:sz w:val="36"/>
                <w:szCs w:val="36"/>
              </w:rPr>
              <w:t xml:space="preserve">Simple vs. Pro Tier Matrix  ·  Competitive Analysis</w:t>
            </w:r>
          </w:p>
          <w:p>
            <w:pPr>
              <w:spacing w:before="160" w:after="0"/>
              <w:jc w:val="left"/>
            </w:pPr>
            <w:r>
              <w:rPr>
                <w:rFonts w:ascii="Arial" w:cs="Arial" w:eastAsia="Arial" w:hAnsi="Arial"/>
                <w:color w:val="7A96B4"/>
                <w:sz w:val="20"/>
                <w:szCs w:val="20"/>
              </w:rPr>
              <w:t xml:space="preserve">Session 2 Output  ·  March 2026</w:t>
            </w:r>
          </w:p>
        </w:tc>
      </w:tr>
    </w:tbl>
    <w:p>
      <w:pPr>
        <w:spacing w:before="240" w:after="0"/>
      </w:pPr>
      <w:r>
        <w:t xml:space="preserve"/>
      </w:r>
    </w:p>
    <w:p>
      <w:pPr>
        <w:spacing w:before="80" w:after="80"/>
      </w:pPr>
      <w:r>
        <w:rPr>
          <w:rFonts w:ascii="Arial" w:cs="Arial" w:eastAsia="Arial" w:hAnsi="Arial"/>
          <w:b w:val="false"/>
          <w:bCs w:val="false"/>
          <w:i/>
          <w:iCs/>
          <w:color w:val="222222"/>
          <w:sz w:val="22"/>
          <w:szCs w:val="22"/>
        </w:rPr>
        <w:t xml:space="preserve">This document captures two planning outputs from the Noctua Session 2 working session:</w:t>
      </w:r>
    </w:p>
    <w:p>
      <w:pPr>
        <w:pStyle w:val="ListParagraph"/>
        <w:numPr>
          <w:ilvl w:val="0"/>
          <w:numId w:val="2"/>
        </w:numPr>
        <w:spacing w:before="40" w:after="40"/>
      </w:pPr>
      <w:r>
        <w:rPr>
          <w:rFonts w:ascii="Arial" w:cs="Arial" w:eastAsia="Arial" w:hAnsi="Arial"/>
          <w:color w:val="222222"/>
          <w:sz w:val="22"/>
          <w:szCs w:val="22"/>
        </w:rPr>
        <w:t xml:space="preserve">Part 1 — Simple vs. Pro tier feature matrix: defines the product split, what each tier exposes, and the pricing logic rationale.</w:t>
      </w:r>
    </w:p>
    <w:p>
      <w:pPr>
        <w:pStyle w:val="ListParagraph"/>
        <w:numPr>
          <w:ilvl w:val="0"/>
          <w:numId w:val="2"/>
        </w:numPr>
        <w:spacing w:before="40" w:after="40"/>
      </w:pPr>
      <w:r>
        <w:rPr>
          <w:rFonts w:ascii="Arial" w:cs="Arial" w:eastAsia="Arial" w:hAnsi="Arial"/>
          <w:color w:val="222222"/>
          <w:sz w:val="22"/>
          <w:szCs w:val="22"/>
        </w:rPr>
        <w:t xml:space="preserve">Part 2 — Competitive analysis: positions Noctua against Bookbrush, CoverDesignAI, GetCovers (human design), and DIY Midjourney + Canva.</w:t>
      </w:r>
    </w:p>
    <w:p>
      <w:pPr>
        <w:pStyle w:val="ListParagraph"/>
        <w:numPr>
          <w:ilvl w:val="0"/>
          <w:numId w:val="2"/>
        </w:numPr>
        <w:spacing w:before="40" w:after="40"/>
      </w:pPr>
      <w:r>
        <w:rPr>
          <w:rFonts w:ascii="Arial" w:cs="Arial" w:eastAsia="Arial" w:hAnsi="Arial"/>
          <w:color w:val="222222"/>
          <w:sz w:val="22"/>
          <w:szCs w:val="22"/>
        </w:rPr>
        <w:t xml:space="preserve">Part 3 — Strategic implications: what the competitive landscape means for the implementation plan and go-to-market positioning.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7D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c>
          <w:tcPr>
            <w:tcW w:type="dxa" w:w="8160"/>
            <w:tcBorders>
              <w:top w:val="none" w:color="FFFFFF" w:sz="0"/>
              <w:left w:val="none" w:color="FFFFFF" w:sz="0"/>
              <w:bottom w:val="none" w:color="FFFFFF" w:sz="0"/>
              <w:right w:val="none" w:color="FFFFFF" w:sz="0"/>
            </w:tcBorders>
            <w:shd w:fill="F0F4F8" w:val="clear"/>
            <w:tcMar>
              <w:top w:type="dxa" w:w="100"/>
              <w:left w:type="dxa" w:w="200"/>
              <w:bottom w:type="dxa" w:w="100"/>
              <w:right w:type="dxa" w:w="120"/>
            </w:tcMar>
          </w:tcPr>
          <w:p>
            <w:r>
              <w:rPr>
                <w:rFonts w:ascii="Arial" w:cs="Arial" w:eastAsia="Arial" w:hAnsi="Arial"/>
                <w:color w:val="222222"/>
                <w:sz w:val="22"/>
                <w:szCs w:val="22"/>
              </w:rPr>
              <w:t xml:space="preserve">GetCovers.com turns out to be a human-designer service (not AI). Their terms explicitly state they do not use AI without author permission. This is reframed below as the 'hire a designer' alternative — which is actually the most relevant benchmark for pricing.</w:t>
            </w:r>
          </w:p>
        </w:tc>
      </w:tr>
    </w:tbl>
    <w:p>
      <w:r>
        <w:br w:type="page"/>
      </w:r>
    </w:p>
    <w:p>
      <w:pPr>
        <w:pStyle w:val="Heading1"/>
        <w:spacing w:before="400" w:after="160"/>
      </w:pPr>
      <w:r>
        <w:rPr>
          <w:rFonts w:ascii="Arial" w:cs="Arial" w:eastAsia="Arial" w:hAnsi="Arial"/>
          <w:b/>
          <w:bCs/>
          <w:color w:val="1B2A4A"/>
          <w:sz w:val="36"/>
          <w:szCs w:val="36"/>
        </w:rPr>
        <w:t xml:space="preserve">Part 1 — Simple vs. Pro Tier Matrix</w:t>
      </w:r>
    </w:p>
    <w:p>
      <w:pPr>
        <w:pBdr>
          <w:bottom w:val="single" w:color="0E7C7B" w:sz="6" w:space="1"/>
        </w:pBdr>
        <w:spacing w:before="240" w:after="240"/>
      </w:pPr>
      <w:r>
        <w:t xml:space="preserve"/>
      </w:r>
    </w:p>
    <w:p>
      <w:pPr>
        <w:pStyle w:val="Heading2"/>
        <w:spacing w:before="320" w:after="120"/>
      </w:pPr>
      <w:r>
        <w:rPr>
          <w:rFonts w:ascii="Arial" w:cs="Arial" w:eastAsia="Arial" w:hAnsi="Arial"/>
          <w:b/>
          <w:bCs/>
          <w:color w:val="0E7C7B"/>
          <w:sz w:val="28"/>
          <w:szCs w:val="28"/>
        </w:rPr>
        <w:t xml:space="preserve">Tier Design Rationale</w:t>
      </w:r>
    </w:p>
    <w:p>
      <w:pPr>
        <w:spacing w:before="80" w:after="80"/>
      </w:pPr>
      <w:r>
        <w:rPr>
          <w:rFonts w:ascii="Arial" w:cs="Arial" w:eastAsia="Arial" w:hAnsi="Arial"/>
          <w:b w:val="false"/>
          <w:bCs w:val="false"/>
          <w:i w:val="false"/>
          <w:iCs w:val="false"/>
          <w:color w:val="222222"/>
          <w:sz w:val="22"/>
          <w:szCs w:val="22"/>
        </w:rPr>
        <w:t xml:space="preserve">The split is driven by three confirmed concerns: (1) protecting the prompt pipeline from competitive reverse-engineering, (2) avoiding overwhelm for non-technical authors who are the primary Simple tier users, and (3) preserving the 'magic' feel for the majority of users who don't need to see how the sausage is made.</w:t>
      </w:r>
    </w:p>
    <w:p>
      <w:pPr>
        <w:spacing w:before="80" w:after="0"/>
      </w:pPr>
      <w:r>
        <w:t xml:space="preserve"/>
      </w:r>
    </w:p>
    <w:p>
      <w:pPr>
        <w:spacing w:before="80" w:after="80"/>
      </w:pPr>
      <w:r>
        <w:rPr>
          <w:rFonts w:ascii="Arial" w:cs="Arial" w:eastAsia="Arial" w:hAnsi="Arial"/>
          <w:b w:val="false"/>
          <w:bCs w:val="false"/>
          <w:i w:val="false"/>
          <w:iCs w:val="false"/>
          <w:color w:val="222222"/>
          <w:sz w:val="22"/>
          <w:szCs w:val="22"/>
        </w:rPr>
        <w:t xml:space="preserve">The critical architectural insight is that both tiers run the exact same backend pipeline — I2T → Prompt Engineering Service → FLUX Kontext. The tier difference is entirely a frontend gating decision. This means:</w:t>
      </w:r>
    </w:p>
    <w:p>
      <w:pPr>
        <w:pStyle w:val="ListParagraph"/>
        <w:numPr>
          <w:ilvl w:val="0"/>
          <w:numId w:val="2"/>
        </w:numPr>
        <w:spacing w:before="40" w:after="40"/>
      </w:pPr>
      <w:r>
        <w:rPr>
          <w:rFonts w:ascii="Arial" w:cs="Arial" w:eastAsia="Arial" w:hAnsi="Arial"/>
          <w:color w:val="222222"/>
          <w:sz w:val="22"/>
          <w:szCs w:val="22"/>
        </w:rPr>
        <w:t xml:space="preserve">No duplicate pipelines to maintain</w:t>
      </w:r>
    </w:p>
    <w:p>
      <w:pPr>
        <w:pStyle w:val="ListParagraph"/>
        <w:numPr>
          <w:ilvl w:val="0"/>
          <w:numId w:val="2"/>
        </w:numPr>
        <w:spacing w:before="40" w:after="40"/>
      </w:pPr>
      <w:r>
        <w:rPr>
          <w:rFonts w:ascii="Arial" w:cs="Arial" w:eastAsia="Arial" w:hAnsi="Arial"/>
          <w:color w:val="222222"/>
          <w:sz w:val="22"/>
          <w:szCs w:val="22"/>
        </w:rPr>
        <w:t xml:space="preserve">Pro users don't get 'better' generation — they get transparency and control over the same process</w:t>
      </w:r>
    </w:p>
    <w:p>
      <w:pPr>
        <w:pStyle w:val="ListParagraph"/>
        <w:numPr>
          <w:ilvl w:val="0"/>
          <w:numId w:val="2"/>
        </w:numPr>
        <w:spacing w:before="40" w:after="40"/>
      </w:pPr>
      <w:r>
        <w:rPr>
          <w:rFonts w:ascii="Arial" w:cs="Arial" w:eastAsia="Arial" w:hAnsi="Arial"/>
          <w:color w:val="222222"/>
          <w:sz w:val="22"/>
          <w:szCs w:val="22"/>
        </w:rPr>
        <w:t xml:space="preserve">Simple users benefit from all the AI intelligence without needing to understand it</w:t>
      </w:r>
    </w:p>
    <w:p>
      <w:pPr>
        <w:pStyle w:val="ListParagraph"/>
        <w:numPr>
          <w:ilvl w:val="0"/>
          <w:numId w:val="2"/>
        </w:numPr>
        <w:spacing w:before="40" w:after="40"/>
      </w:pPr>
      <w:r>
        <w:rPr>
          <w:rFonts w:ascii="Arial" w:cs="Arial" w:eastAsia="Arial" w:hAnsi="Arial"/>
          <w:color w:val="222222"/>
          <w:sz w:val="22"/>
          <w:szCs w:val="22"/>
        </w:rPr>
        <w:t xml:space="preserve">Upgrading to Pro is a UI unlock, not a backend change — low engineering cost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E7C7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INSIGHT</w:t>
            </w:r>
          </w:p>
        </w:tc>
        <w:tc>
          <w:tcPr>
            <w:tcW w:type="dxa" w:w="8160"/>
            <w:tcBorders>
              <w:top w:val="none" w:color="FFFFFF" w:sz="0"/>
              <w:left w:val="none" w:color="FFFFFF" w:sz="0"/>
              <w:bottom w:val="none" w:color="FFFFFF" w:sz="0"/>
              <w:right w:val="none" w:color="FFFFFF" w:sz="0"/>
            </w:tcBorders>
            <w:shd w:fill="F0F4F8" w:val="clear"/>
            <w:tcMar>
              <w:top w:type="dxa" w:w="100"/>
              <w:left w:type="dxa" w:w="200"/>
              <w:bottom w:type="dxa" w:w="100"/>
              <w:right w:type="dxa" w:w="120"/>
            </w:tcMar>
          </w:tcPr>
          <w:p>
            <w:r>
              <w:rPr>
                <w:rFonts w:ascii="Arial" w:cs="Arial" w:eastAsia="Arial" w:hAnsi="Arial"/>
                <w:color w:val="222222"/>
                <w:sz w:val="22"/>
                <w:szCs w:val="22"/>
              </w:rPr>
              <w:t xml:space="preserve">The prompt pipeline is Noctua's moat. Simple tier turns it into a black-box wizard. Pro tier opens the hood. Pricing justification: Pro users pay for control, not quality — the cover output quality is the same.</w:t>
            </w:r>
          </w:p>
        </w:tc>
      </w:tr>
    </w:tbl>
    <w:p>
      <w:pPr>
        <w:spacing w:before="200" w:after="0"/>
      </w:pPr>
      <w:r>
        <w:t xml:space="preserve"/>
      </w:r>
    </w:p>
    <w:p>
      <w:pPr>
        <w:pStyle w:val="Heading2"/>
        <w:spacing w:before="320" w:after="120"/>
      </w:pPr>
      <w:r>
        <w:rPr>
          <w:rFonts w:ascii="Arial" w:cs="Arial" w:eastAsia="Arial" w:hAnsi="Arial"/>
          <w:b/>
          <w:bCs/>
          <w:color w:val="0E7C7B"/>
          <w:sz w:val="28"/>
          <w:szCs w:val="28"/>
        </w:rPr>
        <w:t xml:space="preserve">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308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Simple Tier</w:t>
            </w:r>
          </w:p>
        </w:tc>
        <w:tc>
          <w:tcPr>
            <w:tcW w:type="dxa" w:w="308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 Tier</w:t>
            </w:r>
          </w:p>
        </w:tc>
      </w:tr>
      <w:tr>
        <w:tc>
          <w:tcPr>
            <w:tcW w:type="dxa" w:w="9360"/>
            <w:gridSpan w:val="3"/>
            <w:tcBorders>
              <w:top w:val="single" w:color="D8DDE4" w:sz="1"/>
              <w:left w:val="single" w:color="D8DDE4" w:sz="1"/>
              <w:bottom w:val="single" w:color="D8DDE4" w:sz="1"/>
              <w:right w:val="single" w:color="D8DDE4"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COVER CREATION PIPELINE</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Manuscript upload &amp; AI analysis</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32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Entity extraction (characters, locations, artefacts)</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Visual token generation per entity</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32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Reference image search (Serper + providers)</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I2T style analysis (GPT-4o Vision)</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 — runs invisibly</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 — results visible</w:t>
            </w:r>
          </w:p>
        </w:tc>
      </w:tr>
      <w:tr>
        <w:tc>
          <w:tcPr>
            <w:tcW w:type="dxa" w:w="32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Prompt Engineering Service (I2T + entity merge)</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 — runs invisibly</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 — editable</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FLUX Kontext generation via fal.ai</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32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Concepts generated per run</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3</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6</w:t>
            </w:r>
          </w:p>
        </w:tc>
      </w:tr>
      <w:tr>
        <w:tc>
          <w:tcPr>
            <w:tcW w:type="dxa" w:w="9360"/>
            <w:gridSpan w:val="3"/>
            <w:tcBorders>
              <w:top w:val="single" w:color="D8DDE4" w:sz="1"/>
              <w:left w:val="single" w:color="D8DDE4" w:sz="1"/>
              <w:bottom w:val="single" w:color="D8DDE4" w:sz="1"/>
              <w:right w:val="single" w:color="D8DDE4"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COVER BRIEF EDITOR</w:t>
            </w:r>
          </w:p>
        </w:tc>
      </w:tr>
      <w:tr>
        <w:tc>
          <w:tcPr>
            <w:tcW w:type="dxa" w:w="32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Cover type selector</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Primary element selector (character / location / artefact)</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32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Style reference thumbnail display</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I2T style template panel (Panel A)</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 Hidden</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 Advanced toggle</w:t>
            </w:r>
          </w:p>
        </w:tc>
      </w:tr>
      <w:tr>
        <w:tc>
          <w:tcPr>
            <w:tcW w:type="dxa" w:w="32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Merged prompt panel (Panel B)</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 Hidden</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 Editable</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Negative prompt editing</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9360"/>
            <w:gridSpan w:val="3"/>
            <w:tcBorders>
              <w:top w:val="single" w:color="D8DDE4" w:sz="1"/>
              <w:left w:val="single" w:color="D8DDE4" w:sz="1"/>
              <w:bottom w:val="single" w:color="D8DDE4" w:sz="1"/>
              <w:right w:val="single" w:color="D8DDE4"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MOODBOARD &amp; REFERENCE</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Reference image slots per entity</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5 max</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Unlimited</w:t>
            </w:r>
          </w:p>
        </w:tc>
      </w:tr>
      <w:tr>
        <w:tc>
          <w:tcPr>
            <w:tcW w:type="dxa" w:w="32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Upload own reference images</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Visual Bible approval</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32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Analyse Style button (I2T trigger)</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Style template summary card (post-analysis)</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 — simplified</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 — full detail</w:t>
            </w:r>
          </w:p>
        </w:tc>
      </w:tr>
      <w:tr>
        <w:tc>
          <w:tcPr>
            <w:tcW w:type="dxa" w:w="9360"/>
            <w:gridSpan w:val="3"/>
            <w:tcBorders>
              <w:top w:val="single" w:color="D8DDE4" w:sz="1"/>
              <w:left w:val="single" w:color="D8DDE4" w:sz="1"/>
              <w:bottom w:val="single" w:color="D8DDE4" w:sz="1"/>
              <w:right w:val="single" w:color="D8DDE4"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TYPOGRAPHY (TextStudio)</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Genre font presets</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3 per genre</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Full library (~20+)</w:t>
            </w:r>
          </w:p>
        </w:tc>
      </w:tr>
      <w:tr>
        <w:tc>
          <w:tcPr>
            <w:tcW w:type="dxa" w:w="32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Custom font upload (.ttf/.otf)</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Smart text placement suggestions</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32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Drag-to-reposition text</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KDP bleed-safe 2560×1600 PNG export</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9360"/>
            <w:gridSpan w:val="3"/>
            <w:tcBorders>
              <w:top w:val="single" w:color="D8DDE4" w:sz="1"/>
              <w:left w:val="single" w:color="D8DDE4" w:sz="1"/>
              <w:bottom w:val="single" w:color="D8DDE4" w:sz="1"/>
              <w:right w:val="single" w:color="D8DDE4"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OUTPUT &amp; DELIVERY</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Download resolution</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Full PNG</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Full PNG</w:t>
            </w:r>
          </w:p>
        </w:tc>
      </w:tr>
      <w:tr>
        <w:tc>
          <w:tcPr>
            <w:tcW w:type="dxa" w:w="32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Watermark on download</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 Until confirmed</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 No watermark</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3D mockup preview</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A6475"/>
                <w:sz w:val="22"/>
                <w:szCs w:val="22"/>
              </w:rPr>
              <w:t xml:space="preserve">🔮 Future</w:t>
            </w:r>
          </w:p>
        </w:tc>
      </w:tr>
      <w:tr>
        <w:tc>
          <w:tcPr>
            <w:tcW w:type="dxa" w:w="32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Generation queue priority</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Standard</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Priority</w:t>
            </w:r>
          </w:p>
        </w:tc>
      </w:tr>
      <w:tr>
        <w:tc>
          <w:tcPr>
            <w:tcW w:type="dxa" w:w="9360"/>
            <w:gridSpan w:val="3"/>
            <w:tcBorders>
              <w:top w:val="single" w:color="D8DDE4" w:sz="1"/>
              <w:left w:val="single" w:color="D8DDE4" w:sz="1"/>
              <w:bottom w:val="single" w:color="D8DDE4" w:sz="1"/>
              <w:right w:val="single" w:color="D8DDE4" w:sz="1"/>
            </w:tcBorders>
            <w:shd w:fill="0E7C7B" w:val="clear"/>
            <w:tcMar>
              <w:top w:type="dxa" w:w="80"/>
              <w:left w:type="dxa" w:w="120"/>
              <w:bottom w:type="dxa" w:w="80"/>
              <w:right w:type="dxa" w:w="120"/>
            </w:tcMar>
          </w:tcPr>
          <w:p>
            <w:r>
              <w:rPr>
                <w:rFonts w:ascii="Arial" w:cs="Arial" w:eastAsia="Arial" w:hAnsi="Arial"/>
                <w:b/>
                <w:bCs/>
                <w:color w:val="FFFFFF"/>
                <w:sz w:val="20"/>
                <w:szCs w:val="20"/>
              </w:rPr>
              <w:t xml:space="preserve">FUTURE / PRO+ FEATURES</w:t>
            </w:r>
          </w:p>
        </w:tc>
      </w:tr>
      <w:tr>
        <w:tc>
          <w:tcPr>
            <w:tcW w:type="dxa" w:w="32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LoRA character consistency (illustration pipeline)</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5A6475"/>
                <w:sz w:val="22"/>
                <w:szCs w:val="22"/>
              </w:rPr>
              <w:t xml:space="preserve">🔮 Future Pro+</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Direct image conditioning (own covers)</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A6475"/>
                <w:sz w:val="22"/>
                <w:szCs w:val="22"/>
              </w:rPr>
              <w:t xml:space="preserve">🔮 Future Pro+</w:t>
            </w:r>
          </w:p>
        </w:tc>
      </w:tr>
      <w:tr>
        <w:tc>
          <w:tcPr>
            <w:tcW w:type="dxa" w:w="32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Illustration generation (per-chapter)</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30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5A6475"/>
                <w:sz w:val="22"/>
                <w:szCs w:val="22"/>
              </w:rPr>
              <w:t xml:space="preserve">🔮 Future Pro+</w:t>
            </w:r>
          </w:p>
        </w:tc>
      </w:tr>
      <w:tr>
        <w:tc>
          <w:tcPr>
            <w:tcW w:type="dxa" w:w="32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API access</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30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A6475"/>
                <w:sz w:val="22"/>
                <w:szCs w:val="22"/>
              </w:rPr>
              <w:t xml:space="preserve">🔮 Future Pro+</w:t>
            </w:r>
          </w:p>
        </w:tc>
      </w:tr>
    </w:tbl>
    <w:p>
      <w:pPr>
        <w:spacing w:before="200" w:after="0"/>
      </w:pPr>
      <w:r>
        <w:t xml:space="preserve"/>
      </w:r>
    </w:p>
    <w:p>
      <w:pPr>
        <w:pStyle w:val="Heading2"/>
        <w:spacing w:before="320" w:after="120"/>
      </w:pPr>
      <w:r>
        <w:rPr>
          <w:rFonts w:ascii="Arial" w:cs="Arial" w:eastAsia="Arial" w:hAnsi="Arial"/>
          <w:b/>
          <w:bCs/>
          <w:color w:val="0E7C7B"/>
          <w:sz w:val="28"/>
          <w:szCs w:val="28"/>
        </w:rPr>
        <w:t xml:space="preserve">Pricing Model — Subscription Tiers</w:t>
      </w:r>
    </w:p>
    <w:p>
      <w:pPr>
        <w:spacing w:before="80" w:after="80"/>
      </w:pPr>
      <w:r>
        <w:rPr>
          <w:rFonts w:ascii="Arial" w:cs="Arial" w:eastAsia="Arial" w:hAnsi="Arial"/>
          <w:b w:val="false"/>
          <w:bCs w:val="false"/>
          <w:i w:val="false"/>
          <w:iCs w:val="false"/>
          <w:color w:val="222222"/>
          <w:sz w:val="22"/>
          <w:szCs w:val="22"/>
        </w:rPr>
        <w:t xml:space="preserve">Exact price points are TBD and should be validated against market data before launch. The framework below is the structural logic: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388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Simple</w:t>
            </w:r>
          </w:p>
        </w:tc>
        <w:tc>
          <w:tcPr>
            <w:tcW w:type="dxa" w:w="388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w:t>
            </w:r>
          </w:p>
        </w:tc>
      </w:tr>
      <w:tr>
        <w:tc>
          <w:tcPr>
            <w:tcW w:type="dxa" w:w="16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Target user</w:t>
            </w:r>
          </w:p>
        </w:tc>
        <w:tc>
          <w:tcPr>
            <w:tcW w:type="dxa" w:w="38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First-time self-publisher, author who wants a cover without learning AI</w:t>
            </w:r>
          </w:p>
        </w:tc>
        <w:tc>
          <w:tcPr>
            <w:tcW w:type="dxa" w:w="38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Experienced indie author, high-volume publisher, author who wants control</w:t>
            </w:r>
          </w:p>
        </w:tc>
      </w:tr>
      <w:tr>
        <w:tc>
          <w:tcPr>
            <w:tcW w:type="dxa" w:w="16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Pricing anchor</w:t>
            </w:r>
          </w:p>
        </w:tc>
        <w:tc>
          <w:tcPr>
            <w:tcW w:type="dxa" w:w="38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Below cost of a cheap stock-photo cover (~$30–50 DIY)</w:t>
            </w:r>
          </w:p>
        </w:tc>
        <w:tc>
          <w:tcPr>
            <w:tcW w:type="dxa" w:w="38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Below cost of a professional designer ($300–800+)</w:t>
            </w:r>
          </w:p>
        </w:tc>
      </w:tr>
      <w:tr>
        <w:tc>
          <w:tcPr>
            <w:tcW w:type="dxa" w:w="16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Suggested range</w:t>
            </w:r>
          </w:p>
        </w:tc>
        <w:tc>
          <w:tcPr>
            <w:tcW w:type="dxa" w:w="38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$12–18/month</w:t>
            </w:r>
          </w:p>
        </w:tc>
        <w:tc>
          <w:tcPr>
            <w:tcW w:type="dxa" w:w="38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$29–39/month</w:t>
            </w:r>
          </w:p>
        </w:tc>
      </w:tr>
      <w:tr>
        <w:tc>
          <w:tcPr>
            <w:tcW w:type="dxa" w:w="16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Covers per month</w:t>
            </w:r>
          </w:p>
        </w:tc>
        <w:tc>
          <w:tcPr>
            <w:tcW w:type="dxa" w:w="38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~3–5 (limited by credits)</w:t>
            </w:r>
          </w:p>
        </w:tc>
        <w:tc>
          <w:tcPr>
            <w:tcW w:type="dxa" w:w="38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Unlimited (fair use policy)</w:t>
            </w:r>
          </w:p>
        </w:tc>
      </w:tr>
      <w:tr>
        <w:tc>
          <w:tcPr>
            <w:tcW w:type="dxa" w:w="16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Annual discount</w:t>
            </w:r>
          </w:p>
        </w:tc>
        <w:tc>
          <w:tcPr>
            <w:tcW w:type="dxa" w:w="38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Yes — 2 months free equivalent</w:t>
            </w:r>
          </w:p>
        </w:tc>
        <w:tc>
          <w:tcPr>
            <w:tcW w:type="dxa" w:w="38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Yes — 2 months free equivalent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ARCHITECTURE NOTE</w:t>
            </w:r>
          </w:p>
        </w:tc>
        <w:tc>
          <w:tcPr>
            <w:tcW w:type="dxa" w:w="8160"/>
            <w:tcBorders>
              <w:top w:val="none" w:color="FFFFFF" w:sz="0"/>
              <w:left w:val="none" w:color="FFFFFF" w:sz="0"/>
              <w:bottom w:val="none" w:color="FFFFFF" w:sz="0"/>
              <w:right w:val="none" w:color="FFFFFF" w:sz="0"/>
            </w:tcBorders>
            <w:shd w:fill="F0F4F8" w:val="clear"/>
            <w:tcMar>
              <w:top w:type="dxa" w:w="100"/>
              <w:left w:type="dxa" w:w="200"/>
              <w:bottom w:type="dxa" w:w="100"/>
              <w:right w:type="dxa" w:w="120"/>
            </w:tcMar>
          </w:tcPr>
          <w:p>
            <w:r>
              <w:rPr>
                <w:rFonts w:ascii="Arial" w:cs="Arial" w:eastAsia="Arial" w:hAnsi="Arial"/>
                <w:color w:val="222222"/>
                <w:sz w:val="22"/>
                <w:szCs w:val="22"/>
              </w:rPr>
              <w:t xml:space="preserve">Requires user.plan field ('simple' | 'pro') on User model (Phase 16). Frontend feature gate component wraps Cover Brief Editor panels and TextStudio font library. No backend changes needed to support the split.</w:t>
            </w:r>
          </w:p>
        </w:tc>
      </w:tr>
    </w:tbl>
    <w:p>
      <w:r>
        <w:br w:type="page"/>
      </w:r>
    </w:p>
    <w:p>
      <w:pPr>
        <w:pStyle w:val="Heading1"/>
        <w:spacing w:before="400" w:after="160"/>
      </w:pPr>
      <w:r>
        <w:rPr>
          <w:rFonts w:ascii="Arial" w:cs="Arial" w:eastAsia="Arial" w:hAnsi="Arial"/>
          <w:b/>
          <w:bCs/>
          <w:color w:val="1B2A4A"/>
          <w:sz w:val="36"/>
          <w:szCs w:val="36"/>
        </w:rPr>
        <w:t xml:space="preserve">Part 2 — Competitive Analysis</w:t>
      </w:r>
    </w:p>
    <w:p>
      <w:pPr>
        <w:pBdr>
          <w:bottom w:val="single" w:color="0E7C7B" w:sz="6" w:space="1"/>
        </w:pBdr>
        <w:spacing w:before="240" w:after="240"/>
      </w:pPr>
      <w:r>
        <w:t xml:space="preserve"/>
      </w:r>
    </w:p>
    <w:p>
      <w:pPr>
        <w:pStyle w:val="Heading2"/>
        <w:spacing w:before="320" w:after="120"/>
      </w:pPr>
      <w:r>
        <w:rPr>
          <w:rFonts w:ascii="Arial" w:cs="Arial" w:eastAsia="Arial" w:hAnsi="Arial"/>
          <w:b/>
          <w:bCs/>
          <w:color w:val="0E7C7B"/>
          <w:sz w:val="28"/>
          <w:szCs w:val="28"/>
        </w:rPr>
        <w:t xml:space="preserve">Competitor Profiles</w:t>
      </w:r>
    </w:p>
    <w:p>
      <w:pPr>
        <w:spacing w:before="80" w:after="0"/>
      </w:pPr>
      <w:r>
        <w:t xml:space="preserve"/>
      </w:r>
    </w:p>
    <w:p>
      <w:pPr>
        <w:pStyle w:val="Heading3"/>
        <w:spacing w:before="240" w:after="80"/>
      </w:pPr>
      <w:r>
        <w:rPr>
          <w:rFonts w:ascii="Arial" w:cs="Arial" w:eastAsia="Arial" w:hAnsi="Arial"/>
          <w:b/>
          <w:bCs/>
          <w:color w:val="1B2A4A"/>
          <w:sz w:val="24"/>
          <w:szCs w:val="24"/>
        </w:rPr>
        <w:t xml:space="preserve">Bookbrush  ·  bookbrush.com</w:t>
      </w:r>
    </w:p>
    <w:p>
      <w:pPr>
        <w:spacing w:before="80" w:after="80"/>
      </w:pPr>
      <w:r>
        <w:rPr>
          <w:rFonts w:ascii="Arial" w:cs="Arial" w:eastAsia="Arial" w:hAnsi="Arial"/>
          <w:b w:val="false"/>
          <w:bCs w:val="false"/>
          <w:i w:val="false"/>
          <w:iCs w:val="false"/>
          <w:color w:val="222222"/>
          <w:sz w:val="22"/>
          <w:szCs w:val="22"/>
        </w:rPr>
        <w:t xml:space="preserve">Template-first author tool with AI-assisted suggestions. Core value prop is a large library of pre-made genre-specific templates with drag-and-drop customisation. AI is used to suggest fonts and colour pairings for templates — it is not a generative AI image tool. Also produces 3D mockups and social media marketing images. Strong community and established brand within the indie author space.</w:t>
      </w:r>
    </w:p>
    <w:p>
      <w:pPr>
        <w:spacing w:before="6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Strengths: Large existing user base and community. Comprehensive template library. Good KDP sizing. Marketing image features (box sets, ads) go beyond the cover itself.</w:t>
      </w:r>
    </w:p>
    <w:p>
      <w:pPr>
        <w:pStyle w:val="ListParagraph"/>
        <w:numPr>
          <w:ilvl w:val="0"/>
          <w:numId w:val="2"/>
        </w:numPr>
        <w:spacing w:before="40" w:after="40"/>
      </w:pPr>
      <w:r>
        <w:rPr>
          <w:rFonts w:ascii="Arial" w:cs="Arial" w:eastAsia="Arial" w:hAnsi="Arial"/>
          <w:color w:val="222222"/>
          <w:sz w:val="22"/>
          <w:szCs w:val="22"/>
        </w:rPr>
        <w:t xml:space="preserve">Weaknesses: No AI image generation from scratch. No manuscript awareness. Templates require stock images which may appear on other covers. No entity extraction. Author must manually describe or source all visual content.</w:t>
      </w:r>
    </w:p>
    <w:p>
      <w:pPr>
        <w:pStyle w:val="ListParagraph"/>
        <w:numPr>
          <w:ilvl w:val="0"/>
          <w:numId w:val="2"/>
        </w:numPr>
        <w:spacing w:before="40" w:after="40"/>
      </w:pPr>
      <w:r>
        <w:rPr>
          <w:rFonts w:ascii="Arial" w:cs="Arial" w:eastAsia="Arial" w:hAnsi="Arial"/>
          <w:color w:val="222222"/>
          <w:sz w:val="22"/>
          <w:szCs w:val="22"/>
        </w:rPr>
        <w:t xml:space="preserve">Pricing: Free tier (very limited); Plus $8.99/mo; Gold $12.99/mo (all features).</w:t>
      </w:r>
    </w:p>
    <w:p>
      <w:pPr>
        <w:spacing w:before="120" w:after="0"/>
      </w:pPr>
      <w:r>
        <w:t xml:space="preserve"/>
      </w:r>
    </w:p>
    <w:p>
      <w:pPr>
        <w:pStyle w:val="Heading3"/>
        <w:spacing w:before="240" w:after="80"/>
      </w:pPr>
      <w:r>
        <w:rPr>
          <w:rFonts w:ascii="Arial" w:cs="Arial" w:eastAsia="Arial" w:hAnsi="Arial"/>
          <w:b/>
          <w:bCs/>
          <w:color w:val="1B2A4A"/>
          <w:sz w:val="24"/>
          <w:szCs w:val="24"/>
        </w:rPr>
        <w:t xml:space="preserve">CoverDesignAI  ·  coverdesignai.com  ✱ CLOSEST AI COMPETITOR</w:t>
      </w:r>
    </w:p>
    <w:p>
      <w:pPr>
        <w:spacing w:before="80" w:after="80"/>
      </w:pPr>
      <w:r>
        <w:rPr>
          <w:rFonts w:ascii="Arial" w:cs="Arial" w:eastAsia="Arial" w:hAnsi="Arial"/>
          <w:b w:val="false"/>
          <w:bCs w:val="false"/>
          <w:i w:val="false"/>
          <w:iCs w:val="false"/>
          <w:color w:val="222222"/>
          <w:sz w:val="22"/>
          <w:szCs w:val="22"/>
        </w:rPr>
        <w:t xml:space="preserve">The most direct AI competitor in the market today. Author fills in a creative brief (title, genre, mood, key symbols) and the tool generates cover concepts. Supports reference image upload for style matching and typography emulation. Has a masking tool for targeted regeneration. Credit-based pricing.</w:t>
      </w:r>
    </w:p>
    <w:p>
      <w:pPr>
        <w:spacing w:before="6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Strengths: Fast, low-barrier. Reference image upload for style matching is a genuine differentiator vs. template tools. Multiple output types (2D, 3D mockup). Positioned as 'bypass prompt engineering' for authors.</w:t>
      </w:r>
    </w:p>
    <w:p>
      <w:pPr>
        <w:pStyle w:val="ListParagraph"/>
        <w:numPr>
          <w:ilvl w:val="0"/>
          <w:numId w:val="2"/>
        </w:numPr>
        <w:spacing w:before="40" w:after="40"/>
      </w:pPr>
      <w:r>
        <w:rPr>
          <w:rFonts w:ascii="Arial" w:cs="Arial" w:eastAsia="Arial" w:hAnsi="Arial"/>
          <w:color w:val="222222"/>
          <w:sz w:val="22"/>
          <w:szCs w:val="22"/>
        </w:rPr>
        <w:t xml:space="preserve">Weaknesses: No manuscript upload. Author must manually describe characters and scenes. Style matching from reference image is basic (not I2T structured extraction — it uses the image as direct conditioning). No entity database. No typography in-app. No KDP direct export workflow documented.</w:t>
      </w:r>
    </w:p>
    <w:p>
      <w:pPr>
        <w:pStyle w:val="ListParagraph"/>
        <w:numPr>
          <w:ilvl w:val="1"/>
          <w:numId w:val="2"/>
        </w:numPr>
        <w:spacing w:before="40" w:after="40"/>
      </w:pPr>
      <w:r>
        <w:rPr>
          <w:rFonts w:ascii="Arial" w:cs="Arial" w:eastAsia="Arial" w:hAnsi="Arial"/>
          <w:color w:val="222222"/>
          <w:sz w:val="22"/>
          <w:szCs w:val="22"/>
        </w:rPr>
        <w:t xml:space="preserve">This is the most important benchmark. Noctua's I2T → Prompt Engineering pipeline is a direct and structural upgrade over what CoverDesignAI does.</w:t>
      </w:r>
    </w:p>
    <w:p>
      <w:pPr>
        <w:pStyle w:val="ListParagraph"/>
        <w:numPr>
          <w:ilvl w:val="0"/>
          <w:numId w:val="2"/>
        </w:numPr>
        <w:spacing w:before="40" w:after="40"/>
      </w:pPr>
      <w:r>
        <w:rPr>
          <w:rFonts w:ascii="Arial" w:cs="Arial" w:eastAsia="Arial" w:hAnsi="Arial"/>
          <w:color w:val="222222"/>
          <w:sz w:val="22"/>
          <w:szCs w:val="22"/>
        </w:rPr>
        <w:t xml:space="preserve">Pricing: Credit-based, packages from ~$10–30. Credits never expire.</w:t>
      </w:r>
    </w:p>
    <w:p>
      <w:pPr>
        <w:spacing w:before="120" w:after="0"/>
      </w:pPr>
      <w:r>
        <w:t xml:space="preserve"/>
      </w:r>
    </w:p>
    <w:p>
      <w:pPr>
        <w:pStyle w:val="Heading3"/>
        <w:spacing w:before="240" w:after="80"/>
      </w:pPr>
      <w:r>
        <w:rPr>
          <w:rFonts w:ascii="Arial" w:cs="Arial" w:eastAsia="Arial" w:hAnsi="Arial"/>
          <w:b/>
          <w:bCs/>
          <w:color w:val="1B2A4A"/>
          <w:sz w:val="24"/>
          <w:szCs w:val="24"/>
        </w:rPr>
        <w:t xml:space="preserve">GetCovers  ·  getcovers.com  (Human designer service — NOT AI)</w:t>
      </w:r>
    </w:p>
    <w:p>
      <w:pPr>
        <w:spacing w:before="80" w:after="80"/>
      </w:pPr>
      <w:r>
        <w:rPr>
          <w:rFonts w:ascii="Arial" w:cs="Arial" w:eastAsia="Arial" w:hAnsi="Arial"/>
          <w:b w:val="false"/>
          <w:bCs w:val="false"/>
          <w:i w:val="false"/>
          <w:iCs w:val="false"/>
          <w:color w:val="222222"/>
          <w:sz w:val="22"/>
          <w:szCs w:val="22"/>
        </w:rPr>
        <w:t xml:space="preserve">Important correction from session assumptions: GetCovers is a human design service that explicitly states it does NOT use AI without author permission. Authors submit a design brief, licensed stock images are selected by designers, and the cover is produced by a human. 100% satisfaction guarantee with revisions.</w:t>
      </w:r>
    </w:p>
    <w:p>
      <w:pPr>
        <w:spacing w:before="6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Strengths: Fully custom, human-crafted design. Properly licensed stock imagery. Revision process. No risk of AI-associated legal grey areas.</w:t>
      </w:r>
    </w:p>
    <w:p>
      <w:pPr>
        <w:pStyle w:val="ListParagraph"/>
        <w:numPr>
          <w:ilvl w:val="0"/>
          <w:numId w:val="2"/>
        </w:numPr>
        <w:spacing w:before="40" w:after="40"/>
      </w:pPr>
      <w:r>
        <w:rPr>
          <w:rFonts w:ascii="Arial" w:cs="Arial" w:eastAsia="Arial" w:hAnsi="Arial"/>
          <w:color w:val="222222"/>
          <w:sz w:val="22"/>
          <w:szCs w:val="22"/>
        </w:rPr>
        <w:t xml:space="preserve">Weaknesses: 3–7 day turnaround. High cost ($150–600+ per cover). Author still must describe their vision in the brief. No iteration speed. Not scalable for series authors.</w:t>
      </w:r>
    </w:p>
    <w:p>
      <w:pPr>
        <w:pStyle w:val="ListParagraph"/>
        <w:numPr>
          <w:ilvl w:val="0"/>
          <w:numId w:val="2"/>
        </w:numPr>
        <w:spacing w:before="40" w:after="40"/>
      </w:pPr>
      <w:r>
        <w:rPr>
          <w:rFonts w:ascii="Arial" w:cs="Arial" w:eastAsia="Arial" w:hAnsi="Arial"/>
          <w:color w:val="222222"/>
          <w:sz w:val="22"/>
          <w:szCs w:val="22"/>
        </w:rPr>
        <w:t xml:space="preserve">Relevance to Noctua: This is the premium benchmark that justifies Noctua Pro pricing. Authors currently paying $300–600 for a designer are natural Pro tier converts if Noctua's output quality is competitive.</w:t>
      </w:r>
    </w:p>
    <w:p>
      <w:pPr>
        <w:spacing w:before="120" w:after="0"/>
      </w:pPr>
      <w:r>
        <w:t xml:space="preserve"/>
      </w:r>
    </w:p>
    <w:p>
      <w:pPr>
        <w:pStyle w:val="Heading3"/>
        <w:spacing w:before="240" w:after="80"/>
      </w:pPr>
      <w:r>
        <w:rPr>
          <w:rFonts w:ascii="Arial" w:cs="Arial" w:eastAsia="Arial" w:hAnsi="Arial"/>
          <w:b/>
          <w:bCs/>
          <w:color w:val="1B2A4A"/>
          <w:sz w:val="24"/>
          <w:szCs w:val="24"/>
        </w:rPr>
        <w:t xml:space="preserve">DIY: Midjourney + Canva</w:t>
      </w:r>
    </w:p>
    <w:p>
      <w:pPr>
        <w:spacing w:before="80" w:after="80"/>
      </w:pPr>
      <w:r>
        <w:rPr>
          <w:rFonts w:ascii="Arial" w:cs="Arial" w:eastAsia="Arial" w:hAnsi="Arial"/>
          <w:b w:val="false"/>
          <w:bCs w:val="false"/>
          <w:i w:val="false"/>
          <w:iCs w:val="false"/>
          <w:color w:val="222222"/>
          <w:sz w:val="22"/>
          <w:szCs w:val="22"/>
        </w:rPr>
        <w:t xml:space="preserve">The 'power user' path. Author generates images in Midjourney using hand-crafted prompts, then composes title and typography in Canva. Full creative control but requires significant AI fluency. Cost is very low for experienced users (~$10/mo Midjourney Basic). The quality ceiling is higher than any dedicated book cover tool, but the floor is also much lower (bad prompts = bad output with no guardrails).</w:t>
      </w:r>
    </w:p>
    <w:p>
      <w:pPr>
        <w:spacing w:before="6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Strengths: Unlimited generations. No per-image cost at Basic tier. Full prompt control. Access to Midjourney's current state-of-the-art quality. Midjourney --sref for style reference.</w:t>
      </w:r>
    </w:p>
    <w:p>
      <w:pPr>
        <w:pStyle w:val="ListParagraph"/>
        <w:numPr>
          <w:ilvl w:val="0"/>
          <w:numId w:val="2"/>
        </w:numPr>
        <w:spacing w:before="40" w:after="40"/>
      </w:pPr>
      <w:r>
        <w:rPr>
          <w:rFonts w:ascii="Arial" w:cs="Arial" w:eastAsia="Arial" w:hAnsi="Arial"/>
          <w:color w:val="222222"/>
          <w:sz w:val="22"/>
          <w:szCs w:val="22"/>
        </w:rPr>
        <w:t xml:space="preserve">Weaknesses: Steep learning curve. Author must know prompt engineering. No manuscript awareness. No entity database. Midjourney doesn't 'know' who your character is. No KDP sizing guardrails. Typography step is separate and manual. Time-intensive for non-experts.</w:t>
      </w:r>
    </w:p>
    <w:p>
      <w:pPr>
        <w:pStyle w:val="ListParagraph"/>
        <w:numPr>
          <w:ilvl w:val="0"/>
          <w:numId w:val="2"/>
        </w:numPr>
        <w:spacing w:before="40" w:after="40"/>
      </w:pPr>
      <w:r>
        <w:rPr>
          <w:rFonts w:ascii="Arial" w:cs="Arial" w:eastAsia="Arial" w:hAnsi="Arial"/>
          <w:color w:val="222222"/>
          <w:sz w:val="22"/>
          <w:szCs w:val="22"/>
        </w:rPr>
        <w:t xml:space="preserve">Relevance to Noctua: Experienced MJ users are the Pro tier audience. They already know what they want — Noctua saves them the entity description work and adds manuscript-grounded specificity they can't get in MJ.</w:t>
      </w:r>
    </w:p>
    <w:p>
      <w:pPr>
        <w:spacing w:before="200" w:after="0"/>
      </w:pPr>
      <w:r>
        <w:t xml:space="preserve"/>
      </w:r>
    </w:p>
    <w:p>
      <w:pPr>
        <w:pStyle w:val="Heading2"/>
        <w:spacing w:before="320" w:after="120"/>
      </w:pPr>
      <w:r>
        <w:rPr>
          <w:rFonts w:ascii="Arial" w:cs="Arial" w:eastAsia="Arial" w:hAnsi="Arial"/>
          <w:b/>
          <w:bCs/>
          <w:color w:val="0E7C7B"/>
          <w:sz w:val="28"/>
          <w:szCs w:val="28"/>
        </w:rPr>
        <w:t xml:space="preserve">Comparison Matrix</w:t>
      </w:r>
    </w:p>
    <w:p>
      <w:pPr>
        <w:spacing w:before="80" w:after="80"/>
      </w:pPr>
      <w:r>
        <w:rPr>
          <w:rFonts w:ascii="Arial" w:cs="Arial" w:eastAsia="Arial" w:hAnsi="Arial"/>
          <w:b w:val="false"/>
          <w:bCs w:val="false"/>
          <w:i w:val="false"/>
          <w:iCs w:val="false"/>
          <w:color w:val="222222"/>
          <w:sz w:val="22"/>
          <w:szCs w:val="22"/>
        </w:rPr>
        <w:t xml:space="preserve">* Noctua first-cover time estimate assumes manuscript analysis phase completes first (~15 min), then entity review and moodboard. Subsequent covers on the same book are significantly faster (~15–20 min) since entities are already extracted.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80"/>
        <w:gridCol w:w="1380"/>
        <w:gridCol w:w="1380"/>
        <w:gridCol w:w="1380"/>
        <w:gridCol w:w="1740"/>
      </w:tblGrid>
      <w:tr>
        <w:trPr>
          <w:tblHeader/>
        </w:trPr>
        <w:tc>
          <w:tcPr>
            <w:tcW w:type="dxa" w:w="210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138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Noctua</w:t>
            </w:r>
          </w:p>
        </w:tc>
        <w:tc>
          <w:tcPr>
            <w:tcW w:type="dxa" w:w="138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Bookbrush</w:t>
            </w:r>
          </w:p>
        </w:tc>
        <w:tc>
          <w:tcPr>
            <w:tcW w:type="dxa" w:w="138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CoverDesignAI</w:t>
            </w:r>
          </w:p>
        </w:tc>
        <w:tc>
          <w:tcPr>
            <w:tcW w:type="dxa" w:w="138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GetCovers
(human)</w:t>
            </w:r>
          </w:p>
        </w:tc>
        <w:tc>
          <w:tcPr>
            <w:tcW w:type="dxa" w:w="174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DIY
MJ+Canva</w:t>
            </w:r>
          </w:p>
        </w:tc>
      </w:tr>
      <w:tr>
        <w:tc>
          <w:tcPr>
            <w:gridSpan w:val="6"/>
            <w:tcBorders>
              <w:top w:val="single" w:color="D8DDE4" w:sz="1"/>
              <w:left w:val="single" w:color="D8DDE4" w:sz="1"/>
              <w:bottom w:val="single" w:color="D8DDE4" w:sz="1"/>
              <w:right w:val="single" w:color="D8DDE4"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PIPELINE INTELLIGENCE</w:t>
            </w:r>
          </w:p>
        </w:tc>
      </w:tr>
      <w:tr>
        <w:tc>
          <w:tcPr>
            <w:tcW w:type="dxa" w:w="21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Manuscript upload &amp; analysis</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74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r>
      <w:tr>
        <w:tc>
          <w:tcPr>
            <w:tcW w:type="dxa" w:w="21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Automatic character/entity extraction</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74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r>
      <w:tr>
        <w:tc>
          <w:tcPr>
            <w:tcW w:type="dxa" w:w="21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Entity visual token database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74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r>
      <w:tr>
        <w:tc>
          <w:tcPr>
            <w:tcW w:type="dxa" w:w="21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Book-specific cover brief from content</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C97D2A"/>
                <w:sz w:val="22"/>
                <w:szCs w:val="22"/>
              </w:rPr>
              <w:t xml:space="preserve">⚡ Partial</w:t>
            </w:r>
          </w:p>
        </w:tc>
        <w:tc>
          <w:tcPr>
            <w:tcW w:type="dxa" w:w="174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r>
      <w:tr>
        <w:tc>
          <w:tcPr>
            <w:gridSpan w:val="6"/>
            <w:tcBorders>
              <w:top w:val="single" w:color="D8DDE4" w:sz="1"/>
              <w:left w:val="single" w:color="D8DDE4" w:sz="1"/>
              <w:bottom w:val="single" w:color="D8DDE4" w:sz="1"/>
              <w:right w:val="single" w:color="D8DDE4"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STYLE REFERENCE HANDLING</w:t>
            </w:r>
          </w:p>
        </w:tc>
      </w:tr>
      <w:tr>
        <w:tc>
          <w:tcPr>
            <w:tcW w:type="dxa" w:w="21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Upload reference cover for style matching</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 I2T pipeline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 Basic</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 Human review</w:t>
            </w:r>
          </w:p>
        </w:tc>
        <w:tc>
          <w:tcPr>
            <w:tcW w:type="dxa" w:w="174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C97D2A"/>
                <w:sz w:val="22"/>
                <w:szCs w:val="22"/>
              </w:rPr>
              <w:t xml:space="preserve">⚡ Manual prompt</w:t>
            </w:r>
          </w:p>
        </w:tc>
      </w:tr>
      <w:tr>
        <w:tc>
          <w:tcPr>
            <w:tcW w:type="dxa" w:w="21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Reverse-engineer style via AI vision (I2T)</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74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r>
      <w:tr>
        <w:tc>
          <w:tcPr>
            <w:tcW w:type="dxa" w:w="21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Style template extracted as reusable asset</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74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r>
      <w:tr>
        <w:tc>
          <w:tcPr>
            <w:tcW w:type="dxa" w:w="21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Keep style, replace MY character</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97D2A"/>
                <w:sz w:val="22"/>
                <w:szCs w:val="22"/>
              </w:rPr>
              <w:t xml:space="preserve">⚡ Via brief</w:t>
            </w:r>
          </w:p>
        </w:tc>
        <w:tc>
          <w:tcPr>
            <w:tcW w:type="dxa" w:w="174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97D2A"/>
                <w:sz w:val="22"/>
                <w:szCs w:val="22"/>
              </w:rPr>
              <w:t xml:space="preserve">⚡ Manual prompt</w:t>
            </w:r>
          </w:p>
        </w:tc>
      </w:tr>
      <w:tr>
        <w:tc>
          <w:tcPr>
            <w:gridSpan w:val="6"/>
            <w:tcBorders>
              <w:top w:val="single" w:color="D8DDE4" w:sz="1"/>
              <w:left w:val="single" w:color="D8DDE4" w:sz="1"/>
              <w:bottom w:val="single" w:color="D8DDE4" w:sz="1"/>
              <w:right w:val="single" w:color="D8DDE4"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GENERATION QUALITY &amp; CONTROL</w:t>
            </w:r>
          </w:p>
        </w:tc>
      </w:tr>
      <w:tr>
        <w:tc>
          <w:tcPr>
            <w:tcW w:type="dxa" w:w="21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T2I model used</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FLUX Kontext</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N/A (templates)</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Proprietary AI</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N/A (human)</w:t>
            </w:r>
          </w:p>
        </w:tc>
        <w:tc>
          <w:tcPr>
            <w:tcW w:type="dxa" w:w="174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Midjourney / DALL-E</w:t>
            </w:r>
          </w:p>
        </w:tc>
      </w:tr>
      <w:tr>
        <w:tc>
          <w:tcPr>
            <w:tcW w:type="dxa" w:w="21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Image conditioning (ref images → T2I)</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 FLUX Kontext</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C97D2A"/>
                <w:sz w:val="22"/>
                <w:szCs w:val="22"/>
              </w:rPr>
              <w:t xml:space="preserve">⚡ Partial</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N/A</w:t>
            </w:r>
          </w:p>
        </w:tc>
        <w:tc>
          <w:tcPr>
            <w:tcW w:type="dxa" w:w="174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C97D2A"/>
                <w:sz w:val="22"/>
                <w:szCs w:val="22"/>
              </w:rPr>
              <w:t xml:space="preserve">⚡ Midjourney --sref</w:t>
            </w:r>
          </w:p>
        </w:tc>
      </w:tr>
      <w:tr>
        <w:tc>
          <w:tcPr>
            <w:tcW w:type="dxa" w:w="21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Prompt visible / editable (Pro)</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N/A</w:t>
            </w:r>
          </w:p>
        </w:tc>
        <w:tc>
          <w:tcPr>
            <w:tcW w:type="dxa" w:w="174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r>
      <w:tr>
        <w:tc>
          <w:tcPr>
            <w:tcW w:type="dxa" w:w="21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Concept variants per generation</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3–6</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Unlimited (templates)</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Varies by credits</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2–3 revisions</w:t>
            </w:r>
          </w:p>
        </w:tc>
        <w:tc>
          <w:tcPr>
            <w:tcW w:type="dxa" w:w="174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Unlimited</w:t>
            </w:r>
          </w:p>
        </w:tc>
      </w:tr>
      <w:tr>
        <w:tc>
          <w:tcPr>
            <w:gridSpan w:val="6"/>
            <w:tcBorders>
              <w:top w:val="single" w:color="D8DDE4" w:sz="1"/>
              <w:left w:val="single" w:color="D8DDE4" w:sz="1"/>
              <w:bottom w:val="single" w:color="D8DDE4" w:sz="1"/>
              <w:right w:val="single" w:color="D8DDE4"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TYPOGRAPHY &amp; OUTPUT</w:t>
            </w:r>
          </w:p>
        </w:tc>
      </w:tr>
      <w:tr>
        <w:tc>
          <w:tcPr>
            <w:tcW w:type="dxa" w:w="21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In-app typography compositing</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 TextStudio</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 Designer</w:t>
            </w:r>
          </w:p>
        </w:tc>
        <w:tc>
          <w:tcPr>
            <w:tcW w:type="dxa" w:w="174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C97D2A"/>
                <w:sz w:val="22"/>
                <w:szCs w:val="22"/>
              </w:rPr>
              <w:t xml:space="preserve">⚡ Canva separate</w:t>
            </w:r>
          </w:p>
        </w:tc>
      </w:tr>
      <w:tr>
        <w:tc>
          <w:tcPr>
            <w:tcW w:type="dxa" w:w="21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KDP-correct output dimensions</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74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97D2A"/>
                <w:sz w:val="22"/>
                <w:szCs w:val="22"/>
              </w:rPr>
              <w:t xml:space="preserve">⚡ Manual setup</w:t>
            </w:r>
          </w:p>
        </w:tc>
      </w:tr>
      <w:tr>
        <w:tc>
          <w:tcPr>
            <w:tcW w:type="dxa" w:w="21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3D mockup</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5A6475"/>
                <w:sz w:val="22"/>
                <w:szCs w:val="22"/>
              </w:rPr>
              <w:t xml:space="preserve">🔮 Future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74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A0291A"/>
                <w:sz w:val="22"/>
                <w:szCs w:val="22"/>
              </w:rPr>
              <w:t xml:space="preserve">❌</w:t>
            </w:r>
          </w:p>
        </w:tc>
      </w:tr>
      <w:tr>
        <w:tc>
          <w:tcPr>
            <w:tcW w:type="dxa" w:w="21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Print-ready (full bleed)</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A4A"/>
                <w:sz w:val="22"/>
                <w:szCs w:val="22"/>
              </w:rPr>
              <w:t xml:space="preserve">✅</w:t>
            </w:r>
          </w:p>
        </w:tc>
        <w:tc>
          <w:tcPr>
            <w:tcW w:type="dxa" w:w="174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97D2A"/>
                <w:sz w:val="22"/>
                <w:szCs w:val="22"/>
              </w:rPr>
              <w:t xml:space="preserve">⚡ Manual</w:t>
            </w:r>
          </w:p>
        </w:tc>
      </w:tr>
      <w:tr>
        <w:tc>
          <w:tcPr>
            <w:gridSpan w:val="6"/>
            <w:tcBorders>
              <w:top w:val="single" w:color="D8DDE4" w:sz="1"/>
              <w:left w:val="single" w:color="D8DDE4" w:sz="1"/>
              <w:bottom w:val="single" w:color="D8DDE4" w:sz="1"/>
              <w:right w:val="single" w:color="D8DDE4"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PRACTICAL FACTORS</w:t>
            </w:r>
          </w:p>
        </w:tc>
      </w:tr>
      <w:tr>
        <w:tc>
          <w:tcPr>
            <w:tcW w:type="dxa" w:w="21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Time to first cover (novice user)</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~45–90 min*</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~15–30 min</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~10–20 min</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3–7 days</w:t>
            </w:r>
          </w:p>
        </w:tc>
        <w:tc>
          <w:tcPr>
            <w:tcW w:type="dxa" w:w="174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~2–4 hrs</w:t>
            </w:r>
          </w:p>
        </w:tc>
      </w:tr>
      <w:tr>
        <w:tc>
          <w:tcPr>
            <w:tcW w:type="dxa" w:w="21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Time to first cover (experienced user)</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~20–40 min</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~10 min</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~5–10 min</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3–7 days</w:t>
            </w:r>
          </w:p>
        </w:tc>
        <w:tc>
          <w:tcPr>
            <w:tcW w:type="dxa" w:w="174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~30–60 min</w:t>
            </w:r>
          </w:p>
        </w:tc>
      </w:tr>
      <w:tr>
        <w:tc>
          <w:tcPr>
            <w:tcW w:type="dxa" w:w="21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Est. cost per cover</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~$0.20–0.50 COGS</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~$0.00 (template)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~$0.50–2.00 credits</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$150–600 designer</w:t>
            </w:r>
          </w:p>
        </w:tc>
        <w:tc>
          <w:tcPr>
            <w:tcW w:type="dxa" w:w="174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~$0.01–0.10</w:t>
            </w:r>
          </w:p>
        </w:tc>
      </w:tr>
      <w:tr>
        <w:tc>
          <w:tcPr>
            <w:tcW w:type="dxa" w:w="21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Brand awareness (2025)</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New</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Established</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Growing</w:t>
            </w:r>
          </w:p>
        </w:tc>
        <w:tc>
          <w:tcPr>
            <w:tcW w:type="dxa" w:w="13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Established</w:t>
            </w:r>
          </w:p>
        </w:tc>
        <w:tc>
          <w:tcPr>
            <w:tcW w:type="dxa" w:w="174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N/A</w:t>
            </w:r>
          </w:p>
        </w:tc>
      </w:tr>
      <w:tr>
        <w:tc>
          <w:tcPr>
            <w:tcW w:type="dxa" w:w="21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Learning curve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Low (Simple)</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Low</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Low–Medium</w:t>
            </w:r>
          </w:p>
        </w:tc>
        <w:tc>
          <w:tcPr>
            <w:tcW w:type="dxa" w:w="13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None (outsourced)</w:t>
            </w:r>
          </w:p>
        </w:tc>
        <w:tc>
          <w:tcPr>
            <w:tcW w:type="dxa" w:w="174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High</w:t>
            </w:r>
          </w:p>
        </w:tc>
      </w:tr>
    </w:tbl>
    <w:p>
      <w:r>
        <w:br w:type="page"/>
      </w:r>
    </w:p>
    <w:p>
      <w:pPr>
        <w:pStyle w:val="Heading1"/>
        <w:spacing w:before="400" w:after="160"/>
      </w:pPr>
      <w:r>
        <w:rPr>
          <w:rFonts w:ascii="Arial" w:cs="Arial" w:eastAsia="Arial" w:hAnsi="Arial"/>
          <w:b/>
          <w:bCs/>
          <w:color w:val="1B2A4A"/>
          <w:sz w:val="36"/>
          <w:szCs w:val="36"/>
        </w:rPr>
        <w:t xml:space="preserve">Part 3 — Strategic Implications</w:t>
      </w:r>
    </w:p>
    <w:p>
      <w:pPr>
        <w:pBdr>
          <w:bottom w:val="single" w:color="0E7C7B" w:sz="6" w:space="1"/>
        </w:pBdr>
        <w:spacing w:before="240" w:after="240"/>
      </w:pPr>
      <w:r>
        <w:t xml:space="preserve"/>
      </w:r>
    </w:p>
    <w:p>
      <w:pPr>
        <w:pStyle w:val="Heading2"/>
        <w:spacing w:before="320" w:after="120"/>
      </w:pPr>
      <w:r>
        <w:rPr>
          <w:rFonts w:ascii="Arial" w:cs="Arial" w:eastAsia="Arial" w:hAnsi="Arial"/>
          <w:b/>
          <w:bCs/>
          <w:color w:val="0E7C7B"/>
          <w:sz w:val="28"/>
          <w:szCs w:val="28"/>
        </w:rPr>
        <w:t xml:space="preserve">Noctua's Confirmed Moat</w:t>
      </w:r>
    </w:p>
    <w:p>
      <w:pPr>
        <w:spacing w:before="80" w:after="80"/>
      </w:pPr>
      <w:r>
        <w:rPr>
          <w:rFonts w:ascii="Arial" w:cs="Arial" w:eastAsia="Arial" w:hAnsi="Arial"/>
          <w:b w:val="false"/>
          <w:bCs w:val="false"/>
          <w:i w:val="false"/>
          <w:iCs w:val="false"/>
          <w:color w:val="222222"/>
          <w:sz w:val="22"/>
          <w:szCs w:val="22"/>
        </w:rPr>
        <w:t xml:space="preserve">The competitive analysis confirms one unique structural advantage that no existing tool has: the manuscript-to-entity-to-cover pipeline. No competitor reads the book. Every other tool requires the author to manually describe their characters, world, and visual aesthetic. Noctua extracts this automatically and grounds the cover brief in the actual content of the story.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E7C7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 MOAT</w:t>
            </w:r>
          </w:p>
        </w:tc>
        <w:tc>
          <w:tcPr>
            <w:tcW w:type="dxa" w:w="8160"/>
            <w:tcBorders>
              <w:top w:val="none" w:color="FFFFFF" w:sz="0"/>
              <w:left w:val="none" w:color="FFFFFF" w:sz="0"/>
              <w:bottom w:val="none" w:color="FFFFFF" w:sz="0"/>
              <w:right w:val="none" w:color="FFFFFF" w:sz="0"/>
            </w:tcBorders>
            <w:shd w:fill="F0F4F8" w:val="clear"/>
            <w:tcMar>
              <w:top w:type="dxa" w:w="100"/>
              <w:left w:type="dxa" w:w="200"/>
              <w:bottom w:type="dxa" w:w="100"/>
              <w:right w:type="dxa" w:w="120"/>
            </w:tcMar>
          </w:tcPr>
          <w:p>
            <w:r>
              <w:rPr>
                <w:rFonts w:ascii="Arial" w:cs="Arial" w:eastAsia="Arial" w:hAnsi="Arial"/>
                <w:color w:val="222222"/>
                <w:sz w:val="22"/>
                <w:szCs w:val="22"/>
              </w:rPr>
              <w:t xml:space="preserve">Manuscript → entity ontology → I2T style extraction → Prompt Engineering Service merge. This three-step chain is Noctua's defensible position. A competitor can clone the UI but cannot easily replicate the pipeline intelligence without the same architecture.</w:t>
            </w:r>
          </w:p>
        </w:tc>
      </w:tr>
    </w:tbl>
    <w:p>
      <w:pPr>
        <w:spacing w:before="120" w:after="0"/>
      </w:pPr>
      <w:r>
        <w:t xml:space="preserve"/>
      </w:r>
    </w:p>
    <w:p>
      <w:pPr>
        <w:spacing w:before="80" w:after="80"/>
      </w:pPr>
      <w:r>
        <w:rPr>
          <w:rFonts w:ascii="Arial" w:cs="Arial" w:eastAsia="Arial" w:hAnsi="Arial"/>
          <w:b w:val="false"/>
          <w:bCs w:val="false"/>
          <w:i w:val="false"/>
          <w:iCs w:val="false"/>
          <w:color w:val="222222"/>
          <w:sz w:val="22"/>
          <w:szCs w:val="22"/>
        </w:rPr>
        <w:t xml:space="preserve">Secondary moat: the I2T structured style extraction is meaningfully different from what CoverDesignAI does. CoverDesignAI passes the reference image as direct conditioning — which produces style influence but not a reusable, editable, inspectable style template. Noctua's I2T produces a structured text representation that can be inspected, modified, and merged with entity substitutions. This is a qualitatively different capability.</w:t>
      </w:r>
    </w:p>
    <w:p>
      <w:pPr>
        <w:spacing w:before="200" w:after="0"/>
      </w:pPr>
      <w:r>
        <w:t xml:space="preserve"/>
      </w:r>
    </w:p>
    <w:p>
      <w:pPr>
        <w:pStyle w:val="Heading2"/>
        <w:spacing w:before="320" w:after="120"/>
      </w:pPr>
      <w:r>
        <w:rPr>
          <w:rFonts w:ascii="Arial" w:cs="Arial" w:eastAsia="Arial" w:hAnsi="Arial"/>
          <w:b/>
          <w:bCs/>
          <w:color w:val="0E7C7B"/>
          <w:sz w:val="28"/>
          <w:szCs w:val="28"/>
        </w:rPr>
        <w:t xml:space="preserve">Noctua's Honest Weak 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Weakness</w:t>
            </w:r>
          </w:p>
        </w:tc>
        <w:tc>
          <w:tcPr>
            <w:tcW w:type="dxa" w:w="318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Severity</w:t>
            </w:r>
          </w:p>
        </w:tc>
        <w:tc>
          <w:tcPr>
            <w:tcW w:type="dxa" w:w="318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Mitigation</w:t>
            </w:r>
          </w:p>
        </w:tc>
      </w:tr>
      <w:tr>
        <w:tc>
          <w:tcPr>
            <w:tcW w:type="dxa" w:w="30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Time to first cover (45–90 min vs. 10–20 min for CoverDesignAI)</w:t>
            </w:r>
          </w:p>
        </w:tc>
        <w:tc>
          <w:tcPr>
            <w:tcW w:type="dxa" w:w="31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Medium — affects first-impression demo</w:t>
            </w:r>
          </w:p>
        </w:tc>
        <w:tc>
          <w:tcPr>
            <w:tcW w:type="dxa" w:w="31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Framing: 'Noctua knows your book. Others don't.' First-cover time drops sharply for book 2+.</w:t>
            </w:r>
          </w:p>
        </w:tc>
      </w:tr>
      <w:tr>
        <w:tc>
          <w:tcPr>
            <w:tcW w:type="dxa" w:w="30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No 3D mockup at launch</w:t>
            </w:r>
          </w:p>
        </w:tc>
        <w:tc>
          <w:tcPr>
            <w:tcW w:type="dxa" w:w="31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Low — marketing feature, not core</w:t>
            </w:r>
          </w:p>
        </w:tc>
        <w:tc>
          <w:tcPr>
            <w:tcW w:type="dxa" w:w="31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Phase 15+ enhancement. Flag in roadmap.</w:t>
            </w:r>
          </w:p>
        </w:tc>
      </w:tr>
      <w:tr>
        <w:tc>
          <w:tcPr>
            <w:tcW w:type="dxa" w:w="30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Zero brand awareness vs. Bookbrush's community</w:t>
            </w:r>
          </w:p>
        </w:tc>
        <w:tc>
          <w:tcPr>
            <w:tcW w:type="dxa" w:w="31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High — discovery problem</w:t>
            </w:r>
          </w:p>
        </w:tc>
        <w:tc>
          <w:tcPr>
            <w:tcW w:type="dxa" w:w="31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Community strategy needed. Self-publishing forums, KDP groups, author newsletters. Out of implementation plan scope but critical.</w:t>
            </w:r>
          </w:p>
        </w:tc>
      </w:tr>
      <w:tr>
        <w:tc>
          <w:tcPr>
            <w:tcW w:type="dxa" w:w="30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Cost per cover vs. experienced MJ user ($0.04/generation vs. ~$0.01)</w:t>
            </w:r>
          </w:p>
        </w:tc>
        <w:tc>
          <w:tcPr>
            <w:tcW w:type="dxa" w:w="31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Low — not competing on price with MJ power users</w:t>
            </w:r>
          </w:p>
        </w:tc>
        <w:tc>
          <w:tcPr>
            <w:tcW w:type="dxa" w:w="318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Pro tier value is time saved on entity work, not cost per image.</w:t>
            </w:r>
          </w:p>
        </w:tc>
      </w:tr>
      <w:tr>
        <w:tc>
          <w:tcPr>
            <w:tcW w:type="dxa" w:w="30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No LoRA character consistency at launch (illustration gap)</w:t>
            </w:r>
          </w:p>
        </w:tc>
        <w:tc>
          <w:tcPr>
            <w:tcW w:type="dxa" w:w="31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Medium for future illustration pipeline, Low for cover launch</w:t>
            </w:r>
          </w:p>
        </w:tc>
        <w:tc>
          <w:tcPr>
            <w:tcW w:type="dxa" w:w="318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Placeholder in Phase 17. Not a gap for cover MVP.</w:t>
            </w:r>
          </w:p>
        </w:tc>
      </w:tr>
    </w:tbl>
    <w:p>
      <w:pPr>
        <w:spacing w:before="200" w:after="0"/>
      </w:pPr>
      <w:r>
        <w:t xml:space="preserve"/>
      </w:r>
    </w:p>
    <w:p>
      <w:pPr>
        <w:pStyle w:val="Heading2"/>
        <w:spacing w:before="320" w:after="120"/>
      </w:pPr>
      <w:r>
        <w:rPr>
          <w:rFonts w:ascii="Arial" w:cs="Arial" w:eastAsia="Arial" w:hAnsi="Arial"/>
          <w:b/>
          <w:bCs/>
          <w:color w:val="0E7C7B"/>
          <w:sz w:val="28"/>
          <w:szCs w:val="28"/>
        </w:rPr>
        <w:t xml:space="preserve">Positioning Recommendation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E7C7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SIMPLE TIER POSITION</w:t>
            </w:r>
          </w:p>
        </w:tc>
        <w:tc>
          <w:tcPr>
            <w:tcW w:type="dxa" w:w="8160"/>
            <w:tcBorders>
              <w:top w:val="none" w:color="FFFFFF" w:sz="0"/>
              <w:left w:val="none" w:color="FFFFFF" w:sz="0"/>
              <w:bottom w:val="none" w:color="FFFFFF" w:sz="0"/>
              <w:right w:val="none" w:color="FFFFFF" w:sz="0"/>
            </w:tcBorders>
            <w:shd w:fill="F0F4F8" w:val="clear"/>
            <w:tcMar>
              <w:top w:type="dxa" w:w="100"/>
              <w:left w:type="dxa" w:w="200"/>
              <w:bottom w:type="dxa" w:w="100"/>
              <w:right w:type="dxa" w:w="120"/>
            </w:tcMar>
          </w:tcPr>
          <w:p>
            <w:r>
              <w:rPr>
                <w:rFonts w:ascii="Arial" w:cs="Arial" w:eastAsia="Arial" w:hAnsi="Arial"/>
                <w:color w:val="222222"/>
                <w:sz w:val="22"/>
                <w:szCs w:val="22"/>
              </w:rPr>
              <w:t xml:space="preserve">"The only cover tool that reads your book." — Aimed at first-time self-publishers who know their story but not prompt engineering. Noctua does the visual thinking for them.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 TIER POSITION</w:t>
            </w:r>
          </w:p>
        </w:tc>
        <w:tc>
          <w:tcPr>
            <w:tcW w:type="dxa" w:w="8160"/>
            <w:tcBorders>
              <w:top w:val="none" w:color="FFFFFF" w:sz="0"/>
              <w:left w:val="none" w:color="FFFFFF" w:sz="0"/>
              <w:bottom w:val="none" w:color="FFFFFF" w:sz="0"/>
              <w:right w:val="none" w:color="FFFFFF" w:sz="0"/>
            </w:tcBorders>
            <w:shd w:fill="F0F4F8" w:val="clear"/>
            <w:tcMar>
              <w:top w:type="dxa" w:w="100"/>
              <w:left w:type="dxa" w:w="200"/>
              <w:bottom w:type="dxa" w:w="100"/>
              <w:right w:type="dxa" w:w="120"/>
            </w:tcMar>
          </w:tcPr>
          <w:p>
            <w:r>
              <w:rPr>
                <w:rFonts w:ascii="Arial" w:cs="Arial" w:eastAsia="Arial" w:hAnsi="Arial"/>
                <w:color w:val="222222"/>
                <w:sz w:val="22"/>
                <w:szCs w:val="22"/>
              </w:rPr>
              <w:t xml:space="preserve">"Your book's visual DNA, under your control." — Aimed at experienced indie authors and packagers who want AI generation WITH the manuscript intelligence, not instead of it. Replaces both the MJ prompt-writing effort AND the cover designer briefing cost.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7D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AGAINST COVERDESIGNAI</w:t>
            </w:r>
          </w:p>
        </w:tc>
        <w:tc>
          <w:tcPr>
            <w:tcW w:type="dxa" w:w="8160"/>
            <w:tcBorders>
              <w:top w:val="none" w:color="FFFFFF" w:sz="0"/>
              <w:left w:val="none" w:color="FFFFFF" w:sz="0"/>
              <w:bottom w:val="none" w:color="FFFFFF" w:sz="0"/>
              <w:right w:val="none" w:color="FFFFFF" w:sz="0"/>
            </w:tcBorders>
            <w:shd w:fill="F0F4F8" w:val="clear"/>
            <w:tcMar>
              <w:top w:type="dxa" w:w="100"/>
              <w:left w:type="dxa" w:w="200"/>
              <w:bottom w:type="dxa" w:w="100"/>
              <w:right w:type="dxa" w:w="120"/>
            </w:tcMar>
          </w:tcPr>
          <w:p>
            <w:r>
              <w:rPr>
                <w:rFonts w:ascii="Arial" w:cs="Arial" w:eastAsia="Arial" w:hAnsi="Arial"/>
                <w:color w:val="222222"/>
                <w:sz w:val="22"/>
                <w:szCs w:val="22"/>
              </w:rPr>
              <w:t xml:space="preserve">CoverDesignAI requires you to describe your book. Noctua has already read it. The brief writes itself.</w:t>
            </w:r>
          </w:p>
        </w:tc>
      </w:tr>
    </w:tbl>
    <w:p>
      <w:pPr>
        <w:spacing w:before="200" w:after="0"/>
      </w:pPr>
      <w:r>
        <w:t xml:space="preserve"/>
      </w:r>
    </w:p>
    <w:p>
      <w:pPr>
        <w:pStyle w:val="Heading2"/>
        <w:spacing w:before="320" w:after="120"/>
      </w:pPr>
      <w:r>
        <w:rPr>
          <w:rFonts w:ascii="Arial" w:cs="Arial" w:eastAsia="Arial" w:hAnsi="Arial"/>
          <w:b/>
          <w:bCs/>
          <w:color w:val="0E7C7B"/>
          <w:sz w:val="28"/>
          <w:szCs w:val="28"/>
        </w:rPr>
        <w:t xml:space="preserve">Implementation Plan Implications</w:t>
      </w:r>
    </w:p>
    <w:p>
      <w:pPr>
        <w:spacing w:before="80" w:after="80"/>
      </w:pPr>
      <w:r>
        <w:rPr>
          <w:rFonts w:ascii="Arial" w:cs="Arial" w:eastAsia="Arial" w:hAnsi="Arial"/>
          <w:b w:val="false"/>
          <w:bCs w:val="false"/>
          <w:i w:val="false"/>
          <w:iCs w:val="false"/>
          <w:color w:val="222222"/>
          <w:sz w:val="22"/>
          <w:szCs w:val="22"/>
        </w:rPr>
        <w:t xml:space="preserve">The competitive research surfaces one concrete change worth considering for the implementation plan:</w:t>
      </w:r>
    </w:p>
    <w:p>
      <w:pPr>
        <w:spacing w:before="80" w:after="0"/>
      </w:pPr>
      <w:r>
        <w:t xml:space="preserve"/>
      </w:r>
    </w:p>
    <w:p>
      <w:pPr>
        <w:pStyle w:val="Heading3"/>
        <w:spacing w:before="240" w:after="80"/>
      </w:pPr>
      <w:r>
        <w:rPr>
          <w:rFonts w:ascii="Arial" w:cs="Arial" w:eastAsia="Arial" w:hAnsi="Arial"/>
          <w:b/>
          <w:bCs/>
          <w:color w:val="1B2A4A"/>
          <w:sz w:val="24"/>
          <w:szCs w:val="24"/>
        </w:rPr>
        <w:t xml:space="preserve">Add: 'Quick Cover' mode for Simple tier onboarding</w:t>
      </w:r>
    </w:p>
    <w:p>
      <w:pPr>
        <w:spacing w:before="80" w:after="80"/>
      </w:pPr>
      <w:r>
        <w:rPr>
          <w:rFonts w:ascii="Arial" w:cs="Arial" w:eastAsia="Arial" w:hAnsi="Arial"/>
          <w:b w:val="false"/>
          <w:bCs w:val="false"/>
          <w:i w:val="false"/>
          <w:iCs w:val="false"/>
          <w:color w:val="222222"/>
          <w:sz w:val="22"/>
          <w:szCs w:val="22"/>
        </w:rPr>
        <w:t xml:space="preserve">CoverDesignAI's fastest path (10 min to first cover) is compelling for first impressions. Noctua's 45-minute first-cover time is defensible but risks losing users in the evaluation phase. Recommendation: add a 'Quick Cover' entry point to the Simple tier flow that skips manuscript upload entirely and lets a user generate a cover from genre + mood + manual character description — essentially matching CoverDesignAI's minimum viable flow. The full manuscript-aware pipeline remains the hero feature but shouldn't be the only path.</w:t>
      </w:r>
    </w:p>
    <w:p>
      <w:pPr>
        <w:spacing w:before="6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Implementation: New page 'QuickCoverPage.tsx' — genre + mood + brief description → Prompt Engineering Service (CoverPromptAssembler fallback path) → FLUX generation</w:t>
      </w:r>
    </w:p>
    <w:p>
      <w:pPr>
        <w:pStyle w:val="ListParagraph"/>
        <w:numPr>
          <w:ilvl w:val="0"/>
          <w:numId w:val="2"/>
        </w:numPr>
        <w:spacing w:before="40" w:after="40"/>
      </w:pPr>
      <w:r>
        <w:rPr>
          <w:rFonts w:ascii="Arial" w:cs="Arial" w:eastAsia="Arial" w:hAnsi="Arial"/>
          <w:color w:val="222222"/>
          <w:sz w:val="22"/>
          <w:szCs w:val="22"/>
        </w:rPr>
        <w:t xml:space="preserve">This is the fallback path already planned (CoverPromptAssembler). It just needs a dedicated UI entry point.</w:t>
      </w:r>
    </w:p>
    <w:p>
      <w:pPr>
        <w:pStyle w:val="ListParagraph"/>
        <w:numPr>
          <w:ilvl w:val="0"/>
          <w:numId w:val="2"/>
        </w:numPr>
        <w:spacing w:before="40" w:after="40"/>
      </w:pPr>
      <w:r>
        <w:rPr>
          <w:rFonts w:ascii="Arial" w:cs="Arial" w:eastAsia="Arial" w:hAnsi="Arial"/>
          <w:color w:val="222222"/>
          <w:sz w:val="22"/>
          <w:szCs w:val="22"/>
        </w:rPr>
        <w:t xml:space="preserve">Phase: Add to Phase 11 scope or as a Phase 11b. Low backend effort since the assembler path already exists.</w:t>
      </w:r>
    </w:p>
    <w:p>
      <w:pPr>
        <w:spacing w:before="120" w:after="0"/>
      </w:pPr>
      <w:r>
        <w:t xml:space="preserve"/>
      </w:r>
    </w:p>
    <w:p>
      <w:pPr>
        <w:pStyle w:val="Heading3"/>
        <w:spacing w:before="240" w:after="80"/>
      </w:pPr>
      <w:r>
        <w:rPr>
          <w:rFonts w:ascii="Arial" w:cs="Arial" w:eastAsia="Arial" w:hAnsi="Arial"/>
          <w:b/>
          <w:bCs/>
          <w:color w:val="1B2A4A"/>
          <w:sz w:val="24"/>
          <w:szCs w:val="24"/>
        </w:rPr>
        <w:t xml:space="preserve">Validate: KDP bleed spec in TextStudio</w:t>
      </w:r>
    </w:p>
    <w:p>
      <w:pPr>
        <w:spacing w:before="80" w:after="80"/>
      </w:pPr>
      <w:r>
        <w:rPr>
          <w:rFonts w:ascii="Arial" w:cs="Arial" w:eastAsia="Arial" w:hAnsi="Arial"/>
          <w:b w:val="false"/>
          <w:bCs w:val="false"/>
          <w:i w:val="false"/>
          <w:iCs w:val="false"/>
          <w:color w:val="222222"/>
          <w:sz w:val="22"/>
          <w:szCs w:val="22"/>
        </w:rPr>
        <w:t xml:space="preserve">Bookbrush and GetCovers both explicitly highlight KDP-correct sizing as a feature. This is table stakes for the market. The plan already specifies 2560×1600 at 300dpi with 0.125" bleed — confirm this matches KDP's current specification before Phase 14 implementation. Bookbrush's competitive edge here is partly trust (authors know it produces KDP-safe files). Noctua should match and communicate this explicitly in the UI.</w:t>
      </w:r>
    </w:p>
    <w:p>
      <w:pPr>
        <w:spacing w:before="200" w:after="0"/>
      </w:pPr>
      <w:r>
        <w:t xml:space="preserve"/>
      </w:r>
    </w:p>
    <w:p>
      <w:pPr>
        <w:pStyle w:val="Heading2"/>
        <w:spacing w:before="320" w:after="120"/>
      </w:pPr>
      <w:r>
        <w:rPr>
          <w:rFonts w:ascii="Arial" w:cs="Arial" w:eastAsia="Arial" w:hAnsi="Arial"/>
          <w:b/>
          <w:bCs/>
          <w:color w:val="0E7C7B"/>
          <w:sz w:val="28"/>
          <w:szCs w:val="28"/>
        </w:rPr>
        <w:t xml:space="preserve">Summary: What Changes in the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516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Change</w:t>
            </w:r>
          </w:p>
        </w:tc>
        <w:tc>
          <w:tcPr>
            <w:tcW w:type="dxa" w:w="2800"/>
            <w:tcBorders>
              <w:top w:val="single" w:color="D8DDE4" w:sz="1"/>
              <w:left w:val="single" w:color="D8DDE4" w:sz="1"/>
              <w:bottom w:val="single" w:color="D8DDE4" w:sz="1"/>
              <w:right w:val="single" w:color="D8DD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r>
      <w:tr>
        <w:tc>
          <w:tcPr>
            <w:tcW w:type="dxa" w:w="14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HIGH</w:t>
            </w:r>
          </w:p>
        </w:tc>
        <w:tc>
          <w:tcPr>
            <w:tcW w:type="dxa" w:w="516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Add QuickCover entry point to Simple tier (genre + mood + manual brief → FLUX, no manuscript required)</w:t>
            </w:r>
          </w:p>
        </w:tc>
        <w:tc>
          <w:tcPr>
            <w:tcW w:type="dxa" w:w="28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Phase 11 or 11b</w:t>
            </w:r>
          </w:p>
        </w:tc>
      </w:tr>
      <w:tr>
        <w:tc>
          <w:tcPr>
            <w:tcW w:type="dxa" w:w="14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MEDIUM</w:t>
            </w:r>
          </w:p>
        </w:tc>
        <w:tc>
          <w:tcPr>
            <w:tcW w:type="dxa" w:w="516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Add plan-based feature gate component to Phase 16 (user.plan field + frontend gate)</w:t>
            </w:r>
          </w:p>
        </w:tc>
        <w:tc>
          <w:tcPr>
            <w:tcW w:type="dxa" w:w="28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Phase 16 (existing)</w:t>
            </w:r>
          </w:p>
        </w:tc>
      </w:tr>
      <w:tr>
        <w:tc>
          <w:tcPr>
            <w:tcW w:type="dxa" w:w="14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MEDIUM</w:t>
            </w:r>
          </w:p>
        </w:tc>
        <w:tc>
          <w:tcPr>
            <w:tcW w:type="dxa" w:w="516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Confirm KDP bleed spec before Phase 14 TextStudio implementation. Document the spec visibly in UI.</w:t>
            </w:r>
          </w:p>
        </w:tc>
        <w:tc>
          <w:tcPr>
            <w:tcW w:type="dxa" w:w="28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Phase 14</w:t>
            </w:r>
          </w:p>
        </w:tc>
      </w:tr>
      <w:tr>
        <w:tc>
          <w:tcPr>
            <w:tcW w:type="dxa" w:w="14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LOW</w:t>
            </w:r>
          </w:p>
        </w:tc>
        <w:tc>
          <w:tcPr>
            <w:tcW w:type="dxa" w:w="516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Add 3D mockup to enhancement backlog (Phase 15 backlog doc)</w:t>
            </w:r>
          </w:p>
        </w:tc>
        <w:tc>
          <w:tcPr>
            <w:tcW w:type="dxa" w:w="2800"/>
            <w:tcBorders>
              <w:top w:val="single" w:color="D8DDE4" w:sz="1"/>
              <w:left w:val="single" w:color="D8DDE4" w:sz="1"/>
              <w:bottom w:val="single" w:color="D8DDE4" w:sz="1"/>
              <w:right w:val="single" w:color="D8DDE4"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Phase 15 backlog</w:t>
            </w:r>
          </w:p>
        </w:tc>
      </w:tr>
      <w:tr>
        <w:tc>
          <w:tcPr>
            <w:tcW w:type="dxa" w:w="14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1"/>
                <w:szCs w:val="21"/>
              </w:rPr>
              <w:t xml:space="preserve">LOW</w:t>
            </w:r>
          </w:p>
        </w:tc>
        <w:tc>
          <w:tcPr>
            <w:tcW w:type="dxa" w:w="516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Note community/discovery strategy gap — out of implementation plan scope but needs owner</w:t>
            </w:r>
          </w:p>
        </w:tc>
        <w:tc>
          <w:tcPr>
            <w:tcW w:type="dxa" w:w="2800"/>
            <w:tcBorders>
              <w:top w:val="single" w:color="D8DDE4" w:sz="1"/>
              <w:left w:val="single" w:color="D8DDE4" w:sz="1"/>
              <w:bottom w:val="single" w:color="D8DDE4" w:sz="1"/>
              <w:right w:val="single" w:color="D8DD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2"/>
                <w:szCs w:val="22"/>
              </w:rPr>
              <w:t xml:space="preserve">Post-launch</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7B" w:sz="4" w:space="1"/>
      </w:pBdr>
      <w:spacing w:before="120" w:after="0"/>
      <w:jc w:val="right"/>
    </w:pPr>
    <w:r>
      <w:rPr>
        <w:rFonts w:ascii="Arial" w:cs="Arial" w:eastAsia="Arial" w:hAnsi="Arial"/>
        <w:color w:val="5A6475"/>
        <w:sz w:val="18"/>
        <w:szCs w:val="18"/>
      </w:rPr>
      <w:t xml:space="preserve">Page </w:t>
    </w:r>
    <w:r>
      <w:rPr>
        <w:rFonts w:ascii="Arial" w:cs="Arial" w:eastAsia="Arial" w:hAnsi="Arial"/>
        <w:color w:val="5A6475"/>
        <w:sz w:val="18"/>
        <w:szCs w:val="18"/>
      </w:rPr>
      <w:fldChar w:fldCharType="begin"/>
      <w:instrText xml:space="preserve">PAGE</w:instrText>
      <w:fldChar w:fldCharType="separate"/>
      <w:fldChar w:fldCharType="end"/>
    </w:r>
    <w:r>
      <w:rPr>
        <w:rFonts w:ascii="Arial" w:cs="Arial" w:eastAsia="Arial" w:hAnsi="Arial"/>
        <w:color w:val="5A6475"/>
        <w:sz w:val="18"/>
        <w:szCs w:val="18"/>
      </w:rPr>
      <w:t xml:space="preserve"> of </w:t>
    </w:r>
    <w:r>
      <w:rPr>
        <w:rFonts w:ascii="Arial" w:cs="Arial" w:eastAsia="Arial" w:hAnsi="Arial"/>
        <w:color w:val="5A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1"/>
      </w:pBdr>
      <w:spacing w:before="0" w:after="120"/>
    </w:pPr>
    <w:r>
      <w:rPr>
        <w:rFonts w:ascii="Arial" w:cs="Arial" w:eastAsia="Arial" w:hAnsi="Arial"/>
        <w:color w:val="5A6475"/>
        <w:sz w:val="18"/>
        <w:szCs w:val="18"/>
      </w:rPr>
      <w:t xml:space="preserve">🦉 Noctua  ·  Product Strategy Document  ·  Session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E7C7B"/>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2026-03-01T11:45:45.046Z</dcterms:created>
  <dcterms:modified xsi:type="dcterms:W3CDTF">2026-03-01T11:45:45.047Z</dcterms:modified>
</cp:coreProperties>
</file>

<file path=docProps/custom.xml><?xml version="1.0" encoding="utf-8"?>
<Properties xmlns="http://schemas.openxmlformats.org/officeDocument/2006/custom-properties" xmlns:vt="http://schemas.openxmlformats.org/officeDocument/2006/docPropsVTypes"/>
</file>